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99" w:firstLineChars="83"/>
      </w:pPr>
      <w:r>
        <w:drawing>
          <wp:inline distT="0" distB="0" distL="0" distR="0">
            <wp:extent cx="1275715" cy="1148080"/>
            <wp:effectExtent l="0" t="0" r="0" b="0"/>
            <wp:docPr id="1" name="图片 1" descr="OP2LY(K((CWFBHY((VZ9}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OP2LY(K((CWFBHY((VZ9}7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75715" cy="1148080"/>
                    </a:xfrm>
                    <a:prstGeom prst="rect">
                      <a:avLst/>
                    </a:prstGeom>
                    <a:noFill/>
                    <a:ln>
                      <a:noFill/>
                    </a:ln>
                  </pic:spPr>
                </pic:pic>
              </a:graphicData>
            </a:graphic>
          </wp:inline>
        </w:drawing>
      </w:r>
    </w:p>
    <w:p>
      <w:pPr>
        <w:ind w:firstLine="480"/>
      </w:pPr>
    </w:p>
    <w:p>
      <w:pPr>
        <w:ind w:firstLine="0" w:firstLineChars="0"/>
        <w:jc w:val="center"/>
        <w:rPr>
          <w:sz w:val="72"/>
          <w:szCs w:val="72"/>
        </w:rPr>
      </w:pPr>
      <w:bookmarkStart w:id="0" w:name="_Toc14136"/>
      <w:bookmarkStart w:id="1" w:name="_Toc20889"/>
      <w:bookmarkStart w:id="2" w:name="_Toc1901"/>
      <w:bookmarkStart w:id="3" w:name="_Toc42613286"/>
      <w:bookmarkStart w:id="4" w:name="_Toc10796"/>
      <w:bookmarkStart w:id="5" w:name="_Toc10922"/>
      <w:bookmarkStart w:id="6" w:name="_Toc4309"/>
      <w:bookmarkStart w:id="7" w:name="_Toc42613229"/>
      <w:bookmarkStart w:id="8" w:name="_Toc11855"/>
      <w:r>
        <w:rPr>
          <w:sz w:val="72"/>
          <w:szCs w:val="72"/>
        </w:rPr>
        <w:t>建设项目环境影响报告表</w:t>
      </w:r>
      <w:bookmarkEnd w:id="0"/>
      <w:bookmarkEnd w:id="1"/>
      <w:bookmarkEnd w:id="2"/>
      <w:bookmarkEnd w:id="3"/>
      <w:bookmarkEnd w:id="4"/>
      <w:bookmarkEnd w:id="5"/>
      <w:bookmarkEnd w:id="6"/>
      <w:bookmarkEnd w:id="7"/>
      <w:bookmarkEnd w:id="8"/>
    </w:p>
    <w:p>
      <w:pPr>
        <w:ind w:firstLine="0" w:firstLineChars="0"/>
        <w:jc w:val="center"/>
      </w:pPr>
      <w:bookmarkStart w:id="9" w:name="_Toc11378"/>
      <w:bookmarkStart w:id="10" w:name="_Toc25494"/>
      <w:bookmarkStart w:id="11" w:name="_Toc17303"/>
      <w:bookmarkStart w:id="12" w:name="_Toc28898"/>
      <w:bookmarkStart w:id="13" w:name="_Toc16075"/>
      <w:bookmarkStart w:id="14" w:name="_Toc12918"/>
      <w:bookmarkStart w:id="15" w:name="_Toc16251"/>
      <w:r>
        <w:rPr>
          <w:sz w:val="48"/>
          <w:szCs w:val="48"/>
        </w:rPr>
        <w:t>（</w:t>
      </w:r>
      <w:r>
        <w:rPr>
          <w:rFonts w:hint="eastAsia"/>
          <w:sz w:val="48"/>
          <w:szCs w:val="48"/>
          <w:lang w:val="en-US" w:eastAsia="zh-CN"/>
        </w:rPr>
        <w:t>报批稿</w:t>
      </w:r>
      <w:r>
        <w:rPr>
          <w:sz w:val="48"/>
          <w:szCs w:val="48"/>
        </w:rPr>
        <w:t>）</w:t>
      </w:r>
      <w:bookmarkEnd w:id="9"/>
      <w:bookmarkEnd w:id="10"/>
      <w:bookmarkEnd w:id="11"/>
      <w:bookmarkEnd w:id="12"/>
      <w:bookmarkEnd w:id="13"/>
      <w:bookmarkEnd w:id="14"/>
      <w:bookmarkEnd w:id="15"/>
    </w:p>
    <w:p>
      <w:pPr>
        <w:ind w:firstLine="560"/>
        <w:rPr>
          <w:sz w:val="28"/>
        </w:rPr>
      </w:pPr>
    </w:p>
    <w:p>
      <w:pPr>
        <w:ind w:firstLine="560"/>
        <w:rPr>
          <w:sz w:val="28"/>
        </w:rPr>
      </w:pPr>
    </w:p>
    <w:p>
      <w:pPr>
        <w:ind w:firstLine="560"/>
        <w:rPr>
          <w:sz w:val="28"/>
        </w:rPr>
      </w:pPr>
    </w:p>
    <w:p>
      <w:pPr>
        <w:ind w:firstLine="0" w:firstLineChars="0"/>
        <w:rPr>
          <w:b/>
          <w:bCs/>
          <w:sz w:val="36"/>
        </w:rPr>
      </w:pPr>
      <w:r>
        <w:rPr>
          <w:b/>
          <w:bCs/>
          <w:sz w:val="36"/>
        </w:rPr>
        <w:t xml:space="preserve"> </w:t>
      </w:r>
    </w:p>
    <w:p>
      <w:pPr>
        <w:ind w:firstLine="0" w:firstLineChars="0"/>
        <w:jc w:val="center"/>
        <w:rPr>
          <w:sz w:val="32"/>
          <w:szCs w:val="32"/>
          <w:u w:val="single"/>
        </w:rPr>
      </w:pPr>
      <w:r>
        <w:rPr>
          <w:b/>
          <w:bCs/>
          <w:sz w:val="36"/>
        </w:rPr>
        <w:t xml:space="preserve"> 项目名称</w:t>
      </w:r>
      <w:r>
        <w:rPr>
          <w:b/>
          <w:sz w:val="36"/>
        </w:rPr>
        <w:t>：</w:t>
      </w:r>
      <w:r>
        <w:rPr>
          <w:sz w:val="36"/>
          <w:u w:val="single"/>
        </w:rPr>
        <w:t xml:space="preserve"> </w:t>
      </w:r>
      <w:r>
        <w:rPr>
          <w:bCs/>
          <w:sz w:val="32"/>
          <w:szCs w:val="32"/>
          <w:u w:val="single"/>
        </w:rPr>
        <w:t>嘉兴鸿博机电有限公司</w:t>
      </w:r>
      <w:r>
        <w:rPr>
          <w:sz w:val="32"/>
          <w:szCs w:val="32"/>
          <w:u w:val="single"/>
        </w:rPr>
        <w:t>年产30000件精密配件、</w:t>
      </w:r>
    </w:p>
    <w:p>
      <w:pPr>
        <w:ind w:firstLine="0" w:firstLineChars="0"/>
        <w:jc w:val="center"/>
        <w:rPr>
          <w:bCs/>
          <w:sz w:val="32"/>
          <w:szCs w:val="32"/>
          <w:u w:val="single"/>
        </w:rPr>
      </w:pPr>
      <w:r>
        <w:rPr>
          <w:rFonts w:hint="eastAsia"/>
          <w:sz w:val="32"/>
          <w:szCs w:val="32"/>
          <w:u w:val="single"/>
        </w:rPr>
        <w:t xml:space="preserve">      </w:t>
      </w:r>
      <w:r>
        <w:rPr>
          <w:sz w:val="32"/>
          <w:szCs w:val="32"/>
          <w:u w:val="single"/>
        </w:rPr>
        <w:t xml:space="preserve">15000套后倾离心风机项目                                     </w:t>
      </w:r>
    </w:p>
    <w:p>
      <w:pPr>
        <w:ind w:firstLine="2560" w:firstLineChars="800"/>
        <w:rPr>
          <w:sz w:val="32"/>
          <w:szCs w:val="32"/>
        </w:rPr>
      </w:pPr>
      <w:r>
        <w:rPr>
          <w:sz w:val="32"/>
          <w:szCs w:val="32"/>
        </w:rPr>
        <w:t xml:space="preserve">                              </w:t>
      </w:r>
    </w:p>
    <w:p>
      <w:pPr>
        <w:ind w:firstLine="361" w:firstLineChars="100"/>
        <w:rPr>
          <w:bCs/>
          <w:sz w:val="32"/>
          <w:szCs w:val="32"/>
          <w:u w:val="single"/>
        </w:rPr>
      </w:pPr>
      <w:r>
        <w:rPr>
          <w:b/>
          <w:bCs/>
          <w:sz w:val="36"/>
        </w:rPr>
        <w:t>建设单位（盖章）</w:t>
      </w:r>
      <w:r>
        <w:rPr>
          <w:b/>
          <w:sz w:val="36"/>
        </w:rPr>
        <w:t>：</w:t>
      </w:r>
      <w:r>
        <w:rPr>
          <w:bCs/>
          <w:sz w:val="36"/>
          <w:u w:val="single"/>
        </w:rPr>
        <w:t xml:space="preserve">     </w:t>
      </w:r>
      <w:r>
        <w:rPr>
          <w:bCs/>
          <w:sz w:val="32"/>
          <w:szCs w:val="32"/>
          <w:u w:val="single"/>
        </w:rPr>
        <w:t xml:space="preserve">嘉兴鸿博机电有限公司       </w:t>
      </w:r>
    </w:p>
    <w:p>
      <w:pPr>
        <w:ind w:firstLine="720"/>
        <w:rPr>
          <w:sz w:val="36"/>
        </w:rPr>
      </w:pPr>
    </w:p>
    <w:p>
      <w:pPr>
        <w:spacing w:before="120"/>
        <w:ind w:firstLine="880"/>
        <w:rPr>
          <w:sz w:val="44"/>
        </w:rPr>
      </w:pPr>
    </w:p>
    <w:p>
      <w:pPr>
        <w:spacing w:before="120"/>
        <w:ind w:firstLine="880"/>
        <w:rPr>
          <w:sz w:val="44"/>
        </w:rPr>
      </w:pPr>
    </w:p>
    <w:p>
      <w:pPr>
        <w:ind w:firstLine="0" w:firstLineChars="0"/>
        <w:jc w:val="center"/>
        <w:rPr>
          <w:sz w:val="30"/>
          <w:szCs w:val="30"/>
        </w:rPr>
      </w:pPr>
      <w:bookmarkStart w:id="16" w:name="_Toc17099"/>
      <w:bookmarkStart w:id="17" w:name="_Toc6583"/>
      <w:bookmarkStart w:id="18" w:name="_Toc8905"/>
      <w:bookmarkStart w:id="19" w:name="_Toc24361"/>
      <w:bookmarkStart w:id="20" w:name="_Toc42613288"/>
      <w:bookmarkStart w:id="21" w:name="_Toc27912"/>
      <w:bookmarkStart w:id="22" w:name="_Toc17073"/>
      <w:bookmarkStart w:id="23" w:name="_Toc42613231"/>
      <w:bookmarkStart w:id="24" w:name="_Toc29965"/>
      <w:r>
        <w:rPr>
          <w:sz w:val="30"/>
          <w:szCs w:val="30"/>
        </w:rPr>
        <w:t>编制单位：浙江环耀环境建设有限公司</w:t>
      </w:r>
      <w:bookmarkEnd w:id="16"/>
      <w:bookmarkEnd w:id="17"/>
      <w:bookmarkEnd w:id="18"/>
      <w:bookmarkEnd w:id="19"/>
      <w:bookmarkEnd w:id="20"/>
      <w:bookmarkEnd w:id="21"/>
      <w:bookmarkEnd w:id="22"/>
      <w:bookmarkEnd w:id="23"/>
      <w:bookmarkEnd w:id="24"/>
    </w:p>
    <w:p>
      <w:pPr>
        <w:adjustRightInd w:val="0"/>
        <w:snapToGrid w:val="0"/>
        <w:ind w:firstLine="0" w:firstLineChars="0"/>
        <w:jc w:val="center"/>
        <w:rPr>
          <w:bCs/>
          <w:kern w:val="0"/>
          <w:sz w:val="30"/>
          <w:szCs w:val="30"/>
        </w:rPr>
      </w:pPr>
      <w:r>
        <w:rPr>
          <w:bCs/>
          <w:kern w:val="0"/>
          <w:sz w:val="30"/>
          <w:szCs w:val="30"/>
        </w:rPr>
        <w:t>编制日期：二〇二</w:t>
      </w:r>
      <w:r>
        <w:rPr>
          <w:rFonts w:hint="eastAsia"/>
          <w:bCs/>
          <w:kern w:val="0"/>
          <w:sz w:val="30"/>
          <w:szCs w:val="30"/>
        </w:rPr>
        <w:t>一</w:t>
      </w:r>
      <w:r>
        <w:rPr>
          <w:bCs/>
          <w:kern w:val="0"/>
          <w:sz w:val="30"/>
          <w:szCs w:val="30"/>
        </w:rPr>
        <w:t>年</w:t>
      </w:r>
      <w:r>
        <w:rPr>
          <w:rFonts w:hint="eastAsia"/>
          <w:bCs/>
          <w:kern w:val="0"/>
          <w:sz w:val="30"/>
          <w:szCs w:val="30"/>
          <w:lang w:val="en-US" w:eastAsia="zh-CN"/>
        </w:rPr>
        <w:t>二</w:t>
      </w:r>
      <w:r>
        <w:rPr>
          <w:bCs/>
          <w:kern w:val="0"/>
          <w:sz w:val="30"/>
          <w:szCs w:val="30"/>
        </w:rPr>
        <w:t>月</w:t>
      </w:r>
    </w:p>
    <w:p>
      <w:pPr>
        <w:adjustRightInd w:val="0"/>
        <w:snapToGrid w:val="0"/>
        <w:ind w:firstLine="760"/>
        <w:jc w:val="center"/>
        <w:outlineLvl w:val="0"/>
        <w:rPr>
          <w:bCs/>
          <w:snapToGrid w:val="0"/>
          <w:sz w:val="38"/>
          <w:szCs w:val="38"/>
        </w:rPr>
      </w:pPr>
    </w:p>
    <w:p>
      <w:pPr>
        <w:adjustRightInd w:val="0"/>
        <w:snapToGrid w:val="0"/>
        <w:ind w:firstLine="600"/>
        <w:jc w:val="center"/>
        <w:outlineLvl w:val="0"/>
        <w:rPr>
          <w:bCs/>
          <w:kern w:val="0"/>
          <w:sz w:val="30"/>
          <w:szCs w:val="30"/>
        </w:rPr>
        <w:sectPr>
          <w:headerReference r:id="rId4" w:type="first"/>
          <w:footerReference r:id="rId6" w:type="first"/>
          <w:headerReference r:id="rId3" w:type="default"/>
          <w:footerReference r:id="rId5" w:type="default"/>
          <w:pgSz w:w="11906" w:h="16838"/>
          <w:pgMar w:top="1474" w:right="1588" w:bottom="1418" w:left="1588" w:header="851" w:footer="907" w:gutter="0"/>
          <w:pgNumType w:fmt="upperRoman" w:start="1"/>
          <w:cols w:space="720" w:num="1"/>
          <w:titlePg/>
          <w:docGrid w:linePitch="312" w:charSpace="0"/>
        </w:sectPr>
      </w:pPr>
    </w:p>
    <w:p>
      <w:pPr>
        <w:pStyle w:val="21"/>
        <w:spacing w:before="240" w:beforeLines="100"/>
        <w:ind w:firstLine="0" w:firstLineChars="0"/>
        <w:jc w:val="center"/>
        <w:rPr>
          <w:rFonts w:ascii="Times New Roman" w:hAnsi="Times New Roman"/>
          <w:b/>
          <w:sz w:val="44"/>
          <w:szCs w:val="44"/>
        </w:rPr>
      </w:pPr>
      <w:r>
        <w:rPr>
          <w:rFonts w:ascii="Times New Roman" w:hAnsi="Times New Roman"/>
          <w:b/>
          <w:sz w:val="44"/>
          <w:szCs w:val="44"/>
        </w:rPr>
        <w:t>目  录</w:t>
      </w:r>
    </w:p>
    <w:p>
      <w:pPr>
        <w:pStyle w:val="26"/>
        <w:tabs>
          <w:tab w:val="right" w:leader="dot" w:pos="8730"/>
          <w:tab w:val="clear" w:pos="8296"/>
        </w:tabs>
      </w:pPr>
      <w:r>
        <w:rPr>
          <w:b/>
          <w:sz w:val="28"/>
          <w:szCs w:val="28"/>
        </w:rPr>
        <w:fldChar w:fldCharType="begin"/>
      </w:r>
      <w:r>
        <w:rPr>
          <w:b/>
          <w:sz w:val="28"/>
          <w:szCs w:val="28"/>
        </w:rPr>
        <w:instrText xml:space="preserve"> TOC \o "1-1" \h \z \u </w:instrText>
      </w:r>
      <w:r>
        <w:rPr>
          <w:b/>
          <w:sz w:val="28"/>
          <w:szCs w:val="28"/>
        </w:rPr>
        <w:fldChar w:fldCharType="separate"/>
      </w:r>
      <w:r>
        <w:rPr>
          <w:szCs w:val="28"/>
        </w:rPr>
        <w:fldChar w:fldCharType="begin"/>
      </w:r>
      <w:r>
        <w:rPr>
          <w:szCs w:val="28"/>
        </w:rPr>
        <w:instrText xml:space="preserve"> HYPERLINK \l _Toc23314 </w:instrText>
      </w:r>
      <w:r>
        <w:rPr>
          <w:szCs w:val="28"/>
        </w:rPr>
        <w:fldChar w:fldCharType="separate"/>
      </w:r>
      <w:r>
        <w:rPr>
          <w:szCs w:val="32"/>
        </w:rPr>
        <w:t>1、建设项目基本情况</w:t>
      </w:r>
      <w:r>
        <w:tab/>
      </w:r>
      <w:r>
        <w:fldChar w:fldCharType="begin"/>
      </w:r>
      <w:r>
        <w:instrText xml:space="preserve"> PAGEREF _Toc23314 </w:instrText>
      </w:r>
      <w:r>
        <w:fldChar w:fldCharType="separate"/>
      </w:r>
      <w:r>
        <w:t>1</w:t>
      </w:r>
      <w:r>
        <w:fldChar w:fldCharType="end"/>
      </w:r>
      <w:r>
        <w:rPr>
          <w:szCs w:val="28"/>
        </w:rPr>
        <w:fldChar w:fldCharType="end"/>
      </w:r>
    </w:p>
    <w:p>
      <w:pPr>
        <w:pStyle w:val="26"/>
        <w:tabs>
          <w:tab w:val="right" w:leader="dot" w:pos="8730"/>
          <w:tab w:val="clear" w:pos="8296"/>
        </w:tabs>
      </w:pPr>
      <w:r>
        <w:rPr>
          <w:szCs w:val="28"/>
        </w:rPr>
        <w:fldChar w:fldCharType="begin"/>
      </w:r>
      <w:r>
        <w:rPr>
          <w:szCs w:val="28"/>
        </w:rPr>
        <w:instrText xml:space="preserve"> HYPERLINK \l _Toc18630 </w:instrText>
      </w:r>
      <w:r>
        <w:rPr>
          <w:szCs w:val="28"/>
        </w:rPr>
        <w:fldChar w:fldCharType="separate"/>
      </w:r>
      <w:r>
        <w:rPr>
          <w:szCs w:val="32"/>
        </w:rPr>
        <w:t>2、建设项目所在地自然环境社会环境简况</w:t>
      </w:r>
      <w:r>
        <w:tab/>
      </w:r>
      <w:r>
        <w:fldChar w:fldCharType="begin"/>
      </w:r>
      <w:r>
        <w:instrText xml:space="preserve"> PAGEREF _Toc18630 </w:instrText>
      </w:r>
      <w:r>
        <w:fldChar w:fldCharType="separate"/>
      </w:r>
      <w:r>
        <w:t>10</w:t>
      </w:r>
      <w:r>
        <w:fldChar w:fldCharType="end"/>
      </w:r>
      <w:r>
        <w:rPr>
          <w:szCs w:val="28"/>
        </w:rPr>
        <w:fldChar w:fldCharType="end"/>
      </w:r>
    </w:p>
    <w:p>
      <w:pPr>
        <w:pStyle w:val="26"/>
        <w:tabs>
          <w:tab w:val="right" w:leader="dot" w:pos="8730"/>
          <w:tab w:val="clear" w:pos="8296"/>
        </w:tabs>
      </w:pPr>
      <w:r>
        <w:rPr>
          <w:szCs w:val="28"/>
        </w:rPr>
        <w:fldChar w:fldCharType="begin"/>
      </w:r>
      <w:r>
        <w:rPr>
          <w:szCs w:val="28"/>
        </w:rPr>
        <w:instrText xml:space="preserve"> HYPERLINK \l _Toc478 </w:instrText>
      </w:r>
      <w:r>
        <w:rPr>
          <w:szCs w:val="28"/>
        </w:rPr>
        <w:fldChar w:fldCharType="separate"/>
      </w:r>
      <w:r>
        <w:rPr>
          <w:szCs w:val="32"/>
        </w:rPr>
        <w:t>3、环境质量状况</w:t>
      </w:r>
      <w:r>
        <w:tab/>
      </w:r>
      <w:r>
        <w:fldChar w:fldCharType="begin"/>
      </w:r>
      <w:r>
        <w:instrText xml:space="preserve"> PAGEREF _Toc478 </w:instrText>
      </w:r>
      <w:r>
        <w:fldChar w:fldCharType="separate"/>
      </w:r>
      <w:r>
        <w:t>23</w:t>
      </w:r>
      <w:r>
        <w:fldChar w:fldCharType="end"/>
      </w:r>
      <w:r>
        <w:rPr>
          <w:szCs w:val="28"/>
        </w:rPr>
        <w:fldChar w:fldCharType="end"/>
      </w:r>
    </w:p>
    <w:p>
      <w:pPr>
        <w:pStyle w:val="26"/>
        <w:tabs>
          <w:tab w:val="right" w:leader="dot" w:pos="8730"/>
          <w:tab w:val="clear" w:pos="8296"/>
        </w:tabs>
      </w:pPr>
      <w:r>
        <w:rPr>
          <w:szCs w:val="28"/>
        </w:rPr>
        <w:fldChar w:fldCharType="begin"/>
      </w:r>
      <w:r>
        <w:rPr>
          <w:szCs w:val="28"/>
        </w:rPr>
        <w:instrText xml:space="preserve"> HYPERLINK \l _Toc3498 </w:instrText>
      </w:r>
      <w:r>
        <w:rPr>
          <w:szCs w:val="28"/>
        </w:rPr>
        <w:fldChar w:fldCharType="separate"/>
      </w:r>
      <w:r>
        <w:t>4、评价适用标准</w:t>
      </w:r>
      <w:r>
        <w:tab/>
      </w:r>
      <w:r>
        <w:fldChar w:fldCharType="begin"/>
      </w:r>
      <w:r>
        <w:instrText xml:space="preserve"> PAGEREF _Toc3498 </w:instrText>
      </w:r>
      <w:r>
        <w:fldChar w:fldCharType="separate"/>
      </w:r>
      <w:r>
        <w:t>34</w:t>
      </w:r>
      <w:r>
        <w:fldChar w:fldCharType="end"/>
      </w:r>
      <w:r>
        <w:rPr>
          <w:szCs w:val="28"/>
        </w:rPr>
        <w:fldChar w:fldCharType="end"/>
      </w:r>
    </w:p>
    <w:p>
      <w:pPr>
        <w:pStyle w:val="26"/>
        <w:tabs>
          <w:tab w:val="right" w:leader="dot" w:pos="8730"/>
          <w:tab w:val="clear" w:pos="8296"/>
        </w:tabs>
      </w:pPr>
      <w:r>
        <w:rPr>
          <w:szCs w:val="28"/>
        </w:rPr>
        <w:fldChar w:fldCharType="begin"/>
      </w:r>
      <w:r>
        <w:rPr>
          <w:szCs w:val="28"/>
        </w:rPr>
        <w:instrText xml:space="preserve"> HYPERLINK \l _Toc19448 </w:instrText>
      </w:r>
      <w:r>
        <w:rPr>
          <w:szCs w:val="28"/>
        </w:rPr>
        <w:fldChar w:fldCharType="separate"/>
      </w:r>
      <w:r>
        <w:rPr>
          <w:szCs w:val="32"/>
        </w:rPr>
        <w:t>5、建设项目工程分析</w:t>
      </w:r>
      <w:r>
        <w:tab/>
      </w:r>
      <w:r>
        <w:fldChar w:fldCharType="begin"/>
      </w:r>
      <w:r>
        <w:instrText xml:space="preserve"> PAGEREF _Toc19448 </w:instrText>
      </w:r>
      <w:r>
        <w:fldChar w:fldCharType="separate"/>
      </w:r>
      <w:r>
        <w:t>42</w:t>
      </w:r>
      <w:r>
        <w:fldChar w:fldCharType="end"/>
      </w:r>
      <w:r>
        <w:rPr>
          <w:szCs w:val="28"/>
        </w:rPr>
        <w:fldChar w:fldCharType="end"/>
      </w:r>
    </w:p>
    <w:p>
      <w:pPr>
        <w:pStyle w:val="26"/>
        <w:tabs>
          <w:tab w:val="right" w:leader="dot" w:pos="8730"/>
          <w:tab w:val="clear" w:pos="8296"/>
        </w:tabs>
      </w:pPr>
      <w:r>
        <w:rPr>
          <w:szCs w:val="28"/>
        </w:rPr>
        <w:fldChar w:fldCharType="begin"/>
      </w:r>
      <w:r>
        <w:rPr>
          <w:szCs w:val="28"/>
        </w:rPr>
        <w:instrText xml:space="preserve"> HYPERLINK \l _Toc5931 </w:instrText>
      </w:r>
      <w:r>
        <w:rPr>
          <w:szCs w:val="28"/>
        </w:rPr>
        <w:fldChar w:fldCharType="separate"/>
      </w:r>
      <w:r>
        <w:rPr>
          <w:szCs w:val="32"/>
        </w:rPr>
        <w:t>6、项目主要污染物产生及预计排放情况</w:t>
      </w:r>
      <w:r>
        <w:tab/>
      </w:r>
      <w:r>
        <w:fldChar w:fldCharType="begin"/>
      </w:r>
      <w:r>
        <w:instrText xml:space="preserve"> PAGEREF _Toc5931 </w:instrText>
      </w:r>
      <w:r>
        <w:fldChar w:fldCharType="separate"/>
      </w:r>
      <w:r>
        <w:t>60</w:t>
      </w:r>
      <w:r>
        <w:fldChar w:fldCharType="end"/>
      </w:r>
      <w:r>
        <w:rPr>
          <w:szCs w:val="28"/>
        </w:rPr>
        <w:fldChar w:fldCharType="end"/>
      </w:r>
    </w:p>
    <w:p>
      <w:pPr>
        <w:pStyle w:val="26"/>
        <w:tabs>
          <w:tab w:val="right" w:leader="dot" w:pos="8730"/>
          <w:tab w:val="clear" w:pos="8296"/>
        </w:tabs>
      </w:pPr>
      <w:r>
        <w:rPr>
          <w:szCs w:val="28"/>
        </w:rPr>
        <w:fldChar w:fldCharType="begin"/>
      </w:r>
      <w:r>
        <w:rPr>
          <w:szCs w:val="28"/>
        </w:rPr>
        <w:instrText xml:space="preserve"> HYPERLINK \l _Toc25002 </w:instrText>
      </w:r>
      <w:r>
        <w:rPr>
          <w:szCs w:val="28"/>
        </w:rPr>
        <w:fldChar w:fldCharType="separate"/>
      </w:r>
      <w:r>
        <w:t>7、环境影响分析</w:t>
      </w:r>
      <w:r>
        <w:tab/>
      </w:r>
      <w:r>
        <w:fldChar w:fldCharType="begin"/>
      </w:r>
      <w:r>
        <w:instrText xml:space="preserve"> PAGEREF _Toc25002 </w:instrText>
      </w:r>
      <w:r>
        <w:fldChar w:fldCharType="separate"/>
      </w:r>
      <w:r>
        <w:t>61</w:t>
      </w:r>
      <w:r>
        <w:fldChar w:fldCharType="end"/>
      </w:r>
      <w:r>
        <w:rPr>
          <w:szCs w:val="28"/>
        </w:rPr>
        <w:fldChar w:fldCharType="end"/>
      </w:r>
    </w:p>
    <w:p>
      <w:pPr>
        <w:pStyle w:val="26"/>
        <w:tabs>
          <w:tab w:val="right" w:leader="dot" w:pos="8730"/>
          <w:tab w:val="clear" w:pos="8296"/>
        </w:tabs>
      </w:pPr>
      <w:r>
        <w:rPr>
          <w:szCs w:val="28"/>
        </w:rPr>
        <w:fldChar w:fldCharType="begin"/>
      </w:r>
      <w:r>
        <w:rPr>
          <w:szCs w:val="28"/>
        </w:rPr>
        <w:instrText xml:space="preserve"> HYPERLINK \l _Toc657 </w:instrText>
      </w:r>
      <w:r>
        <w:rPr>
          <w:szCs w:val="28"/>
        </w:rPr>
        <w:fldChar w:fldCharType="separate"/>
      </w:r>
      <w:r>
        <w:rPr>
          <w:szCs w:val="32"/>
        </w:rPr>
        <w:t>8、建设项目拟采取的防治措施及预期治理效果</w:t>
      </w:r>
      <w:r>
        <w:tab/>
      </w:r>
      <w:r>
        <w:fldChar w:fldCharType="begin"/>
      </w:r>
      <w:r>
        <w:instrText xml:space="preserve"> PAGEREF _Toc657 </w:instrText>
      </w:r>
      <w:r>
        <w:fldChar w:fldCharType="separate"/>
      </w:r>
      <w:r>
        <w:t>90</w:t>
      </w:r>
      <w:r>
        <w:fldChar w:fldCharType="end"/>
      </w:r>
      <w:r>
        <w:rPr>
          <w:szCs w:val="28"/>
        </w:rPr>
        <w:fldChar w:fldCharType="end"/>
      </w:r>
    </w:p>
    <w:p>
      <w:pPr>
        <w:pStyle w:val="26"/>
        <w:tabs>
          <w:tab w:val="right" w:leader="dot" w:pos="8730"/>
          <w:tab w:val="clear" w:pos="8296"/>
        </w:tabs>
      </w:pPr>
      <w:r>
        <w:rPr>
          <w:szCs w:val="28"/>
        </w:rPr>
        <w:fldChar w:fldCharType="begin"/>
      </w:r>
      <w:r>
        <w:rPr>
          <w:szCs w:val="28"/>
        </w:rPr>
        <w:instrText xml:space="preserve"> HYPERLINK \l _Toc20641 </w:instrText>
      </w:r>
      <w:r>
        <w:rPr>
          <w:szCs w:val="28"/>
        </w:rPr>
        <w:fldChar w:fldCharType="separate"/>
      </w:r>
      <w:r>
        <w:t>9、结论与建议</w:t>
      </w:r>
      <w:r>
        <w:tab/>
      </w:r>
      <w:r>
        <w:fldChar w:fldCharType="begin"/>
      </w:r>
      <w:r>
        <w:instrText xml:space="preserve"> PAGEREF _Toc20641 </w:instrText>
      </w:r>
      <w:r>
        <w:fldChar w:fldCharType="separate"/>
      </w:r>
      <w:r>
        <w:t>92</w:t>
      </w:r>
      <w:r>
        <w:fldChar w:fldCharType="end"/>
      </w:r>
      <w:r>
        <w:rPr>
          <w:szCs w:val="28"/>
        </w:rPr>
        <w:fldChar w:fldCharType="end"/>
      </w:r>
    </w:p>
    <w:p>
      <w:pPr>
        <w:ind w:firstLine="0" w:firstLineChars="0"/>
        <w:jc w:val="distribute"/>
      </w:pPr>
      <w:r>
        <w:rPr>
          <w:szCs w:val="28"/>
        </w:rPr>
        <w:fldChar w:fldCharType="end"/>
      </w:r>
      <w:r>
        <w:t xml:space="preserve"> </w:t>
      </w:r>
    </w:p>
    <w:p>
      <w:pPr>
        <w:pStyle w:val="26"/>
        <w:ind w:firstLine="241" w:firstLineChars="100"/>
        <w:jc w:val="both"/>
        <w:rPr>
          <w:b/>
          <w:bCs/>
        </w:rPr>
      </w:pPr>
      <w:r>
        <w:rPr>
          <w:b/>
          <w:bCs/>
        </w:rPr>
        <w:t>附件</w:t>
      </w:r>
    </w:p>
    <w:p>
      <w:pPr>
        <w:tabs>
          <w:tab w:val="right" w:leader="middleDot" w:pos="7654"/>
        </w:tabs>
        <w:snapToGrid w:val="0"/>
        <w:ind w:firstLine="240" w:firstLineChars="100"/>
        <w:rPr>
          <w:szCs w:val="24"/>
        </w:rPr>
      </w:pPr>
      <w:r>
        <w:rPr>
          <w:szCs w:val="24"/>
        </w:rPr>
        <w:t>1、附件1-浙江省工业企业“零土地”技术改造项目备案通知书</w:t>
      </w:r>
    </w:p>
    <w:p>
      <w:pPr>
        <w:tabs>
          <w:tab w:val="right" w:leader="middleDot" w:pos="7654"/>
        </w:tabs>
        <w:snapToGrid w:val="0"/>
        <w:ind w:firstLine="240" w:firstLineChars="100"/>
        <w:rPr>
          <w:szCs w:val="24"/>
        </w:rPr>
      </w:pPr>
      <w:r>
        <w:rPr>
          <w:szCs w:val="24"/>
        </w:rPr>
        <w:t>2、附件2-企业营业执照             3、附件3-土地证</w:t>
      </w:r>
      <w:r>
        <w:rPr>
          <w:rFonts w:hint="eastAsia"/>
          <w:szCs w:val="24"/>
        </w:rPr>
        <w:t>、房屋产权证明</w:t>
      </w:r>
    </w:p>
    <w:p>
      <w:pPr>
        <w:tabs>
          <w:tab w:val="right" w:leader="middleDot" w:pos="7654"/>
        </w:tabs>
        <w:snapToGrid w:val="0"/>
        <w:ind w:firstLine="240" w:firstLineChars="100"/>
        <w:rPr>
          <w:szCs w:val="24"/>
        </w:rPr>
      </w:pPr>
      <w:r>
        <w:rPr>
          <w:szCs w:val="24"/>
        </w:rPr>
        <w:t xml:space="preserve">4、附件4-房屋转让合同           </w:t>
      </w:r>
      <w:r>
        <w:rPr>
          <w:rFonts w:hint="eastAsia"/>
          <w:szCs w:val="24"/>
        </w:rPr>
        <w:t xml:space="preserve">  </w:t>
      </w:r>
      <w:r>
        <w:rPr>
          <w:szCs w:val="24"/>
        </w:rPr>
        <w:t>5、附件5-排水意向申请表</w:t>
      </w:r>
    </w:p>
    <w:p>
      <w:pPr>
        <w:tabs>
          <w:tab w:val="right" w:leader="middleDot" w:pos="7654"/>
        </w:tabs>
        <w:snapToGrid w:val="0"/>
        <w:ind w:firstLine="240" w:firstLineChars="100"/>
        <w:rPr>
          <w:rFonts w:hint="eastAsia"/>
          <w:szCs w:val="24"/>
        </w:rPr>
      </w:pPr>
      <w:r>
        <w:rPr>
          <w:rFonts w:hint="eastAsia"/>
          <w:szCs w:val="24"/>
        </w:rPr>
        <w:t xml:space="preserve">6、附件6-绝缘漆MSDS         </w:t>
      </w:r>
      <w:r>
        <w:rPr>
          <w:rFonts w:hint="eastAsia"/>
          <w:szCs w:val="24"/>
          <w:lang w:val="en-US" w:eastAsia="zh-CN"/>
        </w:rPr>
        <w:t xml:space="preserve">    </w:t>
      </w:r>
      <w:r>
        <w:rPr>
          <w:rFonts w:hint="eastAsia"/>
          <w:szCs w:val="24"/>
        </w:rPr>
        <w:t xml:space="preserve">7、附件7-危废处置协议  </w:t>
      </w:r>
    </w:p>
    <w:p>
      <w:pPr>
        <w:tabs>
          <w:tab w:val="right" w:leader="middleDot" w:pos="7654"/>
        </w:tabs>
        <w:snapToGrid w:val="0"/>
        <w:ind w:firstLine="240" w:firstLineChars="100"/>
        <w:rPr>
          <w:szCs w:val="24"/>
        </w:rPr>
      </w:pPr>
      <w:r>
        <w:rPr>
          <w:rFonts w:hint="eastAsia"/>
          <w:szCs w:val="24"/>
          <w:lang w:val="en-US" w:eastAsia="zh-CN"/>
        </w:rPr>
        <w:t>8、附件8-总量平衡意见</w:t>
      </w:r>
      <w:bookmarkStart w:id="198" w:name="_GoBack"/>
      <w:bookmarkEnd w:id="198"/>
      <w:r>
        <w:rPr>
          <w:rFonts w:hint="eastAsia"/>
          <w:szCs w:val="24"/>
        </w:rPr>
        <w:t xml:space="preserve">           </w:t>
      </w:r>
    </w:p>
    <w:p>
      <w:pPr>
        <w:tabs>
          <w:tab w:val="right" w:leader="middleDot" w:pos="7654"/>
        </w:tabs>
        <w:snapToGrid w:val="0"/>
        <w:ind w:firstLine="241" w:firstLineChars="100"/>
        <w:rPr>
          <w:szCs w:val="24"/>
        </w:rPr>
      </w:pPr>
      <w:r>
        <w:rPr>
          <w:b/>
          <w:szCs w:val="24"/>
        </w:rPr>
        <w:t>附图</w:t>
      </w:r>
    </w:p>
    <w:p>
      <w:pPr>
        <w:tabs>
          <w:tab w:val="right" w:leader="middleDot" w:pos="7654"/>
        </w:tabs>
        <w:snapToGrid w:val="0"/>
        <w:ind w:firstLine="240" w:firstLineChars="100"/>
        <w:rPr>
          <w:szCs w:val="24"/>
        </w:rPr>
      </w:pPr>
      <w:r>
        <w:rPr>
          <w:szCs w:val="24"/>
        </w:rPr>
        <w:t>1、附图1-建设项目地理位置图</w:t>
      </w:r>
      <w:r>
        <w:rPr>
          <w:rFonts w:hint="eastAsia"/>
          <w:szCs w:val="24"/>
        </w:rPr>
        <w:t xml:space="preserve">           </w:t>
      </w:r>
      <w:r>
        <w:rPr>
          <w:szCs w:val="24"/>
        </w:rPr>
        <w:t>2、附图2-桐乡市环境管控单元分类图</w:t>
      </w:r>
    </w:p>
    <w:p>
      <w:pPr>
        <w:tabs>
          <w:tab w:val="right" w:leader="middleDot" w:pos="7654"/>
        </w:tabs>
        <w:snapToGrid w:val="0"/>
        <w:ind w:firstLine="240" w:firstLineChars="100"/>
        <w:rPr>
          <w:szCs w:val="24"/>
        </w:rPr>
      </w:pPr>
      <w:r>
        <w:rPr>
          <w:szCs w:val="24"/>
        </w:rPr>
        <w:t>3、附图3-水环境功能区划图</w:t>
      </w:r>
      <w:r>
        <w:rPr>
          <w:rFonts w:hint="eastAsia"/>
          <w:szCs w:val="24"/>
        </w:rPr>
        <w:t xml:space="preserve">       </w:t>
      </w:r>
    </w:p>
    <w:p>
      <w:pPr>
        <w:tabs>
          <w:tab w:val="right" w:leader="middleDot" w:pos="7654"/>
        </w:tabs>
        <w:snapToGrid w:val="0"/>
        <w:ind w:firstLine="240" w:firstLineChars="100"/>
        <w:rPr>
          <w:szCs w:val="24"/>
        </w:rPr>
      </w:pPr>
      <w:r>
        <w:rPr>
          <w:szCs w:val="24"/>
        </w:rPr>
        <w:t>4、附图4-嘉兴市环境空气质量功能区划分图</w:t>
      </w:r>
    </w:p>
    <w:p>
      <w:pPr>
        <w:tabs>
          <w:tab w:val="right" w:leader="middleDot" w:pos="7654"/>
        </w:tabs>
        <w:snapToGrid w:val="0"/>
        <w:ind w:firstLine="240" w:firstLineChars="100"/>
        <w:rPr>
          <w:szCs w:val="24"/>
        </w:rPr>
      </w:pPr>
      <w:r>
        <w:rPr>
          <w:szCs w:val="24"/>
        </w:rPr>
        <w:t>5、附图5-桐乡市生态保护红线分布图</w:t>
      </w:r>
    </w:p>
    <w:p>
      <w:pPr>
        <w:tabs>
          <w:tab w:val="right" w:leader="middleDot" w:pos="7654"/>
        </w:tabs>
        <w:snapToGrid w:val="0"/>
        <w:ind w:firstLine="240" w:firstLineChars="100"/>
        <w:rPr>
          <w:szCs w:val="24"/>
        </w:rPr>
      </w:pPr>
      <w:r>
        <w:rPr>
          <w:szCs w:val="24"/>
        </w:rPr>
        <w:t>6、附图6-桐乡市崇福镇工业区四期控制性详细规划图</w:t>
      </w:r>
    </w:p>
    <w:p>
      <w:pPr>
        <w:tabs>
          <w:tab w:val="right" w:leader="middleDot" w:pos="7654"/>
        </w:tabs>
        <w:snapToGrid w:val="0"/>
        <w:ind w:firstLine="240" w:firstLineChars="100"/>
        <w:rPr>
          <w:szCs w:val="24"/>
        </w:rPr>
      </w:pPr>
      <w:r>
        <w:rPr>
          <w:szCs w:val="24"/>
        </w:rPr>
        <w:t>7、附图7-1-建设项目周围环境图</w:t>
      </w:r>
      <w:r>
        <w:rPr>
          <w:sz w:val="11"/>
          <w:szCs w:val="11"/>
        </w:rPr>
        <w:t xml:space="preserve"> </w:t>
      </w:r>
      <w:r>
        <w:rPr>
          <w:rFonts w:hint="eastAsia"/>
          <w:sz w:val="11"/>
          <w:szCs w:val="11"/>
        </w:rPr>
        <w:t xml:space="preserve">                     </w:t>
      </w:r>
      <w:r>
        <w:rPr>
          <w:szCs w:val="24"/>
        </w:rPr>
        <w:t xml:space="preserve">8、附图7-2-建设项目厂区平面布置图                                                                      </w:t>
      </w:r>
    </w:p>
    <w:p>
      <w:pPr>
        <w:tabs>
          <w:tab w:val="right" w:leader="middleDot" w:pos="7654"/>
        </w:tabs>
        <w:snapToGrid w:val="0"/>
        <w:ind w:firstLine="240" w:firstLineChars="100"/>
        <w:rPr>
          <w:szCs w:val="24"/>
        </w:rPr>
      </w:pPr>
      <w:r>
        <w:rPr>
          <w:rFonts w:hint="eastAsia"/>
          <w:szCs w:val="24"/>
        </w:rPr>
        <w:t xml:space="preserve">9、附图8-建设项目卫生防护距离包络线图 </w:t>
      </w:r>
    </w:p>
    <w:p>
      <w:pPr>
        <w:tabs>
          <w:tab w:val="right" w:leader="middleDot" w:pos="7654"/>
        </w:tabs>
        <w:snapToGrid w:val="0"/>
        <w:ind w:firstLine="240" w:firstLineChars="100"/>
        <w:rPr>
          <w:szCs w:val="24"/>
        </w:rPr>
      </w:pPr>
      <w:r>
        <w:rPr>
          <w:rFonts w:hint="eastAsia"/>
          <w:szCs w:val="24"/>
        </w:rPr>
        <w:t>10</w:t>
      </w:r>
      <w:r>
        <w:rPr>
          <w:szCs w:val="24"/>
        </w:rPr>
        <w:t>、附图</w:t>
      </w:r>
      <w:r>
        <w:rPr>
          <w:rFonts w:hint="eastAsia"/>
          <w:szCs w:val="24"/>
        </w:rPr>
        <w:t>9</w:t>
      </w:r>
      <w:r>
        <w:rPr>
          <w:szCs w:val="24"/>
        </w:rPr>
        <w:t>-建设项目周围环境状况图</w:t>
      </w:r>
    </w:p>
    <w:p>
      <w:pPr>
        <w:tabs>
          <w:tab w:val="right" w:leader="middleDot" w:pos="7654"/>
        </w:tabs>
        <w:snapToGrid w:val="0"/>
        <w:ind w:firstLine="241" w:firstLineChars="100"/>
        <w:rPr>
          <w:b/>
          <w:szCs w:val="24"/>
        </w:rPr>
      </w:pPr>
      <w:r>
        <w:rPr>
          <w:b/>
          <w:szCs w:val="24"/>
        </w:rPr>
        <w:t>建设项目环评审批基本信息表</w:t>
      </w:r>
    </w:p>
    <w:p>
      <w:pPr>
        <w:tabs>
          <w:tab w:val="right" w:leader="middleDot" w:pos="7654"/>
        </w:tabs>
        <w:snapToGrid w:val="0"/>
        <w:ind w:firstLine="241" w:firstLineChars="100"/>
        <w:rPr>
          <w:b/>
          <w:szCs w:val="24"/>
        </w:rPr>
      </w:pPr>
      <w:r>
        <w:rPr>
          <w:b/>
          <w:szCs w:val="24"/>
        </w:rPr>
        <w:t>建设项目环境影响评价文件确认书</w:t>
      </w:r>
    </w:p>
    <w:p>
      <w:pPr>
        <w:tabs>
          <w:tab w:val="right" w:leader="middleDot" w:pos="7654"/>
        </w:tabs>
        <w:snapToGrid w:val="0"/>
        <w:ind w:firstLine="482"/>
        <w:rPr>
          <w:b/>
          <w:szCs w:val="24"/>
        </w:rPr>
        <w:sectPr>
          <w:headerReference r:id="rId9" w:type="first"/>
          <w:footerReference r:id="rId12" w:type="first"/>
          <w:headerReference r:id="rId7" w:type="default"/>
          <w:footerReference r:id="rId10" w:type="default"/>
          <w:headerReference r:id="rId8" w:type="even"/>
          <w:footerReference r:id="rId11" w:type="even"/>
          <w:pgSz w:w="11906" w:h="16838"/>
          <w:pgMar w:top="1474" w:right="1588" w:bottom="1418" w:left="1588" w:header="851" w:footer="907" w:gutter="0"/>
          <w:pgNumType w:fmt="upperRoman" w:start="1"/>
          <w:cols w:space="720" w:num="1"/>
          <w:docGrid w:linePitch="312" w:charSpace="0"/>
        </w:sectPr>
      </w:pPr>
    </w:p>
    <w:p>
      <w:pPr>
        <w:pStyle w:val="4"/>
        <w:ind w:firstLine="321" w:firstLineChars="100"/>
        <w:rPr>
          <w:szCs w:val="32"/>
        </w:rPr>
      </w:pPr>
      <w:bookmarkStart w:id="25" w:name="_Toc23314"/>
      <w:bookmarkStart w:id="26" w:name="_Toc29380576"/>
      <w:bookmarkStart w:id="27" w:name="_Toc29388527"/>
      <w:r>
        <w:rPr>
          <w:szCs w:val="32"/>
        </w:rPr>
        <w:t>1、建设项目基本情况</w:t>
      </w:r>
      <w:bookmarkEnd w:id="25"/>
      <w:bookmarkEnd w:id="26"/>
      <w:bookmarkEnd w:id="27"/>
    </w:p>
    <w:tbl>
      <w:tblPr>
        <w:tblStyle w:val="34"/>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526"/>
        <w:gridCol w:w="991"/>
        <w:gridCol w:w="725"/>
        <w:gridCol w:w="1063"/>
        <w:gridCol w:w="1476"/>
        <w:gridCol w:w="1295"/>
        <w:gridCol w:w="297"/>
        <w:gridCol w:w="157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52" w:hRule="atLeast"/>
          <w:jc w:val="center"/>
        </w:trPr>
        <w:tc>
          <w:tcPr>
            <w:tcW w:w="853" w:type="pct"/>
            <w:tcBorders>
              <w:top w:val="single" w:color="auto" w:sz="12" w:space="0"/>
              <w:left w:val="single" w:color="auto" w:sz="12" w:space="0"/>
              <w:bottom w:val="single" w:color="auto" w:sz="4" w:space="0"/>
            </w:tcBorders>
            <w:vAlign w:val="center"/>
          </w:tcPr>
          <w:p>
            <w:pPr>
              <w:pStyle w:val="49"/>
              <w:rPr>
                <w:b/>
                <w:sz w:val="24"/>
                <w:szCs w:val="24"/>
              </w:rPr>
            </w:pPr>
            <w:r>
              <w:rPr>
                <w:b/>
                <w:sz w:val="24"/>
                <w:szCs w:val="24"/>
              </w:rPr>
              <w:t>项目名称</w:t>
            </w:r>
          </w:p>
        </w:tc>
        <w:tc>
          <w:tcPr>
            <w:tcW w:w="4147" w:type="pct"/>
            <w:gridSpan w:val="7"/>
            <w:tcBorders>
              <w:top w:val="single" w:color="auto" w:sz="12" w:space="0"/>
              <w:right w:val="single" w:color="auto" w:sz="12" w:space="0"/>
            </w:tcBorders>
            <w:vAlign w:val="center"/>
          </w:tcPr>
          <w:p>
            <w:pPr>
              <w:pStyle w:val="49"/>
              <w:rPr>
                <w:sz w:val="24"/>
                <w:szCs w:val="24"/>
              </w:rPr>
            </w:pPr>
            <w:r>
              <w:rPr>
                <w:rFonts w:hint="eastAsia"/>
                <w:sz w:val="24"/>
                <w:szCs w:val="24"/>
              </w:rPr>
              <w:t>嘉兴鸿博机电有限公司</w:t>
            </w:r>
          </w:p>
          <w:p>
            <w:pPr>
              <w:pStyle w:val="49"/>
              <w:rPr>
                <w:sz w:val="24"/>
                <w:szCs w:val="24"/>
              </w:rPr>
            </w:pPr>
            <w:r>
              <w:rPr>
                <w:sz w:val="24"/>
                <w:szCs w:val="24"/>
              </w:rPr>
              <w:t>年产30000件精密配件、15000套后倾离心风机项目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52" w:hRule="atLeast"/>
          <w:jc w:val="center"/>
        </w:trPr>
        <w:tc>
          <w:tcPr>
            <w:tcW w:w="853" w:type="pct"/>
            <w:tcBorders>
              <w:top w:val="single" w:color="auto" w:sz="4" w:space="0"/>
              <w:left w:val="single" w:color="auto" w:sz="12" w:space="0"/>
            </w:tcBorders>
            <w:vAlign w:val="center"/>
          </w:tcPr>
          <w:p>
            <w:pPr>
              <w:pStyle w:val="49"/>
              <w:rPr>
                <w:b/>
                <w:sz w:val="24"/>
                <w:szCs w:val="24"/>
              </w:rPr>
            </w:pPr>
            <w:r>
              <w:rPr>
                <w:b/>
                <w:sz w:val="24"/>
                <w:szCs w:val="24"/>
              </w:rPr>
              <w:t>建设单位</w:t>
            </w:r>
          </w:p>
        </w:tc>
        <w:tc>
          <w:tcPr>
            <w:tcW w:w="4147" w:type="pct"/>
            <w:gridSpan w:val="7"/>
            <w:tcBorders>
              <w:right w:val="single" w:color="auto" w:sz="12" w:space="0"/>
            </w:tcBorders>
            <w:vAlign w:val="center"/>
          </w:tcPr>
          <w:p>
            <w:pPr>
              <w:pStyle w:val="49"/>
              <w:rPr>
                <w:sz w:val="24"/>
                <w:szCs w:val="24"/>
              </w:rPr>
            </w:pPr>
            <w:r>
              <w:rPr>
                <w:sz w:val="24"/>
                <w:szCs w:val="24"/>
              </w:rPr>
              <w:t>嘉兴鸿博机电有限公司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52" w:hRule="atLeast"/>
          <w:jc w:val="center"/>
        </w:trPr>
        <w:tc>
          <w:tcPr>
            <w:tcW w:w="853" w:type="pct"/>
            <w:tcBorders>
              <w:left w:val="single" w:color="auto" w:sz="12" w:space="0"/>
            </w:tcBorders>
            <w:vAlign w:val="center"/>
          </w:tcPr>
          <w:p>
            <w:pPr>
              <w:pStyle w:val="49"/>
              <w:rPr>
                <w:b/>
                <w:sz w:val="24"/>
                <w:szCs w:val="24"/>
              </w:rPr>
            </w:pPr>
            <w:r>
              <w:rPr>
                <w:b/>
                <w:sz w:val="24"/>
                <w:szCs w:val="24"/>
              </w:rPr>
              <w:t>法人代表</w:t>
            </w:r>
          </w:p>
        </w:tc>
        <w:tc>
          <w:tcPr>
            <w:tcW w:w="1553" w:type="pct"/>
            <w:gridSpan w:val="3"/>
            <w:vAlign w:val="center"/>
          </w:tcPr>
          <w:p>
            <w:pPr>
              <w:pStyle w:val="49"/>
              <w:rPr>
                <w:bCs/>
                <w:sz w:val="24"/>
                <w:szCs w:val="24"/>
              </w:rPr>
            </w:pPr>
            <w:r>
              <w:rPr>
                <w:sz w:val="24"/>
                <w:szCs w:val="24"/>
              </w:rPr>
              <w:t>赵永亮</w:t>
            </w:r>
          </w:p>
        </w:tc>
        <w:tc>
          <w:tcPr>
            <w:tcW w:w="825" w:type="pct"/>
            <w:vAlign w:val="center"/>
          </w:tcPr>
          <w:p>
            <w:pPr>
              <w:pStyle w:val="49"/>
              <w:rPr>
                <w:b/>
                <w:sz w:val="24"/>
                <w:szCs w:val="24"/>
              </w:rPr>
            </w:pPr>
            <w:r>
              <w:rPr>
                <w:b/>
                <w:sz w:val="24"/>
                <w:szCs w:val="24"/>
              </w:rPr>
              <w:t>联系人</w:t>
            </w:r>
          </w:p>
        </w:tc>
        <w:tc>
          <w:tcPr>
            <w:tcW w:w="1769" w:type="pct"/>
            <w:gridSpan w:val="3"/>
            <w:tcBorders>
              <w:right w:val="single" w:color="auto" w:sz="12" w:space="0"/>
            </w:tcBorders>
            <w:vAlign w:val="center"/>
          </w:tcPr>
          <w:p>
            <w:pPr>
              <w:pStyle w:val="49"/>
              <w:rPr>
                <w:bCs/>
                <w:sz w:val="24"/>
                <w:szCs w:val="24"/>
              </w:rPr>
            </w:pPr>
            <w:r>
              <w:rPr>
                <w:sz w:val="24"/>
                <w:szCs w:val="24"/>
              </w:rPr>
              <w:t>党慧丽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52" w:hRule="atLeast"/>
          <w:jc w:val="center"/>
        </w:trPr>
        <w:tc>
          <w:tcPr>
            <w:tcW w:w="853" w:type="pct"/>
            <w:tcBorders>
              <w:left w:val="single" w:color="auto" w:sz="12" w:space="0"/>
            </w:tcBorders>
            <w:vAlign w:val="center"/>
          </w:tcPr>
          <w:p>
            <w:pPr>
              <w:pStyle w:val="49"/>
              <w:rPr>
                <w:b/>
                <w:sz w:val="24"/>
                <w:szCs w:val="24"/>
              </w:rPr>
            </w:pPr>
            <w:r>
              <w:rPr>
                <w:b/>
                <w:sz w:val="24"/>
                <w:szCs w:val="24"/>
              </w:rPr>
              <w:t>通讯地址</w:t>
            </w:r>
          </w:p>
        </w:tc>
        <w:tc>
          <w:tcPr>
            <w:tcW w:w="4147" w:type="pct"/>
            <w:gridSpan w:val="7"/>
            <w:tcBorders>
              <w:right w:val="single" w:color="auto" w:sz="12" w:space="0"/>
            </w:tcBorders>
            <w:vAlign w:val="center"/>
          </w:tcPr>
          <w:p>
            <w:pPr>
              <w:pStyle w:val="49"/>
              <w:rPr>
                <w:sz w:val="24"/>
                <w:szCs w:val="24"/>
              </w:rPr>
            </w:pPr>
            <w:r>
              <w:rPr>
                <w:rFonts w:hint="eastAsia"/>
                <w:sz w:val="24"/>
                <w:szCs w:val="24"/>
              </w:rPr>
              <w:t>桐乡市崇福镇杭福路1336号20幢1号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52" w:hRule="atLeast"/>
          <w:jc w:val="center"/>
        </w:trPr>
        <w:tc>
          <w:tcPr>
            <w:tcW w:w="853" w:type="pct"/>
            <w:tcBorders>
              <w:left w:val="single" w:color="auto" w:sz="12" w:space="0"/>
            </w:tcBorders>
            <w:vAlign w:val="center"/>
          </w:tcPr>
          <w:p>
            <w:pPr>
              <w:pStyle w:val="49"/>
              <w:rPr>
                <w:b/>
                <w:sz w:val="24"/>
                <w:szCs w:val="24"/>
              </w:rPr>
            </w:pPr>
            <w:r>
              <w:rPr>
                <w:b/>
                <w:sz w:val="24"/>
                <w:szCs w:val="24"/>
              </w:rPr>
              <w:t>联系电话</w:t>
            </w:r>
          </w:p>
        </w:tc>
        <w:tc>
          <w:tcPr>
            <w:tcW w:w="959" w:type="pct"/>
            <w:gridSpan w:val="2"/>
            <w:vAlign w:val="center"/>
          </w:tcPr>
          <w:p>
            <w:pPr>
              <w:pStyle w:val="49"/>
              <w:rPr>
                <w:sz w:val="24"/>
                <w:szCs w:val="24"/>
              </w:rPr>
            </w:pPr>
            <w:r>
              <w:rPr>
                <w:rFonts w:hint="eastAsia"/>
                <w:sz w:val="24"/>
                <w:szCs w:val="24"/>
              </w:rPr>
              <w:t>15824356580</w:t>
            </w:r>
          </w:p>
        </w:tc>
        <w:tc>
          <w:tcPr>
            <w:tcW w:w="594" w:type="pct"/>
            <w:vAlign w:val="center"/>
          </w:tcPr>
          <w:p>
            <w:pPr>
              <w:pStyle w:val="49"/>
              <w:rPr>
                <w:b/>
                <w:sz w:val="24"/>
                <w:szCs w:val="24"/>
              </w:rPr>
            </w:pPr>
            <w:r>
              <w:rPr>
                <w:b/>
                <w:sz w:val="24"/>
                <w:szCs w:val="24"/>
              </w:rPr>
              <w:t>传真</w:t>
            </w:r>
          </w:p>
        </w:tc>
        <w:tc>
          <w:tcPr>
            <w:tcW w:w="825" w:type="pct"/>
            <w:vAlign w:val="center"/>
          </w:tcPr>
          <w:p>
            <w:pPr>
              <w:pStyle w:val="49"/>
              <w:rPr>
                <w:sz w:val="24"/>
                <w:szCs w:val="24"/>
              </w:rPr>
            </w:pPr>
            <w:r>
              <w:rPr>
                <w:sz w:val="24"/>
                <w:szCs w:val="24"/>
              </w:rPr>
              <w:t>/</w:t>
            </w:r>
          </w:p>
        </w:tc>
        <w:tc>
          <w:tcPr>
            <w:tcW w:w="724" w:type="pct"/>
            <w:vAlign w:val="center"/>
          </w:tcPr>
          <w:p>
            <w:pPr>
              <w:pStyle w:val="49"/>
              <w:rPr>
                <w:b/>
                <w:sz w:val="24"/>
                <w:szCs w:val="24"/>
              </w:rPr>
            </w:pPr>
            <w:r>
              <w:rPr>
                <w:b/>
                <w:sz w:val="24"/>
                <w:szCs w:val="24"/>
              </w:rPr>
              <w:t>邮政编码</w:t>
            </w:r>
          </w:p>
        </w:tc>
        <w:tc>
          <w:tcPr>
            <w:tcW w:w="1045" w:type="pct"/>
            <w:gridSpan w:val="2"/>
            <w:tcBorders>
              <w:right w:val="single" w:color="auto" w:sz="12" w:space="0"/>
            </w:tcBorders>
            <w:vAlign w:val="center"/>
          </w:tcPr>
          <w:p>
            <w:pPr>
              <w:pStyle w:val="49"/>
              <w:rPr>
                <w:sz w:val="24"/>
                <w:szCs w:val="24"/>
              </w:rPr>
            </w:pPr>
            <w:r>
              <w:rPr>
                <w:sz w:val="24"/>
                <w:szCs w:val="24"/>
              </w:rPr>
              <w:t>314514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52" w:hRule="atLeast"/>
          <w:jc w:val="center"/>
        </w:trPr>
        <w:tc>
          <w:tcPr>
            <w:tcW w:w="853" w:type="pct"/>
            <w:tcBorders>
              <w:left w:val="single" w:color="auto" w:sz="12" w:space="0"/>
            </w:tcBorders>
            <w:vAlign w:val="center"/>
          </w:tcPr>
          <w:p>
            <w:pPr>
              <w:pStyle w:val="49"/>
              <w:rPr>
                <w:b/>
                <w:sz w:val="24"/>
                <w:szCs w:val="24"/>
              </w:rPr>
            </w:pPr>
            <w:r>
              <w:rPr>
                <w:b/>
                <w:sz w:val="24"/>
                <w:szCs w:val="24"/>
              </w:rPr>
              <w:t>建设地点</w:t>
            </w:r>
          </w:p>
        </w:tc>
        <w:tc>
          <w:tcPr>
            <w:tcW w:w="4147" w:type="pct"/>
            <w:gridSpan w:val="7"/>
            <w:tcBorders>
              <w:right w:val="single" w:color="auto" w:sz="12" w:space="0"/>
            </w:tcBorders>
            <w:vAlign w:val="center"/>
          </w:tcPr>
          <w:p>
            <w:pPr>
              <w:pStyle w:val="49"/>
              <w:rPr>
                <w:sz w:val="24"/>
                <w:szCs w:val="24"/>
              </w:rPr>
            </w:pPr>
            <w:r>
              <w:rPr>
                <w:rFonts w:hint="eastAsia"/>
                <w:sz w:val="24"/>
                <w:szCs w:val="24"/>
              </w:rPr>
              <w:t>桐乡市崇福镇杭福路1336号20幢1号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52" w:hRule="atLeast"/>
          <w:jc w:val="center"/>
        </w:trPr>
        <w:tc>
          <w:tcPr>
            <w:tcW w:w="853" w:type="pct"/>
            <w:tcBorders>
              <w:left w:val="single" w:color="auto" w:sz="12" w:space="0"/>
            </w:tcBorders>
            <w:vAlign w:val="center"/>
          </w:tcPr>
          <w:p>
            <w:pPr>
              <w:pStyle w:val="49"/>
              <w:rPr>
                <w:b/>
                <w:sz w:val="24"/>
                <w:szCs w:val="24"/>
              </w:rPr>
            </w:pPr>
            <w:r>
              <w:rPr>
                <w:b/>
                <w:sz w:val="24"/>
                <w:szCs w:val="24"/>
              </w:rPr>
              <w:t>备案机关</w:t>
            </w:r>
          </w:p>
        </w:tc>
        <w:tc>
          <w:tcPr>
            <w:tcW w:w="1553" w:type="pct"/>
            <w:gridSpan w:val="3"/>
            <w:vAlign w:val="center"/>
          </w:tcPr>
          <w:p>
            <w:pPr>
              <w:pStyle w:val="49"/>
              <w:rPr>
                <w:sz w:val="24"/>
                <w:szCs w:val="24"/>
              </w:rPr>
            </w:pPr>
            <w:r>
              <w:rPr>
                <w:sz w:val="24"/>
                <w:szCs w:val="24"/>
              </w:rPr>
              <w:t>桐乡市经济和信息化局</w:t>
            </w:r>
          </w:p>
        </w:tc>
        <w:tc>
          <w:tcPr>
            <w:tcW w:w="825" w:type="pct"/>
            <w:vAlign w:val="center"/>
          </w:tcPr>
          <w:p>
            <w:pPr>
              <w:pStyle w:val="49"/>
              <w:rPr>
                <w:b/>
                <w:sz w:val="24"/>
                <w:szCs w:val="24"/>
              </w:rPr>
            </w:pPr>
            <w:r>
              <w:rPr>
                <w:b/>
                <w:sz w:val="24"/>
                <w:szCs w:val="24"/>
              </w:rPr>
              <w:t>项目代码</w:t>
            </w:r>
          </w:p>
        </w:tc>
        <w:tc>
          <w:tcPr>
            <w:tcW w:w="1769" w:type="pct"/>
            <w:gridSpan w:val="3"/>
            <w:tcBorders>
              <w:right w:val="single" w:color="auto" w:sz="12" w:space="0"/>
            </w:tcBorders>
            <w:vAlign w:val="center"/>
          </w:tcPr>
          <w:p>
            <w:pPr>
              <w:pStyle w:val="46"/>
              <w:spacing w:before="48" w:after="24"/>
              <w:rPr>
                <w:b w:val="0"/>
                <w:bCs/>
                <w:sz w:val="24"/>
                <w:szCs w:val="24"/>
              </w:rPr>
            </w:pPr>
            <w:r>
              <w:rPr>
                <w:b w:val="0"/>
                <w:bCs/>
                <w:sz w:val="24"/>
                <w:szCs w:val="24"/>
              </w:rPr>
              <w:t>2020-330483-34-03-100338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52" w:hRule="atLeast"/>
          <w:jc w:val="center"/>
        </w:trPr>
        <w:tc>
          <w:tcPr>
            <w:tcW w:w="853" w:type="pct"/>
            <w:tcBorders>
              <w:left w:val="single" w:color="auto" w:sz="12" w:space="0"/>
            </w:tcBorders>
            <w:vAlign w:val="center"/>
          </w:tcPr>
          <w:p>
            <w:pPr>
              <w:pStyle w:val="49"/>
              <w:rPr>
                <w:b/>
                <w:sz w:val="24"/>
                <w:szCs w:val="24"/>
              </w:rPr>
            </w:pPr>
            <w:r>
              <w:rPr>
                <w:b/>
                <w:sz w:val="24"/>
                <w:szCs w:val="24"/>
              </w:rPr>
              <w:t>建设性质</w:t>
            </w:r>
          </w:p>
        </w:tc>
        <w:tc>
          <w:tcPr>
            <w:tcW w:w="1553" w:type="pct"/>
            <w:gridSpan w:val="3"/>
            <w:vAlign w:val="center"/>
          </w:tcPr>
          <w:p>
            <w:pPr>
              <w:pStyle w:val="49"/>
              <w:rPr>
                <w:sz w:val="24"/>
                <w:szCs w:val="24"/>
              </w:rPr>
            </w:pPr>
            <w:r>
              <w:rPr>
                <w:sz w:val="24"/>
                <w:szCs w:val="24"/>
              </w:rPr>
              <w:t>新建</w:t>
            </w:r>
          </w:p>
        </w:tc>
        <w:tc>
          <w:tcPr>
            <w:tcW w:w="825" w:type="pct"/>
            <w:vAlign w:val="center"/>
          </w:tcPr>
          <w:p>
            <w:pPr>
              <w:pStyle w:val="49"/>
              <w:rPr>
                <w:b/>
                <w:sz w:val="24"/>
                <w:szCs w:val="24"/>
              </w:rPr>
            </w:pPr>
            <w:r>
              <w:rPr>
                <w:b/>
                <w:sz w:val="24"/>
                <w:szCs w:val="24"/>
              </w:rPr>
              <w:t>行业类别</w:t>
            </w:r>
            <w:r>
              <w:rPr>
                <w:b/>
                <w:sz w:val="24"/>
                <w:szCs w:val="24"/>
              </w:rPr>
              <w:br w:type="textWrapping"/>
            </w:r>
            <w:r>
              <w:rPr>
                <w:b/>
                <w:sz w:val="24"/>
                <w:szCs w:val="24"/>
              </w:rPr>
              <w:t>及代码</w:t>
            </w:r>
          </w:p>
        </w:tc>
        <w:tc>
          <w:tcPr>
            <w:tcW w:w="1769" w:type="pct"/>
            <w:gridSpan w:val="3"/>
            <w:tcBorders>
              <w:right w:val="single" w:color="auto" w:sz="12" w:space="0"/>
            </w:tcBorders>
            <w:vAlign w:val="center"/>
          </w:tcPr>
          <w:p>
            <w:pPr>
              <w:pStyle w:val="46"/>
              <w:spacing w:before="48" w:after="24"/>
              <w:rPr>
                <w:b w:val="0"/>
                <w:sz w:val="24"/>
                <w:szCs w:val="24"/>
              </w:rPr>
            </w:pPr>
            <w:r>
              <w:rPr>
                <w:b w:val="0"/>
                <w:sz w:val="24"/>
                <w:szCs w:val="24"/>
              </w:rPr>
              <w:t xml:space="preserve">C346 </w:t>
            </w:r>
            <w:r>
              <w:rPr>
                <w:rFonts w:hint="eastAsia"/>
                <w:b w:val="0"/>
                <w:sz w:val="24"/>
                <w:szCs w:val="24"/>
              </w:rPr>
              <w:t>烘炉、风机、包装等设备制造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52" w:hRule="atLeast"/>
          <w:jc w:val="center"/>
        </w:trPr>
        <w:tc>
          <w:tcPr>
            <w:tcW w:w="853" w:type="pct"/>
            <w:tcBorders>
              <w:left w:val="single" w:color="auto" w:sz="12" w:space="0"/>
            </w:tcBorders>
            <w:vAlign w:val="center"/>
          </w:tcPr>
          <w:p>
            <w:pPr>
              <w:pStyle w:val="49"/>
              <w:rPr>
                <w:b/>
                <w:sz w:val="24"/>
                <w:szCs w:val="24"/>
              </w:rPr>
            </w:pPr>
            <w:r>
              <w:rPr>
                <w:b/>
                <w:sz w:val="24"/>
                <w:szCs w:val="24"/>
              </w:rPr>
              <w:t>总建筑面积</w:t>
            </w:r>
            <w:r>
              <w:rPr>
                <w:b/>
                <w:sz w:val="24"/>
                <w:szCs w:val="24"/>
              </w:rPr>
              <w:br w:type="textWrapping"/>
            </w:r>
            <w:r>
              <w:rPr>
                <w:b/>
                <w:sz w:val="24"/>
                <w:szCs w:val="24"/>
              </w:rPr>
              <w:t>(平方米)</w:t>
            </w:r>
          </w:p>
        </w:tc>
        <w:tc>
          <w:tcPr>
            <w:tcW w:w="1553" w:type="pct"/>
            <w:gridSpan w:val="3"/>
            <w:vAlign w:val="center"/>
          </w:tcPr>
          <w:p>
            <w:pPr>
              <w:pStyle w:val="49"/>
              <w:rPr>
                <w:sz w:val="24"/>
                <w:szCs w:val="24"/>
              </w:rPr>
            </w:pPr>
            <w:r>
              <w:rPr>
                <w:sz w:val="24"/>
                <w:szCs w:val="24"/>
              </w:rPr>
              <w:t>1542.56</w:t>
            </w:r>
          </w:p>
        </w:tc>
        <w:tc>
          <w:tcPr>
            <w:tcW w:w="825" w:type="pct"/>
            <w:vAlign w:val="center"/>
          </w:tcPr>
          <w:p>
            <w:pPr>
              <w:pStyle w:val="49"/>
              <w:rPr>
                <w:b/>
                <w:sz w:val="24"/>
                <w:szCs w:val="24"/>
              </w:rPr>
            </w:pPr>
            <w:r>
              <w:rPr>
                <w:b/>
                <w:sz w:val="24"/>
                <w:szCs w:val="24"/>
              </w:rPr>
              <w:t>绿化面积</w:t>
            </w:r>
            <w:r>
              <w:rPr>
                <w:b/>
                <w:sz w:val="24"/>
                <w:szCs w:val="24"/>
              </w:rPr>
              <w:br w:type="textWrapping"/>
            </w:r>
            <w:r>
              <w:rPr>
                <w:b/>
                <w:sz w:val="24"/>
                <w:szCs w:val="24"/>
              </w:rPr>
              <w:t>(平方米)</w:t>
            </w:r>
          </w:p>
        </w:tc>
        <w:tc>
          <w:tcPr>
            <w:tcW w:w="1769" w:type="pct"/>
            <w:gridSpan w:val="3"/>
            <w:tcBorders>
              <w:right w:val="single" w:color="auto" w:sz="12" w:space="0"/>
            </w:tcBorders>
            <w:vAlign w:val="center"/>
          </w:tcPr>
          <w:p>
            <w:pPr>
              <w:pStyle w:val="46"/>
              <w:spacing w:before="48" w:after="24"/>
              <w:rPr>
                <w:b w:val="0"/>
                <w:sz w:val="24"/>
                <w:szCs w:val="24"/>
              </w:rPr>
            </w:pPr>
            <w:r>
              <w:rPr>
                <w:b w:val="0"/>
                <w:sz w:val="24"/>
                <w:szCs w:val="24"/>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52" w:hRule="atLeast"/>
          <w:jc w:val="center"/>
        </w:trPr>
        <w:tc>
          <w:tcPr>
            <w:tcW w:w="853" w:type="pct"/>
            <w:tcBorders>
              <w:left w:val="single" w:color="auto" w:sz="12" w:space="0"/>
            </w:tcBorders>
            <w:vAlign w:val="center"/>
          </w:tcPr>
          <w:p>
            <w:pPr>
              <w:pStyle w:val="49"/>
              <w:rPr>
                <w:b/>
                <w:sz w:val="24"/>
                <w:szCs w:val="24"/>
              </w:rPr>
            </w:pPr>
            <w:r>
              <w:rPr>
                <w:b/>
                <w:sz w:val="24"/>
                <w:szCs w:val="24"/>
              </w:rPr>
              <w:t>总投资</w:t>
            </w:r>
            <w:r>
              <w:rPr>
                <w:b/>
                <w:sz w:val="24"/>
                <w:szCs w:val="24"/>
              </w:rPr>
              <w:br w:type="textWrapping"/>
            </w:r>
            <w:r>
              <w:rPr>
                <w:b/>
                <w:sz w:val="24"/>
                <w:szCs w:val="24"/>
              </w:rPr>
              <w:t>(万元)</w:t>
            </w:r>
          </w:p>
        </w:tc>
        <w:tc>
          <w:tcPr>
            <w:tcW w:w="554" w:type="pct"/>
            <w:vAlign w:val="center"/>
          </w:tcPr>
          <w:p>
            <w:pPr>
              <w:pStyle w:val="49"/>
              <w:rPr>
                <w:sz w:val="24"/>
                <w:szCs w:val="24"/>
              </w:rPr>
            </w:pPr>
            <w:r>
              <w:rPr>
                <w:sz w:val="24"/>
                <w:szCs w:val="24"/>
              </w:rPr>
              <w:t>1014.5</w:t>
            </w:r>
          </w:p>
        </w:tc>
        <w:tc>
          <w:tcPr>
            <w:tcW w:w="999" w:type="pct"/>
            <w:gridSpan w:val="2"/>
            <w:vAlign w:val="center"/>
          </w:tcPr>
          <w:p>
            <w:pPr>
              <w:pStyle w:val="49"/>
              <w:rPr>
                <w:b/>
                <w:sz w:val="24"/>
                <w:szCs w:val="24"/>
              </w:rPr>
            </w:pPr>
            <w:r>
              <w:rPr>
                <w:b/>
                <w:sz w:val="24"/>
                <w:szCs w:val="24"/>
              </w:rPr>
              <w:t>其中：环保</w:t>
            </w:r>
            <w:r>
              <w:rPr>
                <w:b/>
                <w:sz w:val="24"/>
                <w:szCs w:val="24"/>
              </w:rPr>
              <w:br w:type="textWrapping"/>
            </w:r>
            <w:r>
              <w:rPr>
                <w:b/>
                <w:sz w:val="24"/>
                <w:szCs w:val="24"/>
              </w:rPr>
              <w:t>投资(万元)</w:t>
            </w:r>
          </w:p>
        </w:tc>
        <w:tc>
          <w:tcPr>
            <w:tcW w:w="825" w:type="pct"/>
            <w:vAlign w:val="center"/>
          </w:tcPr>
          <w:p>
            <w:pPr>
              <w:pStyle w:val="49"/>
              <w:rPr>
                <w:sz w:val="24"/>
                <w:szCs w:val="24"/>
              </w:rPr>
            </w:pPr>
            <w:r>
              <w:rPr>
                <w:sz w:val="24"/>
                <w:szCs w:val="24"/>
              </w:rPr>
              <w:t>3</w:t>
            </w:r>
            <w:r>
              <w:rPr>
                <w:rFonts w:hint="eastAsia"/>
                <w:sz w:val="24"/>
                <w:szCs w:val="24"/>
              </w:rPr>
              <w:t>5</w:t>
            </w:r>
          </w:p>
        </w:tc>
        <w:tc>
          <w:tcPr>
            <w:tcW w:w="890" w:type="pct"/>
            <w:gridSpan w:val="2"/>
            <w:vAlign w:val="center"/>
          </w:tcPr>
          <w:p>
            <w:pPr>
              <w:pStyle w:val="49"/>
              <w:rPr>
                <w:b/>
                <w:sz w:val="24"/>
                <w:szCs w:val="24"/>
              </w:rPr>
            </w:pPr>
            <w:r>
              <w:rPr>
                <w:b/>
                <w:sz w:val="24"/>
                <w:szCs w:val="24"/>
              </w:rPr>
              <w:t>环保投资占</w:t>
            </w:r>
            <w:r>
              <w:rPr>
                <w:b/>
                <w:sz w:val="24"/>
                <w:szCs w:val="24"/>
              </w:rPr>
              <w:br w:type="textWrapping"/>
            </w:r>
            <w:r>
              <w:rPr>
                <w:b/>
                <w:sz w:val="24"/>
                <w:szCs w:val="24"/>
              </w:rPr>
              <w:t>总投资比例</w:t>
            </w:r>
          </w:p>
        </w:tc>
        <w:tc>
          <w:tcPr>
            <w:tcW w:w="879" w:type="pct"/>
            <w:tcBorders>
              <w:right w:val="single" w:color="auto" w:sz="12" w:space="0"/>
            </w:tcBorders>
            <w:vAlign w:val="center"/>
          </w:tcPr>
          <w:p>
            <w:pPr>
              <w:pStyle w:val="49"/>
              <w:rPr>
                <w:sz w:val="24"/>
                <w:szCs w:val="24"/>
              </w:rPr>
            </w:pPr>
            <w:r>
              <w:rPr>
                <w:rFonts w:hint="eastAsia"/>
                <w:sz w:val="24"/>
                <w:szCs w:val="24"/>
              </w:rPr>
              <w:t>3.45</w:t>
            </w:r>
            <w:r>
              <w:rPr>
                <w:sz w:val="24"/>
                <w:szCs w:val="24"/>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52" w:hRule="atLeast"/>
          <w:jc w:val="center"/>
        </w:trPr>
        <w:tc>
          <w:tcPr>
            <w:tcW w:w="853" w:type="pct"/>
            <w:tcBorders>
              <w:left w:val="single" w:color="auto" w:sz="12" w:space="0"/>
              <w:bottom w:val="single" w:color="auto" w:sz="12" w:space="0"/>
            </w:tcBorders>
            <w:vAlign w:val="center"/>
          </w:tcPr>
          <w:p>
            <w:pPr>
              <w:pStyle w:val="49"/>
              <w:rPr>
                <w:b/>
                <w:sz w:val="24"/>
                <w:szCs w:val="24"/>
              </w:rPr>
            </w:pPr>
            <w:r>
              <w:rPr>
                <w:b/>
                <w:sz w:val="24"/>
                <w:szCs w:val="24"/>
              </w:rPr>
              <w:t>评价经费</w:t>
            </w:r>
            <w:r>
              <w:rPr>
                <w:b/>
                <w:sz w:val="24"/>
                <w:szCs w:val="24"/>
              </w:rPr>
              <w:br w:type="textWrapping"/>
            </w:r>
            <w:r>
              <w:rPr>
                <w:b/>
                <w:sz w:val="24"/>
                <w:szCs w:val="24"/>
              </w:rPr>
              <w:t>(万元)</w:t>
            </w:r>
          </w:p>
        </w:tc>
        <w:tc>
          <w:tcPr>
            <w:tcW w:w="554" w:type="pct"/>
            <w:tcBorders>
              <w:bottom w:val="single" w:color="auto" w:sz="12" w:space="0"/>
            </w:tcBorders>
            <w:vAlign w:val="center"/>
          </w:tcPr>
          <w:p>
            <w:pPr>
              <w:pStyle w:val="49"/>
              <w:rPr>
                <w:sz w:val="24"/>
                <w:szCs w:val="24"/>
              </w:rPr>
            </w:pPr>
            <w:r>
              <w:rPr>
                <w:sz w:val="24"/>
                <w:szCs w:val="24"/>
              </w:rPr>
              <w:t>/</w:t>
            </w:r>
          </w:p>
        </w:tc>
        <w:tc>
          <w:tcPr>
            <w:tcW w:w="999" w:type="pct"/>
            <w:gridSpan w:val="2"/>
            <w:tcBorders>
              <w:bottom w:val="single" w:color="auto" w:sz="12" w:space="0"/>
            </w:tcBorders>
            <w:vAlign w:val="center"/>
          </w:tcPr>
          <w:p>
            <w:pPr>
              <w:pStyle w:val="49"/>
              <w:rPr>
                <w:b/>
                <w:sz w:val="24"/>
                <w:szCs w:val="24"/>
              </w:rPr>
            </w:pPr>
            <w:r>
              <w:rPr>
                <w:b/>
                <w:sz w:val="24"/>
                <w:szCs w:val="24"/>
              </w:rPr>
              <w:t>预期投产日期</w:t>
            </w:r>
          </w:p>
        </w:tc>
        <w:tc>
          <w:tcPr>
            <w:tcW w:w="2594" w:type="pct"/>
            <w:gridSpan w:val="4"/>
            <w:tcBorders>
              <w:bottom w:val="single" w:color="auto" w:sz="12" w:space="0"/>
              <w:right w:val="single" w:color="auto" w:sz="12" w:space="0"/>
            </w:tcBorders>
            <w:vAlign w:val="center"/>
          </w:tcPr>
          <w:p>
            <w:pPr>
              <w:pStyle w:val="49"/>
              <w:rPr>
                <w:sz w:val="24"/>
                <w:szCs w:val="24"/>
              </w:rPr>
            </w:pPr>
            <w:r>
              <w:rPr>
                <w:sz w:val="24"/>
                <w:szCs w:val="24"/>
              </w:rPr>
              <w:t>2021年</w:t>
            </w:r>
            <w:r>
              <w:rPr>
                <w:rFonts w:hint="eastAsia"/>
                <w:sz w:val="24"/>
                <w:szCs w:val="24"/>
              </w:rPr>
              <w:t>10</w:t>
            </w:r>
            <w:r>
              <w:rPr>
                <w:sz w:val="24"/>
                <w:szCs w:val="24"/>
              </w:rPr>
              <w:t>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000" w:type="pct"/>
            <w:gridSpan w:val="8"/>
            <w:tcBorders>
              <w:left w:val="single" w:color="auto" w:sz="12" w:space="0"/>
              <w:right w:val="single" w:color="auto" w:sz="12" w:space="0"/>
            </w:tcBorders>
            <w:vAlign w:val="center"/>
          </w:tcPr>
          <w:p>
            <w:pPr>
              <w:ind w:firstLine="0" w:firstLineChars="0"/>
              <w:rPr>
                <w:b/>
                <w:sz w:val="28"/>
                <w:szCs w:val="28"/>
              </w:rPr>
            </w:pPr>
            <w:r>
              <w:rPr>
                <w:b/>
                <w:sz w:val="28"/>
                <w:szCs w:val="28"/>
              </w:rPr>
              <w:t>1.1工程内容及规模：</w:t>
            </w:r>
          </w:p>
          <w:p>
            <w:pPr>
              <w:pStyle w:val="6"/>
              <w:rPr>
                <w:kern w:val="2"/>
              </w:rPr>
            </w:pPr>
            <w:bookmarkStart w:id="28" w:name="_Toc29388528"/>
            <w:bookmarkStart w:id="29" w:name="_Toc29380577"/>
            <w:r>
              <w:rPr>
                <w:kern w:val="2"/>
              </w:rPr>
              <w:t>1.1.1项目由来与概况</w:t>
            </w:r>
            <w:bookmarkEnd w:id="28"/>
            <w:bookmarkEnd w:id="29"/>
          </w:p>
          <w:p>
            <w:pPr>
              <w:ind w:firstLine="480"/>
            </w:pPr>
            <w:bookmarkStart w:id="30" w:name="_Hlk37319286"/>
            <w:r>
              <w:rPr>
                <w:szCs w:val="22"/>
              </w:rPr>
              <w:t>嘉兴鸿博机电有限公司主要</w:t>
            </w:r>
            <w:r>
              <w:rPr>
                <w:rFonts w:hint="eastAsia"/>
                <w:szCs w:val="22"/>
              </w:rPr>
              <w:t>从事精密配件、后倾离心风机的生产</w:t>
            </w:r>
            <w:r>
              <w:rPr>
                <w:szCs w:val="22"/>
              </w:rPr>
              <w:t>。为满足企业</w:t>
            </w:r>
            <w:r>
              <w:rPr>
                <w:rFonts w:hint="eastAsia"/>
                <w:szCs w:val="22"/>
              </w:rPr>
              <w:t>生产</w:t>
            </w:r>
            <w:r>
              <w:rPr>
                <w:szCs w:val="22"/>
              </w:rPr>
              <w:t>需求，现企业计划</w:t>
            </w:r>
            <w:r>
              <w:rPr>
                <w:rFonts w:hint="eastAsia"/>
                <w:szCs w:val="22"/>
              </w:rPr>
              <w:t>购置</w:t>
            </w:r>
            <w:r>
              <w:rPr>
                <w:szCs w:val="22"/>
              </w:rPr>
              <w:t>中节能（桐乡）环保科技有限公司位于</w:t>
            </w:r>
            <w:r>
              <w:rPr>
                <w:rFonts w:hint="eastAsia"/>
                <w:szCs w:val="22"/>
              </w:rPr>
              <w:t>桐乡市崇福镇杭福路1336号20幢1号面积为</w:t>
            </w:r>
            <w:r>
              <w:rPr>
                <w:szCs w:val="22"/>
              </w:rPr>
              <w:t>1542.56平方米的工业厂房，并购置加工中心2台、炮塔铣床4台、6140车床1台、平面磨床3台、数控车床3台、平面组合铣床1台、摇臂钻床3台、攻丝机2台、</w:t>
            </w:r>
            <w:r>
              <w:rPr>
                <w:rFonts w:hint="eastAsia"/>
                <w:szCs w:val="22"/>
              </w:rPr>
              <w:t>锯床1台、</w:t>
            </w:r>
            <w:r>
              <w:rPr>
                <w:szCs w:val="22"/>
              </w:rPr>
              <w:t>100T油压机1台、真空含浸机1台、电热烘箱1台、10T油压机1台、综合测试平台1台、定子绕线机1台、动平衡机1台、MIG焊机1台、交流氩弧焊机1台、二保焊1台</w:t>
            </w:r>
            <w:r>
              <w:t>等国产设备，本项目实施后形成</w:t>
            </w:r>
            <w:r>
              <w:rPr>
                <w:szCs w:val="22"/>
              </w:rPr>
              <w:t>年产30000件精密配件、15000套后倾离心风机的生产能力</w:t>
            </w:r>
            <w:r>
              <w:t>。桐乡市经济和信息化局于2020年1月3日出具了《浙江省工业企业“零土地”技术改造项目备案通知书》（项目代码：2020-330483-34-03-100338）对本项目完成备案。</w:t>
            </w:r>
          </w:p>
          <w:bookmarkEnd w:id="30"/>
          <w:p>
            <w:pPr>
              <w:ind w:firstLine="480"/>
            </w:pPr>
            <w:r>
              <w:rPr>
                <w:szCs w:val="22"/>
              </w:rPr>
              <w:t>根据《中华人民共和国环境影响评价法》（主席令第24号）及国务院《建设项目环境保护管理条例》（国务院令第682号）和《浙江省建设项目环境保护管理办法》（省政府令第364号）的有关规定，本建设项目需进行环境影响评价。根据2020年11月30日发布的《建设项目环境影响评价分类管理名录（2021</w:t>
            </w:r>
            <w:r>
              <w:rPr>
                <w:rFonts w:hint="eastAsia"/>
                <w:szCs w:val="22"/>
              </w:rPr>
              <w:t>年</w:t>
            </w:r>
            <w:r>
              <w:rPr>
                <w:szCs w:val="22"/>
              </w:rPr>
              <w:t>版）》（中华人民共和国生态环境部令第16号）及对本项目的工艺分</w:t>
            </w:r>
            <w:r>
              <w:t>析，本项目环评类别判别如下：</w:t>
            </w:r>
          </w:p>
          <w:p>
            <w:pPr>
              <w:pStyle w:val="46"/>
            </w:pPr>
            <w:r>
              <w:t>表1-1 环评类别判别表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
              <w:gridCol w:w="3386"/>
              <w:gridCol w:w="1133"/>
              <w:gridCol w:w="1559"/>
              <w:gridCol w:w="898"/>
              <w:gridCol w:w="1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92" w:type="pct"/>
                  <w:gridSpan w:val="2"/>
                  <w:tcBorders>
                    <w:top w:val="single" w:color="auto" w:sz="4" w:space="0"/>
                    <w:left w:val="single" w:color="auto" w:sz="4" w:space="0"/>
                    <w:bottom w:val="single" w:color="auto" w:sz="4" w:space="0"/>
                    <w:right w:val="single" w:color="auto" w:sz="4" w:space="0"/>
                    <w:tl2br w:val="single" w:color="auto" w:sz="4" w:space="0"/>
                  </w:tcBorders>
                  <w:vAlign w:val="center"/>
                </w:tcPr>
                <w:p>
                  <w:pPr>
                    <w:pStyle w:val="46"/>
                    <w:jc w:val="right"/>
                  </w:pPr>
                  <w:r>
                    <w:t xml:space="preserve">      环评类别</w:t>
                  </w:r>
                </w:p>
                <w:p>
                  <w:pPr>
                    <w:pStyle w:val="46"/>
                    <w:jc w:val="both"/>
                  </w:pPr>
                  <w:r>
                    <w:t>项目类别</w:t>
                  </w:r>
                </w:p>
              </w:tc>
              <w:tc>
                <w:tcPr>
                  <w:tcW w:w="650" w:type="pct"/>
                  <w:tcBorders>
                    <w:top w:val="single" w:color="auto" w:sz="4" w:space="0"/>
                    <w:left w:val="single" w:color="auto" w:sz="4" w:space="0"/>
                    <w:bottom w:val="single" w:color="auto" w:sz="4" w:space="0"/>
                    <w:right w:val="single" w:color="auto" w:sz="4" w:space="0"/>
                  </w:tcBorders>
                  <w:vAlign w:val="center"/>
                </w:tcPr>
                <w:p>
                  <w:pPr>
                    <w:pStyle w:val="46"/>
                  </w:pPr>
                  <w:r>
                    <w:t>报告书</w:t>
                  </w:r>
                </w:p>
              </w:tc>
              <w:tc>
                <w:tcPr>
                  <w:tcW w:w="894" w:type="pct"/>
                  <w:tcBorders>
                    <w:top w:val="single" w:color="auto" w:sz="4" w:space="0"/>
                    <w:left w:val="single" w:color="auto" w:sz="4" w:space="0"/>
                    <w:bottom w:val="single" w:color="auto" w:sz="4" w:space="0"/>
                    <w:right w:val="single" w:color="auto" w:sz="4" w:space="0"/>
                  </w:tcBorders>
                  <w:vAlign w:val="center"/>
                </w:tcPr>
                <w:p>
                  <w:pPr>
                    <w:pStyle w:val="46"/>
                  </w:pPr>
                  <w:r>
                    <w:t>报告表</w:t>
                  </w:r>
                </w:p>
              </w:tc>
              <w:tc>
                <w:tcPr>
                  <w:tcW w:w="515" w:type="pct"/>
                  <w:tcBorders>
                    <w:top w:val="single" w:color="auto" w:sz="4" w:space="0"/>
                    <w:left w:val="single" w:color="auto" w:sz="4" w:space="0"/>
                    <w:bottom w:val="single" w:color="auto" w:sz="4" w:space="0"/>
                    <w:right w:val="single" w:color="auto" w:sz="4" w:space="0"/>
                  </w:tcBorders>
                  <w:vAlign w:val="center"/>
                </w:tcPr>
                <w:p>
                  <w:pPr>
                    <w:pStyle w:val="46"/>
                  </w:pPr>
                  <w:r>
                    <w:t>登记表</w:t>
                  </w:r>
                </w:p>
              </w:tc>
              <w:tc>
                <w:tcPr>
                  <w:tcW w:w="748" w:type="pct"/>
                  <w:tcBorders>
                    <w:top w:val="single" w:color="auto" w:sz="4" w:space="0"/>
                    <w:left w:val="single" w:color="auto" w:sz="4" w:space="0"/>
                    <w:bottom w:val="single" w:color="auto" w:sz="4" w:space="0"/>
                    <w:right w:val="single" w:color="auto" w:sz="4" w:space="0"/>
                  </w:tcBorders>
                  <w:vAlign w:val="center"/>
                </w:tcPr>
                <w:p>
                  <w:pPr>
                    <w:pStyle w:val="46"/>
                  </w:pPr>
                  <w:r>
                    <w:t>本栏目环境敏感区含义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6"/>
                  <w:tcBorders>
                    <w:top w:val="single" w:color="auto" w:sz="4" w:space="0"/>
                    <w:left w:val="single" w:color="auto" w:sz="4" w:space="0"/>
                    <w:bottom w:val="single" w:color="auto" w:sz="4" w:space="0"/>
                    <w:right w:val="single" w:color="auto" w:sz="4" w:space="0"/>
                  </w:tcBorders>
                  <w:vAlign w:val="center"/>
                </w:tcPr>
                <w:p>
                  <w:pPr>
                    <w:pStyle w:val="47"/>
                    <w:jc w:val="both"/>
                    <w:rPr>
                      <w:szCs w:val="21"/>
                    </w:rPr>
                  </w:pPr>
                  <w:r>
                    <w:rPr>
                      <w:rFonts w:hint="eastAsia"/>
                      <w:szCs w:val="21"/>
                    </w:rPr>
                    <w:t>三十一、通用设备制造业 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51" w:type="pct"/>
                  <w:tcBorders>
                    <w:top w:val="single" w:color="auto" w:sz="4" w:space="0"/>
                    <w:left w:val="single" w:color="auto" w:sz="4" w:space="0"/>
                    <w:bottom w:val="single" w:color="auto" w:sz="4" w:space="0"/>
                    <w:right w:val="single" w:color="auto" w:sz="4" w:space="0"/>
                  </w:tcBorders>
                  <w:vAlign w:val="center"/>
                </w:tcPr>
                <w:p>
                  <w:pPr>
                    <w:pStyle w:val="47"/>
                    <w:jc w:val="both"/>
                    <w:rPr>
                      <w:szCs w:val="21"/>
                    </w:rPr>
                  </w:pPr>
                  <w:r>
                    <w:rPr>
                      <w:rFonts w:hint="eastAsia"/>
                      <w:szCs w:val="21"/>
                    </w:rPr>
                    <w:t>69</w:t>
                  </w:r>
                </w:p>
              </w:tc>
              <w:tc>
                <w:tcPr>
                  <w:tcW w:w="1942" w:type="pct"/>
                  <w:tcBorders>
                    <w:top w:val="single" w:color="auto" w:sz="4" w:space="0"/>
                    <w:left w:val="single" w:color="auto" w:sz="4" w:space="0"/>
                    <w:bottom w:val="single" w:color="auto" w:sz="4" w:space="0"/>
                    <w:right w:val="single" w:color="auto" w:sz="4" w:space="0"/>
                  </w:tcBorders>
                  <w:vAlign w:val="center"/>
                </w:tcPr>
                <w:p>
                  <w:pPr>
                    <w:pStyle w:val="47"/>
                    <w:jc w:val="both"/>
                  </w:pPr>
                  <w:r>
                    <w:rPr>
                      <w:rFonts w:hint="eastAsia"/>
                    </w:rPr>
                    <w:t>锅炉及原动设备制造341；金属加工机械制造 342；物料搬运设备制造 343；泵、阀门、压缩机及类似机械制造 344；轴承、齿轮和传动部件制造345；烘炉、风机、包装等设备制造 346；文化、办公用机械制造 347；通用零部件制造 348；其他通用设备制造业 349</w:t>
                  </w:r>
                </w:p>
              </w:tc>
              <w:tc>
                <w:tcPr>
                  <w:tcW w:w="650" w:type="pct"/>
                  <w:tcBorders>
                    <w:top w:val="single" w:color="auto" w:sz="4" w:space="0"/>
                    <w:left w:val="single" w:color="auto" w:sz="4" w:space="0"/>
                    <w:bottom w:val="single" w:color="auto" w:sz="4" w:space="0"/>
                    <w:right w:val="single" w:color="auto" w:sz="4" w:space="0"/>
                  </w:tcBorders>
                  <w:vAlign w:val="center"/>
                </w:tcPr>
                <w:p>
                  <w:pPr>
                    <w:pStyle w:val="47"/>
                    <w:jc w:val="both"/>
                    <w:rPr>
                      <w:szCs w:val="21"/>
                    </w:rPr>
                  </w:pPr>
                  <w:r>
                    <w:rPr>
                      <w:rFonts w:hint="eastAsia"/>
                      <w:szCs w:val="21"/>
                    </w:rPr>
                    <w:t>有电镀工艺的；年用溶剂型涂料（含稀释剂）10吨及以上的</w:t>
                  </w:r>
                </w:p>
              </w:tc>
              <w:tc>
                <w:tcPr>
                  <w:tcW w:w="894" w:type="pct"/>
                  <w:tcBorders>
                    <w:top w:val="single" w:color="auto" w:sz="4" w:space="0"/>
                    <w:left w:val="single" w:color="auto" w:sz="4" w:space="0"/>
                    <w:bottom w:val="single" w:color="auto" w:sz="4" w:space="0"/>
                    <w:right w:val="single" w:color="auto" w:sz="4" w:space="0"/>
                  </w:tcBorders>
                  <w:vAlign w:val="center"/>
                </w:tcPr>
                <w:p>
                  <w:pPr>
                    <w:pStyle w:val="47"/>
                    <w:jc w:val="both"/>
                    <w:rPr>
                      <w:szCs w:val="21"/>
                    </w:rPr>
                  </w:pPr>
                  <w:r>
                    <w:rPr>
                      <w:rFonts w:hint="eastAsia"/>
                      <w:szCs w:val="21"/>
                    </w:rPr>
                    <w:t>其他（仅分割、焊接、组装的除外；年用非溶剂型低VOCs含量涂料10吨以下的除外）</w:t>
                  </w:r>
                </w:p>
              </w:tc>
              <w:tc>
                <w:tcPr>
                  <w:tcW w:w="515"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w:t>
                  </w:r>
                </w:p>
              </w:tc>
              <w:tc>
                <w:tcPr>
                  <w:tcW w:w="748"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w:t>
                  </w:r>
                </w:p>
              </w:tc>
            </w:tr>
          </w:tbl>
          <w:p>
            <w:pPr>
              <w:snapToGrid w:val="0"/>
              <w:spacing w:before="120" w:beforeLines="50"/>
              <w:ind w:firstLine="480"/>
              <w:rPr>
                <w:szCs w:val="24"/>
              </w:rPr>
            </w:pPr>
            <w:r>
              <w:t>根</w:t>
            </w:r>
            <w:r>
              <w:rPr>
                <w:szCs w:val="22"/>
              </w:rPr>
              <w:t>据企业提供的资料，本项目主要</w:t>
            </w:r>
            <w:r>
              <w:rPr>
                <w:rFonts w:hint="eastAsia"/>
                <w:szCs w:val="22"/>
              </w:rPr>
              <w:t>从事精密配件、后倾离心风机的生产</w:t>
            </w:r>
            <w:r>
              <w:rPr>
                <w:szCs w:val="22"/>
              </w:rPr>
              <w:t>，</w:t>
            </w:r>
            <w:r>
              <w:rPr>
                <w:rFonts w:hint="eastAsia"/>
                <w:szCs w:val="22"/>
              </w:rPr>
              <w:t>生产过程不涉及电镀工艺，但使用溶剂型绝缘漆</w:t>
            </w:r>
            <w:r>
              <w:rPr>
                <w:rFonts w:hint="eastAsia" w:ascii="宋体" w:hAnsi="宋体"/>
                <w:szCs w:val="22"/>
              </w:rPr>
              <w:t>，</w:t>
            </w:r>
            <w:r>
              <w:rPr>
                <w:szCs w:val="22"/>
              </w:rPr>
              <w:t>属于</w:t>
            </w:r>
            <w:r>
              <w:rPr>
                <w:rFonts w:ascii="宋体" w:hAnsi="宋体"/>
                <w:szCs w:val="22"/>
              </w:rPr>
              <w:t>“</w:t>
            </w:r>
            <w:r>
              <w:rPr>
                <w:rFonts w:hint="eastAsia" w:ascii="宋体" w:hAnsi="宋体"/>
                <w:szCs w:val="22"/>
              </w:rPr>
              <w:t>三十一、通用设备制造业</w:t>
            </w:r>
            <w:r>
              <w:rPr>
                <w:szCs w:val="22"/>
              </w:rPr>
              <w:t xml:space="preserve"> 34</w:t>
            </w:r>
            <w:r>
              <w:rPr>
                <w:rFonts w:ascii="宋体" w:hAnsi="宋体"/>
                <w:szCs w:val="22"/>
              </w:rPr>
              <w:t>”中的“</w:t>
            </w:r>
            <w:r>
              <w:rPr>
                <w:szCs w:val="22"/>
              </w:rPr>
              <w:t xml:space="preserve">69 </w:t>
            </w:r>
            <w:r>
              <w:rPr>
                <w:rFonts w:hint="eastAsia" w:ascii="宋体" w:hAnsi="宋体"/>
              </w:rPr>
              <w:t>烘炉、风机、包装等设备制造</w:t>
            </w:r>
            <w:r>
              <w:t xml:space="preserve"> 346</w:t>
            </w:r>
            <w:r>
              <w:rPr>
                <w:rFonts w:ascii="宋体" w:hAnsi="宋体"/>
                <w:szCs w:val="22"/>
              </w:rPr>
              <w:t>”中的“</w:t>
            </w:r>
            <w:r>
              <w:rPr>
                <w:rFonts w:hint="eastAsia" w:ascii="宋体" w:hAnsi="宋体"/>
              </w:rPr>
              <w:t>其他（仅分割、焊接、组装的除外；年用非溶剂型低</w:t>
            </w:r>
            <w:r>
              <w:t>VOCs含量涂料10</w:t>
            </w:r>
            <w:r>
              <w:rPr>
                <w:rFonts w:hint="eastAsia" w:ascii="宋体" w:hAnsi="宋体"/>
              </w:rPr>
              <w:t>吨以下的除外）</w:t>
            </w:r>
            <w:r>
              <w:rPr>
                <w:rFonts w:ascii="宋体" w:hAnsi="宋体"/>
                <w:szCs w:val="22"/>
              </w:rPr>
              <w:t>”，</w:t>
            </w:r>
            <w:r>
              <w:rPr>
                <w:szCs w:val="22"/>
              </w:rPr>
              <w:t>根据名录相关规定，环评类别可确定为报告表。</w:t>
            </w:r>
          </w:p>
          <w:p>
            <w:pPr>
              <w:ind w:firstLine="480"/>
            </w:pPr>
            <w:r>
              <w:rPr>
                <w:szCs w:val="24"/>
              </w:rPr>
              <w:t>我公司受</w:t>
            </w:r>
            <w:r>
              <w:rPr>
                <w:bCs/>
              </w:rPr>
              <w:t>嘉兴鸿博机电有限公司</w:t>
            </w:r>
            <w:r>
              <w:rPr>
                <w:szCs w:val="24"/>
              </w:rPr>
              <w:t>委托，</w:t>
            </w:r>
            <w:r>
              <w:t>在现场踏勘、调查的基础上，通过对有关资料的收集、整理和分析计算，</w:t>
            </w:r>
            <w:r>
              <w:rPr>
                <w:szCs w:val="24"/>
              </w:rPr>
              <w:t>依据国家环保部颁布的《环境影响评价技术导则》及其他有关文件的要求，编制了本环境影响报告表，现报请审查批准。</w:t>
            </w:r>
          </w:p>
          <w:p>
            <w:pPr>
              <w:pStyle w:val="6"/>
              <w:rPr>
                <w:kern w:val="2"/>
                <w:szCs w:val="24"/>
              </w:rPr>
            </w:pPr>
            <w:bookmarkStart w:id="31" w:name="_Toc29388529"/>
            <w:bookmarkStart w:id="32" w:name="_Toc29380578"/>
            <w:r>
              <w:rPr>
                <w:kern w:val="2"/>
                <w:szCs w:val="24"/>
              </w:rPr>
              <w:t>1.1.2编制依据</w:t>
            </w:r>
            <w:bookmarkEnd w:id="31"/>
            <w:bookmarkEnd w:id="32"/>
          </w:p>
          <w:p>
            <w:pPr>
              <w:pStyle w:val="7"/>
              <w:rPr>
                <w:kern w:val="2"/>
              </w:rPr>
            </w:pPr>
            <w:r>
              <w:rPr>
                <w:kern w:val="2"/>
              </w:rPr>
              <w:t>1.1.2.1 国家相关的法律法规及文件</w:t>
            </w:r>
          </w:p>
          <w:p>
            <w:pPr>
              <w:ind w:firstLine="480"/>
            </w:pPr>
            <w:r>
              <w:t>(1)《中华人民共和国环境保护法》，2014.4.24修订，2015.1.1施行；</w:t>
            </w:r>
          </w:p>
          <w:p>
            <w:pPr>
              <w:ind w:firstLine="480"/>
            </w:pPr>
            <w:r>
              <w:t>(2)《中华人民共和国环境影响评价法》，2018.12.29修改并施行；</w:t>
            </w:r>
          </w:p>
          <w:p>
            <w:pPr>
              <w:ind w:firstLine="480"/>
            </w:pPr>
            <w:r>
              <w:t>(3)《中华人民共和国大气污染防治法》，2018.10.26修订；</w:t>
            </w:r>
          </w:p>
          <w:p>
            <w:pPr>
              <w:ind w:firstLine="480"/>
            </w:pPr>
            <w:r>
              <w:t>(4)《中华人民共和国水污染防治法》，2017.6.27修订，2018.1.1施行；</w:t>
            </w:r>
          </w:p>
          <w:p>
            <w:pPr>
              <w:ind w:firstLine="480"/>
            </w:pPr>
            <w:r>
              <w:t>(5)《中华人民共和国环境噪声污染防治法》，2018.12.29修改并施行；</w:t>
            </w:r>
          </w:p>
          <w:p>
            <w:pPr>
              <w:ind w:firstLine="480"/>
            </w:pPr>
            <w:r>
              <w:t>(6)《中华人民共和国固体废物污染环境防治法》，2020.4.29修订，2020.9.1施行；</w:t>
            </w:r>
          </w:p>
          <w:p>
            <w:pPr>
              <w:ind w:firstLine="480"/>
            </w:pPr>
            <w:r>
              <w:t>(7)《中华人民共和国土壤污染防治法》，2019.1.1实施；</w:t>
            </w:r>
          </w:p>
          <w:p>
            <w:pPr>
              <w:ind w:firstLine="480"/>
            </w:pPr>
            <w:r>
              <w:t>(8)《建设项目环境保护管理条例》，国务院令第682号，2017.10.1施行；</w:t>
            </w:r>
          </w:p>
          <w:p>
            <w:pPr>
              <w:ind w:firstLine="480"/>
            </w:pPr>
            <w:r>
              <w:t>(9)《建设项目环境影响评价分类管理名录（2021</w:t>
            </w:r>
            <w:r>
              <w:rPr>
                <w:rFonts w:hint="eastAsia"/>
              </w:rPr>
              <w:t>年</w:t>
            </w:r>
            <w:r>
              <w:t>版）》，中华人民共和国生态环境部令第16号，2021.1.1施行；</w:t>
            </w:r>
          </w:p>
          <w:p>
            <w:pPr>
              <w:ind w:firstLine="480"/>
            </w:pPr>
            <w:r>
              <w:t>(10)《危险化学品安全管理条例》，国务院令第591号，2011.12.1施行；</w:t>
            </w:r>
          </w:p>
          <w:p>
            <w:pPr>
              <w:ind w:firstLine="480"/>
              <w:rPr>
                <w:szCs w:val="22"/>
              </w:rPr>
            </w:pPr>
            <w:r>
              <w:rPr>
                <w:szCs w:val="22"/>
              </w:rPr>
              <w:t>(1</w:t>
            </w:r>
            <w:r>
              <w:rPr>
                <w:rFonts w:hint="eastAsia"/>
                <w:szCs w:val="22"/>
              </w:rPr>
              <w:t>1</w:t>
            </w:r>
            <w:r>
              <w:rPr>
                <w:szCs w:val="22"/>
              </w:rPr>
              <w:t>)《国家危险废物名录(2021</w:t>
            </w:r>
            <w:r>
              <w:rPr>
                <w:rFonts w:hint="eastAsia"/>
                <w:szCs w:val="22"/>
              </w:rPr>
              <w:t>年</w:t>
            </w:r>
            <w:r>
              <w:rPr>
                <w:szCs w:val="22"/>
              </w:rPr>
              <w:t>版)》，生态环境部令第15号，2021.1.1实施；</w:t>
            </w:r>
          </w:p>
          <w:p>
            <w:pPr>
              <w:ind w:firstLine="480"/>
              <w:rPr>
                <w:szCs w:val="22"/>
              </w:rPr>
            </w:pPr>
            <w:r>
              <w:rPr>
                <w:szCs w:val="22"/>
              </w:rPr>
              <w:t>(1</w:t>
            </w:r>
            <w:r>
              <w:rPr>
                <w:rFonts w:hint="eastAsia"/>
                <w:szCs w:val="22"/>
              </w:rPr>
              <w:t>2</w:t>
            </w:r>
            <w:r>
              <w:rPr>
                <w:szCs w:val="22"/>
              </w:rPr>
              <w:t>)《关于印发&lt;企业事业单位突发环境事件应急预案备案管理办法(试行)&gt;的通知》，环发[2015]4号，2015.1.8；</w:t>
            </w:r>
          </w:p>
          <w:p>
            <w:pPr>
              <w:ind w:firstLine="480"/>
            </w:pPr>
            <w:r>
              <w:rPr>
                <w:szCs w:val="22"/>
              </w:rPr>
              <w:t>(1</w:t>
            </w:r>
            <w:r>
              <w:rPr>
                <w:rFonts w:hint="eastAsia"/>
                <w:szCs w:val="22"/>
              </w:rPr>
              <w:t>3</w:t>
            </w:r>
            <w:r>
              <w:rPr>
                <w:szCs w:val="22"/>
              </w:rPr>
              <w:t>)《关于进一步加</w:t>
            </w:r>
            <w:r>
              <w:t>强环境影响评价管理防范环境风险的通知》，环发[2012]77号，2012.7.3；</w:t>
            </w:r>
          </w:p>
          <w:p>
            <w:pPr>
              <w:ind w:firstLine="480"/>
            </w:pPr>
            <w:r>
              <w:t>(1</w:t>
            </w:r>
            <w:r>
              <w:rPr>
                <w:rFonts w:hint="eastAsia"/>
              </w:rPr>
              <w:t>4</w:t>
            </w:r>
            <w:r>
              <w:t>)《关于印发&lt;建设项目主要污染物排放总量指标审核及管理暂行办法&gt;的通知》，环发[2014]197号，2014.12.31；</w:t>
            </w:r>
          </w:p>
          <w:p>
            <w:pPr>
              <w:ind w:firstLine="480"/>
              <w:rPr>
                <w:szCs w:val="22"/>
              </w:rPr>
            </w:pPr>
            <w:r>
              <w:t>(1</w:t>
            </w:r>
            <w:r>
              <w:rPr>
                <w:rFonts w:hint="eastAsia"/>
              </w:rPr>
              <w:t>5</w:t>
            </w:r>
            <w:r>
              <w:t>)</w:t>
            </w:r>
            <w:r>
              <w:rPr>
                <w:rFonts w:hint="eastAsia"/>
              </w:rPr>
              <w:t>《建设项目环境影响评价文件分级审批规定》，中华人民共和国环境保护部令第5号，2008.12.11修订通过，2</w:t>
            </w:r>
            <w:r>
              <w:rPr>
                <w:rFonts w:hint="eastAsia"/>
                <w:szCs w:val="22"/>
              </w:rPr>
              <w:t>009.3.1施行；</w:t>
            </w:r>
          </w:p>
          <w:p>
            <w:pPr>
              <w:ind w:firstLine="480"/>
              <w:rPr>
                <w:szCs w:val="22"/>
              </w:rPr>
            </w:pPr>
            <w:r>
              <w:rPr>
                <w:rFonts w:hint="eastAsia"/>
                <w:szCs w:val="22"/>
              </w:rPr>
              <w:t>(16)《环境影响评价公众参与办法》，生态环境部令第4号，2019.1.1施行；</w:t>
            </w:r>
          </w:p>
          <w:p>
            <w:pPr>
              <w:ind w:firstLine="480"/>
            </w:pPr>
            <w:r>
              <w:rPr>
                <w:rFonts w:hint="eastAsia"/>
                <w:szCs w:val="22"/>
              </w:rPr>
              <w:t>(17)《关于以改善环境质量为核心加强环境</w:t>
            </w:r>
            <w:r>
              <w:t>影响评价管理的通知》，环环评[2016]150号，2016.10.26；</w:t>
            </w:r>
          </w:p>
          <w:p>
            <w:pPr>
              <w:ind w:firstLine="480"/>
            </w:pPr>
            <w:r>
              <w:t>(1</w:t>
            </w:r>
            <w:r>
              <w:rPr>
                <w:rFonts w:hint="eastAsia"/>
              </w:rPr>
              <w:t>8</w:t>
            </w:r>
            <w:r>
              <w:t>)《国务院关于印发“十三五”生态环境保护规划的通知》</w:t>
            </w:r>
            <w:r>
              <w:rPr>
                <w:rFonts w:hint="eastAsia"/>
              </w:rPr>
              <w:t>，</w:t>
            </w:r>
            <w:r>
              <w:t>国发[2016]65号；</w:t>
            </w:r>
          </w:p>
          <w:p>
            <w:pPr>
              <w:ind w:firstLine="480"/>
              <w:rPr>
                <w:szCs w:val="22"/>
              </w:rPr>
            </w:pPr>
            <w:r>
              <w:t>(1</w:t>
            </w:r>
            <w:r>
              <w:rPr>
                <w:rFonts w:hint="eastAsia"/>
              </w:rPr>
              <w:t>9</w:t>
            </w:r>
            <w:r>
              <w:t>)《国务院关于印发打赢蓝天保卫战三年行动计划的通知》，国发[2018]22号，2018.</w:t>
            </w:r>
            <w:r>
              <w:rPr>
                <w:szCs w:val="22"/>
              </w:rPr>
              <w:t>6.27</w:t>
            </w:r>
            <w:r>
              <w:rPr>
                <w:rFonts w:hint="eastAsia"/>
                <w:szCs w:val="22"/>
              </w:rPr>
              <w:t>；</w:t>
            </w:r>
          </w:p>
          <w:p>
            <w:pPr>
              <w:ind w:firstLine="480"/>
              <w:rPr>
                <w:szCs w:val="22"/>
              </w:rPr>
            </w:pPr>
            <w:r>
              <w:rPr>
                <w:szCs w:val="22"/>
              </w:rPr>
              <w:t>(</w:t>
            </w:r>
            <w:r>
              <w:rPr>
                <w:rFonts w:hint="eastAsia"/>
                <w:szCs w:val="22"/>
              </w:rPr>
              <w:t>20</w:t>
            </w:r>
            <w:r>
              <w:rPr>
                <w:szCs w:val="22"/>
              </w:rPr>
              <w:t>)</w:t>
            </w:r>
            <w:r>
              <w:rPr>
                <w:rFonts w:hint="eastAsia"/>
                <w:szCs w:val="22"/>
              </w:rPr>
              <w:t>《关于印发&lt;重点行业挥发性有机物综合治理方案</w:t>
            </w:r>
            <w:r>
              <w:rPr>
                <w:szCs w:val="22"/>
              </w:rPr>
              <w:t>&gt;</w:t>
            </w:r>
            <w:r>
              <w:rPr>
                <w:rFonts w:hint="eastAsia"/>
                <w:szCs w:val="22"/>
              </w:rPr>
              <w:t>的通知》，环大气[</w:t>
            </w:r>
            <w:r>
              <w:rPr>
                <w:szCs w:val="22"/>
              </w:rPr>
              <w:t>2019]53</w:t>
            </w:r>
            <w:r>
              <w:rPr>
                <w:rFonts w:hint="eastAsia"/>
                <w:szCs w:val="22"/>
              </w:rPr>
              <w:t>号，2</w:t>
            </w:r>
            <w:r>
              <w:rPr>
                <w:szCs w:val="22"/>
              </w:rPr>
              <w:t>019</w:t>
            </w:r>
            <w:r>
              <w:rPr>
                <w:rFonts w:hint="eastAsia"/>
                <w:szCs w:val="22"/>
              </w:rPr>
              <w:t>.</w:t>
            </w:r>
            <w:r>
              <w:rPr>
                <w:szCs w:val="22"/>
              </w:rPr>
              <w:t>6.26。</w:t>
            </w:r>
          </w:p>
          <w:p>
            <w:pPr>
              <w:pStyle w:val="7"/>
              <w:rPr>
                <w:kern w:val="2"/>
              </w:rPr>
            </w:pPr>
            <w:r>
              <w:rPr>
                <w:kern w:val="2"/>
              </w:rPr>
              <w:t>1.1.2.2地方法律法规</w:t>
            </w:r>
          </w:p>
          <w:p>
            <w:pPr>
              <w:ind w:firstLine="480"/>
              <w:rPr>
                <w:szCs w:val="22"/>
              </w:rPr>
            </w:pPr>
            <w:r>
              <w:rPr>
                <w:szCs w:val="22"/>
              </w:rPr>
              <w:t>(1)</w:t>
            </w:r>
            <w:r>
              <w:rPr>
                <w:rFonts w:hint="eastAsia"/>
                <w:szCs w:val="22"/>
              </w:rPr>
              <w:t>《浙江省大气污染防治条例》2020.11.27修订，浙江省第十三届人民代表大会常务委员会第二十五次会议通过，2020.11.27起施行</w:t>
            </w:r>
            <w:r>
              <w:rPr>
                <w:szCs w:val="22"/>
              </w:rPr>
              <w:t>；</w:t>
            </w:r>
          </w:p>
          <w:p>
            <w:pPr>
              <w:ind w:firstLine="480"/>
              <w:rPr>
                <w:szCs w:val="22"/>
              </w:rPr>
            </w:pPr>
            <w:r>
              <w:rPr>
                <w:szCs w:val="22"/>
              </w:rPr>
              <w:t>(2)</w:t>
            </w:r>
            <w:r>
              <w:rPr>
                <w:rFonts w:hint="eastAsia"/>
                <w:szCs w:val="22"/>
              </w:rPr>
              <w:t>《浙江省水污染防治条例》2020.11.27修订，浙江省第十三届人民代表大会常务委员会第二十五次会议通过，2020.11.27施行</w:t>
            </w:r>
            <w:r>
              <w:rPr>
                <w:szCs w:val="22"/>
              </w:rPr>
              <w:t>；</w:t>
            </w:r>
          </w:p>
          <w:p>
            <w:pPr>
              <w:ind w:firstLine="480"/>
              <w:rPr>
                <w:szCs w:val="22"/>
              </w:rPr>
            </w:pPr>
            <w:r>
              <w:rPr>
                <w:szCs w:val="22"/>
              </w:rPr>
              <w:t>(3)《浙江省固体废物污染环境防治条例》2017.9.30修订，浙江省第十二届人民代表大会常务委员会第四十四次会议通过；</w:t>
            </w:r>
          </w:p>
          <w:p>
            <w:pPr>
              <w:ind w:firstLine="480"/>
              <w:rPr>
                <w:szCs w:val="22"/>
              </w:rPr>
            </w:pPr>
            <w:r>
              <w:rPr>
                <w:szCs w:val="22"/>
              </w:rPr>
              <w:t>(4)《浙江省建设项目环境保护管理办法》(修正)，浙江省人民政府令364号，2018.3.1实施；</w:t>
            </w:r>
          </w:p>
          <w:p>
            <w:pPr>
              <w:ind w:firstLine="480"/>
              <w:rPr>
                <w:szCs w:val="22"/>
              </w:rPr>
            </w:pPr>
            <w:r>
              <w:rPr>
                <w:szCs w:val="22"/>
              </w:rPr>
              <w:t>(5)《浙江省水土保持条例(2017年修正)》，2017.9.30实施；</w:t>
            </w:r>
          </w:p>
          <w:p>
            <w:pPr>
              <w:ind w:firstLine="480"/>
              <w:rPr>
                <w:szCs w:val="22"/>
              </w:rPr>
            </w:pPr>
            <w:r>
              <w:rPr>
                <w:szCs w:val="22"/>
              </w:rPr>
              <w:t>(6)</w:t>
            </w:r>
            <w:r>
              <w:rPr>
                <w:rFonts w:hint="eastAsia"/>
                <w:szCs w:val="22"/>
              </w:rPr>
              <w:t>《浙江省挥发性有机物污染整治方案》，浙环发</w:t>
            </w:r>
            <w:r>
              <w:rPr>
                <w:szCs w:val="22"/>
              </w:rPr>
              <w:t>[2013]54</w:t>
            </w:r>
            <w:r>
              <w:rPr>
                <w:rFonts w:hint="eastAsia"/>
                <w:szCs w:val="22"/>
              </w:rPr>
              <w:t>号，</w:t>
            </w:r>
            <w:r>
              <w:rPr>
                <w:szCs w:val="22"/>
              </w:rPr>
              <w:t>2013.11.4</w:t>
            </w:r>
            <w:r>
              <w:rPr>
                <w:rFonts w:hint="eastAsia"/>
                <w:szCs w:val="22"/>
              </w:rPr>
              <w:t>实施；</w:t>
            </w:r>
          </w:p>
          <w:p>
            <w:pPr>
              <w:ind w:firstLine="480"/>
            </w:pPr>
            <w:r>
              <w:rPr>
                <w:szCs w:val="22"/>
              </w:rPr>
              <w:t>(7)《浙江省人民政府办公厅关于</w:t>
            </w:r>
            <w:r>
              <w:t>印发浙江省建设项目环境影响评价文件分级审批管理办法的通知》，浙政办发[2014]86号，2014.7.10发布，2014.7.25实施；</w:t>
            </w:r>
          </w:p>
          <w:p>
            <w:pPr>
              <w:ind w:firstLine="480"/>
            </w:pPr>
            <w:r>
              <w:t>(8)《关于印发&lt;浙江省建设项目主要污染物总量准入审核办法(试行)&gt;的通知》，浙江省环保厅，浙环发[2012]10号，2012.2.24；</w:t>
            </w:r>
          </w:p>
          <w:p>
            <w:pPr>
              <w:ind w:firstLine="480"/>
            </w:pPr>
            <w:r>
              <w:t>(9)《关于印发浙江省土壤污染污染防治工作方案的通知》，浙江省人民政府浙政发[2016]47号，2016.12.29；</w:t>
            </w:r>
          </w:p>
          <w:p>
            <w:pPr>
              <w:ind w:firstLine="480"/>
            </w:pPr>
            <w:r>
              <w:t>(10)《浙江省工业污染防治“十三五”规划》，2016.10.17起实施；</w:t>
            </w:r>
          </w:p>
          <w:p>
            <w:pPr>
              <w:ind w:firstLine="480"/>
              <w:rPr>
                <w:szCs w:val="22"/>
              </w:rPr>
            </w:pPr>
            <w:r>
              <w:t>(11)《关于印发浙江省大气污染防治“十三五”规划的通知》，浙发改规划[2017]250号，20</w:t>
            </w:r>
            <w:r>
              <w:rPr>
                <w:rFonts w:hint="eastAsia"/>
                <w:szCs w:val="22"/>
              </w:rPr>
              <w:t>17.3.22；</w:t>
            </w:r>
          </w:p>
          <w:p>
            <w:pPr>
              <w:ind w:firstLine="480"/>
              <w:rPr>
                <w:szCs w:val="22"/>
              </w:rPr>
            </w:pPr>
            <w:r>
              <w:rPr>
                <w:rFonts w:hint="eastAsia"/>
                <w:szCs w:val="22"/>
              </w:rPr>
              <w:t>(12)《浙江省人民政府关于发布浙江省生态保护红线的通知》，浙政发[2018]30号，2018.7.20；</w:t>
            </w:r>
          </w:p>
          <w:p>
            <w:pPr>
              <w:ind w:firstLine="480"/>
              <w:rPr>
                <w:szCs w:val="22"/>
              </w:rPr>
            </w:pPr>
            <w:r>
              <w:rPr>
                <w:rFonts w:hint="eastAsia"/>
                <w:szCs w:val="22"/>
              </w:rPr>
              <w:t>(13)《浙江省生态</w:t>
            </w:r>
            <w:r>
              <w:t>环境厅关于印发&lt;浙江省“三线一单”生态环境分区管控方案&gt;的通知》</w:t>
            </w:r>
            <w:r>
              <w:rPr>
                <w:szCs w:val="22"/>
              </w:rPr>
              <w:t>，浙环发[2020]7号，2020.5.23；</w:t>
            </w:r>
          </w:p>
          <w:p>
            <w:pPr>
              <w:ind w:firstLine="480"/>
              <w:rPr>
                <w:szCs w:val="22"/>
              </w:rPr>
            </w:pPr>
            <w:r>
              <w:rPr>
                <w:szCs w:val="22"/>
              </w:rPr>
              <w:t>(14)</w:t>
            </w:r>
            <w:r>
              <w:rPr>
                <w:rFonts w:hint="eastAsia"/>
                <w:szCs w:val="22"/>
              </w:rPr>
              <w:t>《嘉兴市生态环境局关于印发&lt;嘉兴市“三线一单”生态环境分区管控方案&gt;的通知》，嘉环发[2020]66号，2020.9.4；</w:t>
            </w:r>
          </w:p>
          <w:p>
            <w:pPr>
              <w:ind w:firstLine="480"/>
            </w:pPr>
            <w:r>
              <w:rPr>
                <w:szCs w:val="22"/>
              </w:rPr>
              <w:t>(1</w:t>
            </w:r>
            <w:r>
              <w:rPr>
                <w:rFonts w:hint="eastAsia"/>
                <w:szCs w:val="22"/>
              </w:rPr>
              <w:t>5</w:t>
            </w:r>
            <w:r>
              <w:rPr>
                <w:szCs w:val="22"/>
              </w:rPr>
              <w:t>)《关于印发&lt;浙江省环境保护厅建设项目环境影响评价公众参与和政府信息公开工作的实施细则(试行)&gt;的通知》</w:t>
            </w:r>
            <w:r>
              <w:t>，浙环发[2014]28号，浙江省环保厅，2014.5.19；</w:t>
            </w:r>
          </w:p>
          <w:p>
            <w:pPr>
              <w:ind w:firstLine="480"/>
              <w:rPr>
                <w:szCs w:val="22"/>
              </w:rPr>
            </w:pPr>
            <w:r>
              <w:t>(1</w:t>
            </w:r>
            <w:r>
              <w:rPr>
                <w:rFonts w:hint="eastAsia"/>
              </w:rPr>
              <w:t>6</w:t>
            </w:r>
            <w:r>
              <w:t>)《浙江省环境保护厅关于发布&lt;省环境保护主管部门负责审批环境影响评价文件的建设项目清单(2015年本)&gt;及&lt;设区市环境保护主管部门负责审批环境影响评价文件的重污染、高环境风险以及严重影响生态的建设项目清单(2015年本)&gt;的通知》，浙</w:t>
            </w:r>
            <w:r>
              <w:rPr>
                <w:rFonts w:hint="eastAsia"/>
                <w:szCs w:val="22"/>
              </w:rPr>
              <w:t>环发[2015]38号，2015.9.23；</w:t>
            </w:r>
          </w:p>
          <w:p>
            <w:pPr>
              <w:ind w:firstLine="480"/>
              <w:rPr>
                <w:szCs w:val="22"/>
              </w:rPr>
            </w:pPr>
            <w:r>
              <w:rPr>
                <w:rFonts w:hint="eastAsia"/>
                <w:szCs w:val="22"/>
              </w:rPr>
              <w:t>(17)《浙江省人民政府关于印发浙江省打赢蓝天保卫战三年行动计划的通知》，浙政发[2018]35号，2018.9.25；</w:t>
            </w:r>
          </w:p>
          <w:p>
            <w:pPr>
              <w:ind w:firstLine="480"/>
              <w:rPr>
                <w:szCs w:val="22"/>
              </w:rPr>
            </w:pPr>
            <w:r>
              <w:rPr>
                <w:rFonts w:hint="eastAsia"/>
                <w:szCs w:val="22"/>
              </w:rPr>
              <w:t>(18)《关于印发&lt;浙江</w:t>
            </w:r>
            <w:r>
              <w:rPr>
                <w:szCs w:val="22"/>
              </w:rPr>
              <w:t>省挥发性有机物深化治理与减排工作方案（2017-2020）年&gt;的通知》，浙环发[2017]41号</w:t>
            </w:r>
            <w:r>
              <w:rPr>
                <w:rFonts w:hint="eastAsia"/>
                <w:szCs w:val="22"/>
              </w:rPr>
              <w:t>；</w:t>
            </w:r>
          </w:p>
          <w:p>
            <w:pPr>
              <w:ind w:firstLine="480"/>
            </w:pPr>
            <w:r>
              <w:rPr>
                <w:szCs w:val="22"/>
              </w:rPr>
              <w:t>(</w:t>
            </w:r>
            <w:r>
              <w:rPr>
                <w:rFonts w:hint="eastAsia"/>
                <w:szCs w:val="22"/>
              </w:rPr>
              <w:t>19</w:t>
            </w:r>
            <w:r>
              <w:rPr>
                <w:szCs w:val="22"/>
              </w:rPr>
              <w:t>)</w:t>
            </w:r>
            <w:r>
              <w:rPr>
                <w:rFonts w:hint="eastAsia"/>
              </w:rPr>
              <w:t xml:space="preserve"> 《关于印发&lt;浙江省涂装行业挥发性有机物污染整治规范&gt;和&lt;浙江省印刷和包装行业挥发性有机物污染整治规范&gt;的通知》，浙环函(2015)402号；</w:t>
            </w:r>
          </w:p>
          <w:p>
            <w:pPr>
              <w:ind w:firstLine="480"/>
              <w:rPr>
                <w:szCs w:val="22"/>
              </w:rPr>
            </w:pPr>
            <w:r>
              <w:rPr>
                <w:szCs w:val="22"/>
              </w:rPr>
              <w:t>(2</w:t>
            </w:r>
            <w:r>
              <w:rPr>
                <w:rFonts w:hint="eastAsia"/>
                <w:szCs w:val="22"/>
              </w:rPr>
              <w:t>0</w:t>
            </w:r>
            <w:r>
              <w:rPr>
                <w:szCs w:val="22"/>
              </w:rPr>
              <w:t>)</w:t>
            </w:r>
            <w:r>
              <w:rPr>
                <w:rFonts w:hint="eastAsia"/>
              </w:rPr>
              <w:t xml:space="preserve"> 《关于转发&lt;杭州市化纤行业挥发性有机物污染整治规范（试行）&gt;等12个行业VOCs污染整治规范的通知》，浙环办函[2016]56号</w:t>
            </w:r>
            <w:r>
              <w:rPr>
                <w:szCs w:val="22"/>
              </w:rPr>
              <w:t>。</w:t>
            </w:r>
          </w:p>
          <w:p>
            <w:pPr>
              <w:pStyle w:val="7"/>
              <w:rPr>
                <w:kern w:val="2"/>
              </w:rPr>
            </w:pPr>
            <w:r>
              <w:rPr>
                <w:kern w:val="2"/>
              </w:rPr>
              <w:t>1.1.2.3技术规范</w:t>
            </w:r>
          </w:p>
          <w:p>
            <w:pPr>
              <w:ind w:firstLine="480"/>
            </w:pPr>
            <w:r>
              <w:t>(1)《建设项目环境影响评价技术导则总纲》（HJ2.1-2016）；</w:t>
            </w:r>
          </w:p>
          <w:p>
            <w:pPr>
              <w:ind w:firstLine="480"/>
            </w:pPr>
            <w:r>
              <w:t>(2)《环境影响评价技术导则 地表水环境》（HJ2.3-2018）；</w:t>
            </w:r>
          </w:p>
          <w:p>
            <w:pPr>
              <w:ind w:firstLine="480"/>
            </w:pPr>
            <w:r>
              <w:t>(3)《环境影响评价技术导则 大气环境》（HJ2.2-2018）；</w:t>
            </w:r>
          </w:p>
          <w:p>
            <w:pPr>
              <w:ind w:firstLine="480"/>
            </w:pPr>
            <w:r>
              <w:t>(4)《环境影响评价技术导则 声环境》（HJ2.4-2009）；</w:t>
            </w:r>
          </w:p>
          <w:p>
            <w:pPr>
              <w:ind w:firstLine="480"/>
            </w:pPr>
            <w:r>
              <w:t>(5)《建设项目环境风险评价技术导则》（HJ169-2018）；</w:t>
            </w:r>
          </w:p>
          <w:p>
            <w:pPr>
              <w:ind w:firstLine="480"/>
            </w:pPr>
            <w:r>
              <w:t>(6)《环境影响评价技术导则 生态影响》（HJ19-2011）；</w:t>
            </w:r>
          </w:p>
          <w:p>
            <w:pPr>
              <w:ind w:firstLine="480"/>
            </w:pPr>
            <w:r>
              <w:t>(7)《环境影响评价技术导则 地下水环境》（HJ610-2016）；</w:t>
            </w:r>
          </w:p>
          <w:p>
            <w:pPr>
              <w:ind w:firstLine="480"/>
            </w:pPr>
            <w:r>
              <w:t>(8)《环境影响评价技术导则 土壤环境（试行）》（HJ964-2018）；</w:t>
            </w:r>
          </w:p>
          <w:p>
            <w:pPr>
              <w:ind w:firstLine="480"/>
            </w:pPr>
            <w:r>
              <w:t>(9)《固体废物鉴别标准通则》（GB34330-2017）；</w:t>
            </w:r>
          </w:p>
          <w:p>
            <w:pPr>
              <w:ind w:firstLine="480"/>
            </w:pPr>
            <w:r>
              <w:t>(10)《浙江省建设项目环境影响评价技术要点》，2005.4修订，2005.5施行；</w:t>
            </w:r>
          </w:p>
          <w:p>
            <w:pPr>
              <w:ind w:firstLine="480"/>
            </w:pPr>
            <w:r>
              <w:t>(11)《建设项目危险废物环境影响评价指南》，环保部公告2017年43号；</w:t>
            </w:r>
          </w:p>
          <w:p>
            <w:pPr>
              <w:ind w:firstLine="480"/>
            </w:pPr>
            <w:r>
              <w:t>(12)《危险废物鉴别技术规范》（HJ298-2019）；</w:t>
            </w:r>
          </w:p>
          <w:p>
            <w:pPr>
              <w:ind w:firstLine="480"/>
            </w:pPr>
            <w:r>
              <w:t>(13)《危险废物鉴别标准通则》（GB5085.7-2019）；</w:t>
            </w:r>
          </w:p>
          <w:p>
            <w:pPr>
              <w:ind w:firstLine="480"/>
            </w:pPr>
            <w:r>
              <w:t>(14)《污染源源强核算技术指南准则》（HJ884-2018）；</w:t>
            </w:r>
          </w:p>
          <w:p>
            <w:pPr>
              <w:ind w:firstLine="480"/>
            </w:pPr>
            <w:r>
              <w:t>(15)《排污单位自行监测技术指南</w:t>
            </w:r>
            <w:r>
              <w:rPr>
                <w:rFonts w:hint="eastAsia"/>
              </w:rPr>
              <w:t xml:space="preserve"> </w:t>
            </w:r>
            <w:r>
              <w:t>总则》（HJ819-2017）；</w:t>
            </w:r>
          </w:p>
          <w:p>
            <w:pPr>
              <w:ind w:firstLine="480"/>
            </w:pPr>
            <w:r>
              <w:t>(16)</w:t>
            </w:r>
            <w:r>
              <w:rPr>
                <w:rFonts w:hint="eastAsia"/>
              </w:rPr>
              <w:t>《排污单位自行监测技术指南 涂装》（HJ1086-2020）；</w:t>
            </w:r>
          </w:p>
          <w:p>
            <w:pPr>
              <w:ind w:firstLine="480"/>
              <w:rPr>
                <w:szCs w:val="22"/>
              </w:rPr>
            </w:pPr>
            <w:r>
              <w:t>(1</w:t>
            </w:r>
            <w:r>
              <w:rPr>
                <w:rFonts w:hint="eastAsia"/>
              </w:rPr>
              <w:t>7</w:t>
            </w:r>
            <w:r>
              <w:t>)《固定污染源排污许可分类管理名录</w:t>
            </w:r>
            <w:r>
              <w:rPr>
                <w:szCs w:val="22"/>
              </w:rPr>
              <w:t>（2019</w:t>
            </w:r>
            <w:r>
              <w:rPr>
                <w:rFonts w:hint="eastAsia"/>
                <w:szCs w:val="22"/>
              </w:rPr>
              <w:t>年</w:t>
            </w:r>
            <w:r>
              <w:rPr>
                <w:szCs w:val="22"/>
              </w:rPr>
              <w:t>版）》</w:t>
            </w:r>
            <w:r>
              <w:rPr>
                <w:rFonts w:hint="eastAsia"/>
                <w:szCs w:val="22"/>
              </w:rPr>
              <w:t>；</w:t>
            </w:r>
          </w:p>
          <w:p>
            <w:pPr>
              <w:ind w:firstLine="480"/>
              <w:rPr>
                <w:szCs w:val="22"/>
              </w:rPr>
            </w:pPr>
            <w:r>
              <w:rPr>
                <w:rFonts w:hint="eastAsia"/>
                <w:szCs w:val="22"/>
              </w:rPr>
              <w:t>(1</w:t>
            </w:r>
            <w:r>
              <w:rPr>
                <w:szCs w:val="22"/>
              </w:rPr>
              <w:t>8</w:t>
            </w:r>
            <w:r>
              <w:rPr>
                <w:rFonts w:hint="eastAsia"/>
                <w:szCs w:val="22"/>
              </w:rPr>
              <w:t>)《排污许可证申请与核发技术规范  总则》（HJ942-2018）</w:t>
            </w:r>
            <w:r>
              <w:rPr>
                <w:szCs w:val="22"/>
              </w:rPr>
              <w:t>。</w:t>
            </w:r>
          </w:p>
          <w:p>
            <w:pPr>
              <w:pStyle w:val="7"/>
              <w:rPr>
                <w:kern w:val="2"/>
              </w:rPr>
            </w:pPr>
            <w:r>
              <w:rPr>
                <w:kern w:val="2"/>
              </w:rPr>
              <w:t>1.1.2.4相关产业政策及规划</w:t>
            </w:r>
          </w:p>
          <w:p>
            <w:pPr>
              <w:ind w:firstLine="480"/>
            </w:pPr>
            <w:r>
              <w:t>(1)《产业结构调整指导目录》（2019年</w:t>
            </w:r>
            <w:r>
              <w:rPr>
                <w:rFonts w:hint="eastAsia"/>
              </w:rPr>
              <w:t>版</w:t>
            </w:r>
            <w:r>
              <w:t>），中华人民共和国国家发展和改革委员会令第29号，2020.1.1施行；</w:t>
            </w:r>
          </w:p>
          <w:p>
            <w:pPr>
              <w:ind w:firstLine="480"/>
            </w:pPr>
            <w:r>
              <w:t>(2)《关于印发&lt;桐乡市淘汰和禁止发展的落后生产能力目录&gt;的通知》（桐政发[2011]63号）；</w:t>
            </w:r>
          </w:p>
          <w:p>
            <w:pPr>
              <w:ind w:firstLine="480"/>
            </w:pPr>
            <w:r>
              <w:t>(3)《关于印发&lt;桐乡市工业产业结构调整指导目录&gt;的通知》（桐政发[2007]72号）；</w:t>
            </w:r>
          </w:p>
          <w:p>
            <w:pPr>
              <w:ind w:firstLine="480"/>
              <w:rPr>
                <w:szCs w:val="22"/>
              </w:rPr>
            </w:pPr>
            <w:r>
              <w:t>(4)《浙江省水功能区水环境功能区</w:t>
            </w:r>
            <w:r>
              <w:rPr>
                <w:szCs w:val="22"/>
              </w:rPr>
              <w:t>划分方案(2015)》，2015.6.29；</w:t>
            </w:r>
          </w:p>
          <w:p>
            <w:pPr>
              <w:ind w:firstLine="480"/>
              <w:rPr>
                <w:szCs w:val="22"/>
              </w:rPr>
            </w:pPr>
            <w:r>
              <w:rPr>
                <w:szCs w:val="22"/>
              </w:rPr>
              <w:t>(5)《浙江省环境空气质量功能区划分》；</w:t>
            </w:r>
          </w:p>
          <w:p>
            <w:pPr>
              <w:ind w:firstLine="480"/>
              <w:rPr>
                <w:szCs w:val="22"/>
              </w:rPr>
            </w:pPr>
            <w:r>
              <w:rPr>
                <w:szCs w:val="22"/>
              </w:rPr>
              <w:t>(6)</w:t>
            </w:r>
            <w:r>
              <w:rPr>
                <w:rFonts w:hint="eastAsia"/>
                <w:szCs w:val="22"/>
              </w:rPr>
              <w:t>《桐乡市“三线一单”生态环境分区管控方案》，2020.11</w:t>
            </w:r>
            <w:r>
              <w:rPr>
                <w:szCs w:val="22"/>
              </w:rPr>
              <w:t>；</w:t>
            </w:r>
          </w:p>
          <w:p>
            <w:pPr>
              <w:ind w:firstLine="480"/>
              <w:rPr>
                <w:szCs w:val="22"/>
              </w:rPr>
            </w:pPr>
            <w:r>
              <w:rPr>
                <w:szCs w:val="22"/>
              </w:rPr>
              <w:t>(7)《</w:t>
            </w:r>
            <w:r>
              <w:rPr>
                <w:rFonts w:hint="eastAsia"/>
                <w:szCs w:val="22"/>
              </w:rPr>
              <w:t>桐乡市崇福工业区四期规划</w:t>
            </w:r>
            <w:r>
              <w:rPr>
                <w:szCs w:val="22"/>
              </w:rPr>
              <w:t>环境影响报告书》。</w:t>
            </w:r>
          </w:p>
          <w:p>
            <w:pPr>
              <w:pStyle w:val="7"/>
              <w:rPr>
                <w:kern w:val="2"/>
              </w:rPr>
            </w:pPr>
            <w:r>
              <w:rPr>
                <w:kern w:val="2"/>
              </w:rPr>
              <w:t>1.1.2.5项目技术文件</w:t>
            </w:r>
          </w:p>
          <w:p>
            <w:pPr>
              <w:ind w:firstLine="480"/>
            </w:pPr>
            <w:r>
              <w:t>(1)浙江省工业企业“零土地”技术改造项目备案通知书，项目代码为2020-330483-34-03-100338；</w:t>
            </w:r>
          </w:p>
          <w:p>
            <w:pPr>
              <w:ind w:firstLine="480"/>
            </w:pPr>
            <w:r>
              <w:t>(2)嘉兴鸿博机电有限公司提供的其他相关技术资料。</w:t>
            </w:r>
          </w:p>
          <w:p>
            <w:pPr>
              <w:pStyle w:val="5"/>
              <w:rPr>
                <w:kern w:val="2"/>
              </w:rPr>
            </w:pPr>
            <w:bookmarkStart w:id="33" w:name="_Toc29388530"/>
            <w:bookmarkStart w:id="34" w:name="_Toc29380579"/>
            <w:r>
              <w:rPr>
                <w:kern w:val="2"/>
              </w:rPr>
              <w:t>1.2建设项目基本概况</w:t>
            </w:r>
            <w:bookmarkEnd w:id="33"/>
            <w:bookmarkEnd w:id="34"/>
          </w:p>
          <w:p>
            <w:pPr>
              <w:pStyle w:val="6"/>
              <w:rPr>
                <w:kern w:val="2"/>
              </w:rPr>
            </w:pPr>
            <w:bookmarkStart w:id="35" w:name="_Toc29388531"/>
            <w:bookmarkStart w:id="36" w:name="_Toc29380580"/>
            <w:r>
              <w:rPr>
                <w:kern w:val="2"/>
              </w:rPr>
              <w:t>1.2.1主要建设内容及规模</w:t>
            </w:r>
            <w:bookmarkEnd w:id="35"/>
            <w:bookmarkEnd w:id="36"/>
          </w:p>
          <w:p>
            <w:pPr>
              <w:ind w:firstLine="480"/>
            </w:pPr>
            <w:r>
              <w:t>嘉兴鸿博机电有限公司</w:t>
            </w:r>
            <w:r>
              <w:rPr>
                <w:rFonts w:hint="eastAsia"/>
              </w:rPr>
              <w:t>计划</w:t>
            </w:r>
            <w:r>
              <w:rPr>
                <w:rFonts w:hint="eastAsia"/>
                <w:szCs w:val="22"/>
              </w:rPr>
              <w:t>购置</w:t>
            </w:r>
            <w:r>
              <w:t>中节能（桐乡）环保科技有限公司</w:t>
            </w:r>
            <w:r>
              <w:rPr>
                <w:szCs w:val="22"/>
              </w:rPr>
              <w:t>位于</w:t>
            </w:r>
            <w:r>
              <w:rPr>
                <w:rFonts w:hint="eastAsia"/>
                <w:szCs w:val="22"/>
              </w:rPr>
              <w:t>桐乡市崇福镇杭福路1336号20幢1号面积为</w:t>
            </w:r>
            <w:r>
              <w:rPr>
                <w:szCs w:val="22"/>
              </w:rPr>
              <w:t>1542.56平方米的工业厂房</w:t>
            </w:r>
            <w:r>
              <w:rPr>
                <w:rFonts w:hint="eastAsia"/>
                <w:szCs w:val="22"/>
              </w:rPr>
              <w:t>，实施</w:t>
            </w:r>
            <w:r>
              <w:rPr>
                <w:szCs w:val="22"/>
              </w:rPr>
              <w:t>年产30000件精密配件、15000套后倾离心风机</w:t>
            </w:r>
            <w:r>
              <w:rPr>
                <w:rFonts w:hint="eastAsia"/>
                <w:szCs w:val="22"/>
              </w:rPr>
              <w:t>项目的建设</w:t>
            </w:r>
            <w:r>
              <w:t>。</w:t>
            </w:r>
            <w:r>
              <w:rPr>
                <w:szCs w:val="22"/>
              </w:rPr>
              <w:t>本项目周围环境概况及厂区平面布置图见附图</w:t>
            </w:r>
            <w:r>
              <w:rPr>
                <w:rFonts w:hint="eastAsia"/>
                <w:szCs w:val="22"/>
              </w:rPr>
              <w:t>7</w:t>
            </w:r>
            <w:r>
              <w:t>，建设项目工程组成见表1-2，主要产品方案见表1-3。</w:t>
            </w:r>
          </w:p>
          <w:p>
            <w:pPr>
              <w:pStyle w:val="46"/>
            </w:pPr>
            <w:r>
              <w:t>表1-2 建设项目工程组成表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0"/>
              <w:gridCol w:w="797"/>
              <w:gridCol w:w="6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pct"/>
                  <w:tcBorders>
                    <w:top w:val="single" w:color="auto" w:sz="4" w:space="0"/>
                    <w:left w:val="single" w:color="auto" w:sz="4" w:space="0"/>
                    <w:bottom w:val="single" w:color="auto" w:sz="4" w:space="0"/>
                    <w:right w:val="single" w:color="auto" w:sz="4" w:space="0"/>
                  </w:tcBorders>
                  <w:vAlign w:val="center"/>
                </w:tcPr>
                <w:p>
                  <w:pPr>
                    <w:pStyle w:val="46"/>
                  </w:pPr>
                  <w:r>
                    <w:t>工程类别</w:t>
                  </w:r>
                </w:p>
              </w:tc>
              <w:tc>
                <w:tcPr>
                  <w:tcW w:w="4276" w:type="pct"/>
                  <w:gridSpan w:val="2"/>
                  <w:tcBorders>
                    <w:top w:val="single" w:color="auto" w:sz="4" w:space="0"/>
                    <w:left w:val="single" w:color="auto" w:sz="4" w:space="0"/>
                    <w:bottom w:val="single" w:color="auto" w:sz="4" w:space="0"/>
                    <w:right w:val="single" w:color="auto" w:sz="4" w:space="0"/>
                  </w:tcBorders>
                  <w:vAlign w:val="center"/>
                </w:tcPr>
                <w:p>
                  <w:pPr>
                    <w:pStyle w:val="46"/>
                  </w:pPr>
                  <w: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pct"/>
                  <w:tcBorders>
                    <w:top w:val="single" w:color="auto" w:sz="4" w:space="0"/>
                    <w:left w:val="single" w:color="auto" w:sz="4" w:space="0"/>
                    <w:bottom w:val="single" w:color="auto" w:sz="4" w:space="0"/>
                    <w:right w:val="single" w:color="auto" w:sz="4" w:space="0"/>
                  </w:tcBorders>
                  <w:vAlign w:val="center"/>
                </w:tcPr>
                <w:p>
                  <w:pPr>
                    <w:pStyle w:val="47"/>
                  </w:pPr>
                  <w:r>
                    <w:t>生产车间</w:t>
                  </w:r>
                </w:p>
              </w:tc>
              <w:tc>
                <w:tcPr>
                  <w:tcW w:w="4276" w:type="pct"/>
                  <w:gridSpan w:val="2"/>
                  <w:tcBorders>
                    <w:top w:val="single" w:color="auto" w:sz="4" w:space="0"/>
                    <w:left w:val="single" w:color="auto" w:sz="4" w:space="0"/>
                    <w:bottom w:val="single" w:color="auto" w:sz="4" w:space="0"/>
                    <w:right w:val="single" w:color="auto" w:sz="4" w:space="0"/>
                  </w:tcBorders>
                  <w:vAlign w:val="center"/>
                </w:tcPr>
                <w:p>
                  <w:pPr>
                    <w:pStyle w:val="47"/>
                    <w:jc w:val="left"/>
                  </w:pPr>
                  <w:r>
                    <w:t>包括1层机加工区域，2层浸漆、烘干及</w:t>
                  </w:r>
                  <w:r>
                    <w:rPr>
                      <w:rFonts w:hint="eastAsia"/>
                    </w:rPr>
                    <w:t>组装</w:t>
                  </w:r>
                  <w:r>
                    <w:t>区域、原料仓库、危废仓库，3层组装、焊接及成品测试区域。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pct"/>
                  <w:tcBorders>
                    <w:top w:val="single" w:color="auto" w:sz="4" w:space="0"/>
                    <w:left w:val="single" w:color="auto" w:sz="4" w:space="0"/>
                    <w:bottom w:val="single" w:color="auto" w:sz="4" w:space="0"/>
                    <w:right w:val="single" w:color="auto" w:sz="4" w:space="0"/>
                  </w:tcBorders>
                  <w:vAlign w:val="center"/>
                </w:tcPr>
                <w:p>
                  <w:pPr>
                    <w:pStyle w:val="47"/>
                  </w:pPr>
                  <w:r>
                    <w:t>辅助工程</w:t>
                  </w:r>
                </w:p>
              </w:tc>
              <w:tc>
                <w:tcPr>
                  <w:tcW w:w="4276" w:type="pct"/>
                  <w:gridSpan w:val="2"/>
                  <w:tcBorders>
                    <w:top w:val="single" w:color="auto" w:sz="4" w:space="0"/>
                    <w:left w:val="single" w:color="auto" w:sz="4" w:space="0"/>
                    <w:bottom w:val="single" w:color="auto" w:sz="4" w:space="0"/>
                    <w:right w:val="single" w:color="auto" w:sz="4" w:space="0"/>
                  </w:tcBorders>
                  <w:vAlign w:val="center"/>
                </w:tcPr>
                <w:p>
                  <w:pPr>
                    <w:pStyle w:val="47"/>
                    <w:jc w:val="left"/>
                  </w:pPr>
                  <w:r>
                    <w:rPr>
                      <w:rFonts w:hint="eastAsia"/>
                    </w:rPr>
                    <w:t>4层</w:t>
                  </w:r>
                  <w:r>
                    <w:t>办公室</w:t>
                  </w:r>
                  <w:r>
                    <w:rPr>
                      <w:rFonts w:hint="eastAsia"/>
                    </w:rPr>
                    <w:t>等</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pct"/>
                  <w:vMerge w:val="restart"/>
                  <w:tcBorders>
                    <w:top w:val="single" w:color="auto" w:sz="4" w:space="0"/>
                    <w:left w:val="single" w:color="auto" w:sz="4" w:space="0"/>
                    <w:bottom w:val="single" w:color="auto" w:sz="4" w:space="0"/>
                    <w:right w:val="single" w:color="auto" w:sz="4" w:space="0"/>
                  </w:tcBorders>
                  <w:vAlign w:val="center"/>
                </w:tcPr>
                <w:p>
                  <w:pPr>
                    <w:pStyle w:val="47"/>
                  </w:pPr>
                  <w:r>
                    <w:t>环保工程</w:t>
                  </w:r>
                </w:p>
              </w:tc>
              <w:tc>
                <w:tcPr>
                  <w:tcW w:w="457" w:type="pct"/>
                  <w:tcBorders>
                    <w:top w:val="single" w:color="auto" w:sz="4" w:space="0"/>
                    <w:left w:val="single" w:color="auto" w:sz="4" w:space="0"/>
                    <w:bottom w:val="single" w:color="auto" w:sz="4" w:space="0"/>
                    <w:right w:val="single" w:color="auto" w:sz="4" w:space="0"/>
                  </w:tcBorders>
                  <w:vAlign w:val="center"/>
                </w:tcPr>
                <w:p>
                  <w:pPr>
                    <w:pStyle w:val="47"/>
                  </w:pPr>
                  <w:r>
                    <w:t>废水处理</w:t>
                  </w:r>
                </w:p>
              </w:tc>
              <w:tc>
                <w:tcPr>
                  <w:tcW w:w="3818" w:type="pct"/>
                  <w:tcBorders>
                    <w:top w:val="single" w:color="auto" w:sz="4" w:space="0"/>
                    <w:left w:val="single" w:color="auto" w:sz="4" w:space="0"/>
                    <w:bottom w:val="single" w:color="auto" w:sz="4" w:space="0"/>
                    <w:right w:val="single" w:color="auto" w:sz="4" w:space="0"/>
                  </w:tcBorders>
                  <w:vAlign w:val="center"/>
                </w:tcPr>
                <w:p>
                  <w:pPr>
                    <w:pStyle w:val="47"/>
                    <w:jc w:val="left"/>
                  </w:pPr>
                  <w:r>
                    <w:rPr>
                      <w:rFonts w:hint="eastAsia"/>
                    </w:rPr>
                    <w:t>打磨废水经沉淀后上清液循环使用，定期补充损耗，不外排；</w:t>
                  </w:r>
                  <w:r>
                    <w:t>生活污水经化粪池预处理达到入网标准后接入区域污水收集管网，最终经桐乡市城市污水处理有限责任公司崇福污水处理厂处理后达标排入钱塘江。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pct"/>
                  <w:vMerge w:val="continue"/>
                  <w:tcBorders>
                    <w:top w:val="single" w:color="auto" w:sz="4" w:space="0"/>
                    <w:left w:val="single" w:color="auto" w:sz="4" w:space="0"/>
                    <w:bottom w:val="single" w:color="auto" w:sz="4" w:space="0"/>
                    <w:right w:val="single" w:color="auto" w:sz="4" w:space="0"/>
                  </w:tcBorders>
                  <w:vAlign w:val="center"/>
                </w:tcPr>
                <w:p>
                  <w:pPr>
                    <w:pStyle w:val="47"/>
                  </w:pPr>
                </w:p>
              </w:tc>
              <w:tc>
                <w:tcPr>
                  <w:tcW w:w="457" w:type="pct"/>
                  <w:tcBorders>
                    <w:top w:val="single" w:color="auto" w:sz="4" w:space="0"/>
                    <w:left w:val="single" w:color="auto" w:sz="4" w:space="0"/>
                    <w:bottom w:val="single" w:color="auto" w:sz="4" w:space="0"/>
                    <w:right w:val="single" w:color="auto" w:sz="4" w:space="0"/>
                  </w:tcBorders>
                  <w:vAlign w:val="center"/>
                </w:tcPr>
                <w:p>
                  <w:pPr>
                    <w:pStyle w:val="47"/>
                  </w:pPr>
                  <w:r>
                    <w:t>废气处理</w:t>
                  </w:r>
                </w:p>
              </w:tc>
              <w:tc>
                <w:tcPr>
                  <w:tcW w:w="3818" w:type="pct"/>
                  <w:tcBorders>
                    <w:top w:val="single" w:color="auto" w:sz="4" w:space="0"/>
                    <w:left w:val="single" w:color="auto" w:sz="4" w:space="0"/>
                    <w:bottom w:val="single" w:color="auto" w:sz="4" w:space="0"/>
                    <w:right w:val="single" w:color="auto" w:sz="4" w:space="0"/>
                  </w:tcBorders>
                  <w:vAlign w:val="center"/>
                </w:tcPr>
                <w:p>
                  <w:pPr>
                    <w:pStyle w:val="47"/>
                    <w:jc w:val="left"/>
                  </w:pPr>
                  <w:r>
                    <w:rPr>
                      <w:rFonts w:hint="eastAsia"/>
                    </w:rPr>
                    <w:t>焊接烟尘收集后使用移动式焊接烟尘净化器处理后，尾气在车间内无组织排放；</w:t>
                  </w:r>
                  <w:r>
                    <w:t>浸漆</w:t>
                  </w:r>
                  <w:r>
                    <w:rPr>
                      <w:rFonts w:hint="eastAsia"/>
                    </w:rPr>
                    <w:t>、</w:t>
                  </w:r>
                  <w:r>
                    <w:t>烘干</w:t>
                  </w:r>
                  <w:r>
                    <w:rPr>
                      <w:rFonts w:hint="eastAsia"/>
                    </w:rPr>
                    <w:t>工序产生的有机废气在</w:t>
                  </w:r>
                  <w:r>
                    <w:t>独立密闭车间内</w:t>
                  </w:r>
                  <w:r>
                    <w:rPr>
                      <w:rFonts w:hint="eastAsia"/>
                    </w:rPr>
                    <w:t>，</w:t>
                  </w:r>
                  <w:r>
                    <w:t>保持微负压状态对废气</w:t>
                  </w:r>
                  <w:r>
                    <w:rPr>
                      <w:rFonts w:hint="eastAsia"/>
                    </w:rPr>
                    <w:t>进行</w:t>
                  </w:r>
                  <w:r>
                    <w:t>收集</w:t>
                  </w:r>
                  <w:r>
                    <w:rPr>
                      <w:rFonts w:hint="eastAsia"/>
                    </w:rPr>
                    <w:t>后</w:t>
                  </w:r>
                  <w:r>
                    <w:t>，</w:t>
                  </w:r>
                  <w:r>
                    <w:rPr>
                      <w:rFonts w:hint="eastAsia"/>
                    </w:rPr>
                    <w:t>再</w:t>
                  </w:r>
                  <w:r>
                    <w:t>经</w:t>
                  </w:r>
                  <w:r>
                    <w:rPr>
                      <w:rFonts w:hint="eastAsia"/>
                    </w:rPr>
                    <w:t>“一级活性炭+二级活性炭”吸附处理</w:t>
                  </w:r>
                  <w:r>
                    <w:t>后通过</w:t>
                  </w:r>
                  <w:r>
                    <w:rPr>
                      <w:rFonts w:hint="eastAsia"/>
                    </w:rPr>
                    <w:t>20</w:t>
                  </w:r>
                  <w:r>
                    <w:t>m高以上的排气筒高空排放</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pct"/>
                  <w:vMerge w:val="continue"/>
                  <w:tcBorders>
                    <w:top w:val="single" w:color="auto" w:sz="4" w:space="0"/>
                    <w:left w:val="single" w:color="auto" w:sz="4" w:space="0"/>
                    <w:bottom w:val="single" w:color="auto" w:sz="4" w:space="0"/>
                    <w:right w:val="single" w:color="auto" w:sz="4" w:space="0"/>
                  </w:tcBorders>
                  <w:vAlign w:val="center"/>
                </w:tcPr>
                <w:p>
                  <w:pPr>
                    <w:pStyle w:val="47"/>
                  </w:pPr>
                </w:p>
              </w:tc>
              <w:tc>
                <w:tcPr>
                  <w:tcW w:w="457" w:type="pct"/>
                  <w:tcBorders>
                    <w:top w:val="single" w:color="auto" w:sz="4" w:space="0"/>
                    <w:left w:val="single" w:color="auto" w:sz="4" w:space="0"/>
                    <w:bottom w:val="single" w:color="auto" w:sz="4" w:space="0"/>
                    <w:right w:val="single" w:color="auto" w:sz="4" w:space="0"/>
                  </w:tcBorders>
                  <w:vAlign w:val="center"/>
                </w:tcPr>
                <w:p>
                  <w:pPr>
                    <w:pStyle w:val="47"/>
                  </w:pPr>
                  <w:r>
                    <w:t>噪声处理</w:t>
                  </w:r>
                </w:p>
              </w:tc>
              <w:tc>
                <w:tcPr>
                  <w:tcW w:w="3818" w:type="pct"/>
                  <w:tcBorders>
                    <w:top w:val="single" w:color="auto" w:sz="4" w:space="0"/>
                    <w:left w:val="single" w:color="auto" w:sz="4" w:space="0"/>
                    <w:bottom w:val="single" w:color="auto" w:sz="4" w:space="0"/>
                    <w:right w:val="single" w:color="auto" w:sz="4" w:space="0"/>
                  </w:tcBorders>
                  <w:vAlign w:val="center"/>
                </w:tcPr>
                <w:p>
                  <w:pPr>
                    <w:pStyle w:val="47"/>
                    <w:jc w:val="left"/>
                  </w:pPr>
                  <w:r>
                    <w:rPr>
                      <w:rFonts w:hint="eastAsia"/>
                    </w:rPr>
                    <w:t>隔声、设备减震等。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pct"/>
                  <w:vMerge w:val="continue"/>
                  <w:tcBorders>
                    <w:top w:val="single" w:color="auto" w:sz="4" w:space="0"/>
                    <w:left w:val="single" w:color="auto" w:sz="4" w:space="0"/>
                    <w:bottom w:val="single" w:color="auto" w:sz="4" w:space="0"/>
                    <w:right w:val="single" w:color="auto" w:sz="4" w:space="0"/>
                  </w:tcBorders>
                  <w:vAlign w:val="center"/>
                </w:tcPr>
                <w:p>
                  <w:pPr>
                    <w:pStyle w:val="47"/>
                  </w:pPr>
                </w:p>
              </w:tc>
              <w:tc>
                <w:tcPr>
                  <w:tcW w:w="457" w:type="pct"/>
                  <w:tcBorders>
                    <w:top w:val="single" w:color="auto" w:sz="4" w:space="0"/>
                    <w:left w:val="single" w:color="auto" w:sz="4" w:space="0"/>
                    <w:bottom w:val="single" w:color="auto" w:sz="4" w:space="0"/>
                    <w:right w:val="single" w:color="auto" w:sz="4" w:space="0"/>
                  </w:tcBorders>
                  <w:vAlign w:val="center"/>
                </w:tcPr>
                <w:p>
                  <w:pPr>
                    <w:pStyle w:val="47"/>
                  </w:pPr>
                  <w:r>
                    <w:t>固废处理</w:t>
                  </w:r>
                </w:p>
              </w:tc>
              <w:tc>
                <w:tcPr>
                  <w:tcW w:w="3818" w:type="pct"/>
                  <w:tcBorders>
                    <w:top w:val="single" w:color="auto" w:sz="4" w:space="0"/>
                    <w:left w:val="single" w:color="auto" w:sz="4" w:space="0"/>
                    <w:bottom w:val="single" w:color="auto" w:sz="4" w:space="0"/>
                    <w:right w:val="single" w:color="auto" w:sz="4" w:space="0"/>
                  </w:tcBorders>
                  <w:vAlign w:val="center"/>
                </w:tcPr>
                <w:p>
                  <w:pPr>
                    <w:pStyle w:val="47"/>
                    <w:jc w:val="left"/>
                  </w:pPr>
                  <w:r>
                    <w:rPr>
                      <w:rFonts w:hint="eastAsia"/>
                    </w:rPr>
                    <w:t>一般包装材料、金属边角料、次品、金属沉渣、废滤芯由企业收集后外售综合利用；废乳化液、废漆料、废包装桶、废机油、废油桶、废活性炭、含漆废抹布和手套属于危险废物，要求企业收集后在厂区内危废仓库暂存，定期委托有相关危废处理资质的单位进行集中处置；含油废抹布和手套、生活垃圾在厂内定点收集，由当地环卫部门统一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pct"/>
                  <w:vMerge w:val="restart"/>
                  <w:tcBorders>
                    <w:top w:val="single" w:color="auto" w:sz="4" w:space="0"/>
                    <w:left w:val="single" w:color="auto" w:sz="4" w:space="0"/>
                    <w:bottom w:val="single" w:color="auto" w:sz="4" w:space="0"/>
                    <w:right w:val="single" w:color="auto" w:sz="4" w:space="0"/>
                  </w:tcBorders>
                  <w:vAlign w:val="center"/>
                </w:tcPr>
                <w:p>
                  <w:pPr>
                    <w:pStyle w:val="47"/>
                  </w:pPr>
                  <w:r>
                    <w:t>公共工程</w:t>
                  </w:r>
                </w:p>
              </w:tc>
              <w:tc>
                <w:tcPr>
                  <w:tcW w:w="457" w:type="pct"/>
                  <w:tcBorders>
                    <w:top w:val="single" w:color="auto" w:sz="4" w:space="0"/>
                    <w:left w:val="single" w:color="auto" w:sz="4" w:space="0"/>
                    <w:bottom w:val="single" w:color="auto" w:sz="4" w:space="0"/>
                    <w:right w:val="single" w:color="auto" w:sz="4" w:space="0"/>
                  </w:tcBorders>
                  <w:vAlign w:val="center"/>
                </w:tcPr>
                <w:p>
                  <w:pPr>
                    <w:pStyle w:val="47"/>
                  </w:pPr>
                  <w:r>
                    <w:t>给水</w:t>
                  </w:r>
                </w:p>
              </w:tc>
              <w:tc>
                <w:tcPr>
                  <w:tcW w:w="3818" w:type="pct"/>
                  <w:tcBorders>
                    <w:top w:val="single" w:color="auto" w:sz="4" w:space="0"/>
                    <w:left w:val="single" w:color="auto" w:sz="4" w:space="0"/>
                    <w:bottom w:val="single" w:color="auto" w:sz="4" w:space="0"/>
                    <w:right w:val="single" w:color="auto" w:sz="4" w:space="0"/>
                  </w:tcBorders>
                  <w:vAlign w:val="center"/>
                </w:tcPr>
                <w:p>
                  <w:pPr>
                    <w:pStyle w:val="47"/>
                    <w:jc w:val="left"/>
                  </w:pPr>
                  <w:r>
                    <w:rPr>
                      <w:rFonts w:hint="eastAsia"/>
                    </w:rPr>
                    <w:t>当地自来水厂统一供给。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pct"/>
                  <w:vMerge w:val="continue"/>
                  <w:tcBorders>
                    <w:top w:val="single" w:color="auto" w:sz="4" w:space="0"/>
                    <w:left w:val="single" w:color="auto" w:sz="4" w:space="0"/>
                    <w:bottom w:val="single" w:color="auto" w:sz="4" w:space="0"/>
                    <w:right w:val="single" w:color="auto" w:sz="4" w:space="0"/>
                  </w:tcBorders>
                  <w:vAlign w:val="center"/>
                </w:tcPr>
                <w:p>
                  <w:pPr>
                    <w:pStyle w:val="47"/>
                  </w:pPr>
                </w:p>
              </w:tc>
              <w:tc>
                <w:tcPr>
                  <w:tcW w:w="457" w:type="pct"/>
                  <w:tcBorders>
                    <w:top w:val="single" w:color="auto" w:sz="4" w:space="0"/>
                    <w:left w:val="single" w:color="auto" w:sz="4" w:space="0"/>
                    <w:bottom w:val="single" w:color="auto" w:sz="4" w:space="0"/>
                    <w:right w:val="single" w:color="auto" w:sz="4" w:space="0"/>
                  </w:tcBorders>
                  <w:vAlign w:val="center"/>
                </w:tcPr>
                <w:p>
                  <w:pPr>
                    <w:pStyle w:val="47"/>
                  </w:pPr>
                  <w:r>
                    <w:t>排水</w:t>
                  </w:r>
                </w:p>
              </w:tc>
              <w:tc>
                <w:tcPr>
                  <w:tcW w:w="3818" w:type="pct"/>
                  <w:tcBorders>
                    <w:top w:val="single" w:color="auto" w:sz="4" w:space="0"/>
                    <w:left w:val="single" w:color="auto" w:sz="4" w:space="0"/>
                    <w:bottom w:val="single" w:color="auto" w:sz="4" w:space="0"/>
                    <w:right w:val="single" w:color="auto" w:sz="4" w:space="0"/>
                  </w:tcBorders>
                  <w:vAlign w:val="center"/>
                </w:tcPr>
                <w:p>
                  <w:pPr>
                    <w:pStyle w:val="47"/>
                    <w:jc w:val="left"/>
                  </w:pPr>
                  <w:r>
                    <w:t>实行清污分流、雨污分流；生活污水经化粪池预处理达到入网标准后接入区域污水收集管网，最终经桐乡市城市污水处理有限责任公司崇福污水处理厂处理后达标排入钱塘江。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pct"/>
                  <w:vMerge w:val="continue"/>
                  <w:tcBorders>
                    <w:top w:val="single" w:color="auto" w:sz="4" w:space="0"/>
                    <w:left w:val="single" w:color="auto" w:sz="4" w:space="0"/>
                    <w:bottom w:val="single" w:color="auto" w:sz="4" w:space="0"/>
                    <w:right w:val="single" w:color="auto" w:sz="4" w:space="0"/>
                  </w:tcBorders>
                  <w:vAlign w:val="center"/>
                </w:tcPr>
                <w:p>
                  <w:pPr>
                    <w:pStyle w:val="47"/>
                  </w:pPr>
                </w:p>
              </w:tc>
              <w:tc>
                <w:tcPr>
                  <w:tcW w:w="457" w:type="pct"/>
                  <w:tcBorders>
                    <w:top w:val="single" w:color="auto" w:sz="4" w:space="0"/>
                    <w:left w:val="single" w:color="auto" w:sz="4" w:space="0"/>
                    <w:bottom w:val="single" w:color="auto" w:sz="4" w:space="0"/>
                    <w:right w:val="single" w:color="auto" w:sz="4" w:space="0"/>
                  </w:tcBorders>
                  <w:vAlign w:val="center"/>
                </w:tcPr>
                <w:p>
                  <w:pPr>
                    <w:pStyle w:val="47"/>
                  </w:pPr>
                  <w:r>
                    <w:t>供电</w:t>
                  </w:r>
                </w:p>
              </w:tc>
              <w:tc>
                <w:tcPr>
                  <w:tcW w:w="3818" w:type="pct"/>
                  <w:tcBorders>
                    <w:top w:val="single" w:color="auto" w:sz="4" w:space="0"/>
                    <w:left w:val="single" w:color="auto" w:sz="4" w:space="0"/>
                    <w:bottom w:val="single" w:color="auto" w:sz="4" w:space="0"/>
                    <w:right w:val="single" w:color="auto" w:sz="4" w:space="0"/>
                  </w:tcBorders>
                  <w:vAlign w:val="center"/>
                </w:tcPr>
                <w:p>
                  <w:pPr>
                    <w:pStyle w:val="47"/>
                    <w:jc w:val="left"/>
                  </w:pPr>
                  <w:r>
                    <w:t>由当地供电所统一提供。</w:t>
                  </w:r>
                </w:p>
              </w:tc>
            </w:tr>
          </w:tbl>
          <w:p>
            <w:pPr>
              <w:pStyle w:val="46"/>
            </w:pPr>
            <w:bookmarkStart w:id="37" w:name="_Toc29380581"/>
            <w:bookmarkStart w:id="38" w:name="_Toc29388532"/>
            <w:r>
              <w:t>表1-3 项目产品方案一览表</w:t>
            </w:r>
          </w:p>
          <w:tbl>
            <w:tblPr>
              <w:tblStyle w:val="3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9"/>
              <w:gridCol w:w="3345"/>
              <w:gridCol w:w="2083"/>
              <w:gridCol w:w="2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pct"/>
                  <w:tcBorders>
                    <w:top w:val="single" w:color="auto" w:sz="4" w:space="0"/>
                    <w:left w:val="single" w:color="auto" w:sz="4" w:space="0"/>
                    <w:bottom w:val="single" w:color="auto" w:sz="4" w:space="0"/>
                    <w:right w:val="single" w:color="auto" w:sz="4" w:space="0"/>
                  </w:tcBorders>
                  <w:vAlign w:val="center"/>
                </w:tcPr>
                <w:p>
                  <w:pPr>
                    <w:pStyle w:val="46"/>
                  </w:pPr>
                  <w:r>
                    <w:t>序号</w:t>
                  </w:r>
                </w:p>
              </w:tc>
              <w:tc>
                <w:tcPr>
                  <w:tcW w:w="1918" w:type="pct"/>
                  <w:tcBorders>
                    <w:top w:val="single" w:color="auto" w:sz="4" w:space="0"/>
                    <w:left w:val="single" w:color="auto" w:sz="4" w:space="0"/>
                    <w:bottom w:val="single" w:color="auto" w:sz="4" w:space="0"/>
                    <w:right w:val="single" w:color="auto" w:sz="4" w:space="0"/>
                  </w:tcBorders>
                  <w:vAlign w:val="center"/>
                </w:tcPr>
                <w:p>
                  <w:pPr>
                    <w:pStyle w:val="46"/>
                  </w:pPr>
                  <w:r>
                    <w:t>产品名称</w:t>
                  </w:r>
                </w:p>
              </w:tc>
              <w:tc>
                <w:tcPr>
                  <w:tcW w:w="1194" w:type="pct"/>
                  <w:tcBorders>
                    <w:top w:val="single" w:color="auto" w:sz="4" w:space="0"/>
                    <w:left w:val="single" w:color="auto" w:sz="4" w:space="0"/>
                    <w:bottom w:val="single" w:color="auto" w:sz="4" w:space="0"/>
                    <w:right w:val="single" w:color="auto" w:sz="4" w:space="0"/>
                  </w:tcBorders>
                  <w:vAlign w:val="center"/>
                </w:tcPr>
                <w:p>
                  <w:pPr>
                    <w:pStyle w:val="46"/>
                  </w:pPr>
                  <w:r>
                    <w:t>单位</w:t>
                  </w:r>
                </w:p>
              </w:tc>
              <w:tc>
                <w:tcPr>
                  <w:tcW w:w="1296" w:type="pct"/>
                  <w:tcBorders>
                    <w:top w:val="single" w:color="auto" w:sz="4" w:space="0"/>
                    <w:left w:val="single" w:color="auto" w:sz="4" w:space="0"/>
                    <w:bottom w:val="single" w:color="auto" w:sz="4" w:space="0"/>
                    <w:right w:val="single" w:color="auto" w:sz="4" w:space="0"/>
                  </w:tcBorders>
                  <w:vAlign w:val="center"/>
                </w:tcPr>
                <w:p>
                  <w:pPr>
                    <w:pStyle w:val="46"/>
                  </w:pPr>
                  <w:r>
                    <w:t>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pct"/>
                  <w:tcBorders>
                    <w:top w:val="single" w:color="auto" w:sz="4" w:space="0"/>
                    <w:left w:val="single" w:color="auto" w:sz="4" w:space="0"/>
                    <w:bottom w:val="single" w:color="auto" w:sz="4" w:space="0"/>
                    <w:right w:val="single" w:color="auto" w:sz="4" w:space="0"/>
                  </w:tcBorders>
                  <w:vAlign w:val="center"/>
                </w:tcPr>
                <w:p>
                  <w:pPr>
                    <w:pStyle w:val="47"/>
                  </w:pPr>
                  <w:r>
                    <w:t>1</w:t>
                  </w:r>
                </w:p>
              </w:tc>
              <w:tc>
                <w:tcPr>
                  <w:tcW w:w="1918" w:type="pct"/>
                  <w:tcBorders>
                    <w:top w:val="single" w:color="auto" w:sz="4" w:space="0"/>
                    <w:left w:val="single" w:color="auto" w:sz="4" w:space="0"/>
                    <w:bottom w:val="single" w:color="auto" w:sz="4" w:space="0"/>
                    <w:right w:val="single" w:color="auto" w:sz="4" w:space="0"/>
                  </w:tcBorders>
                  <w:vAlign w:val="center"/>
                </w:tcPr>
                <w:p>
                  <w:pPr>
                    <w:pStyle w:val="47"/>
                  </w:pPr>
                  <w:r>
                    <w:t>精密配件</w:t>
                  </w:r>
                </w:p>
              </w:tc>
              <w:tc>
                <w:tcPr>
                  <w:tcW w:w="1194" w:type="pct"/>
                  <w:tcBorders>
                    <w:top w:val="single" w:color="auto" w:sz="4" w:space="0"/>
                    <w:left w:val="single" w:color="auto" w:sz="4" w:space="0"/>
                    <w:bottom w:val="single" w:color="auto" w:sz="4" w:space="0"/>
                    <w:right w:val="single" w:color="auto" w:sz="4" w:space="0"/>
                  </w:tcBorders>
                  <w:vAlign w:val="center"/>
                </w:tcPr>
                <w:p>
                  <w:pPr>
                    <w:pStyle w:val="47"/>
                  </w:pPr>
                  <w:r>
                    <w:t>件/a</w:t>
                  </w:r>
                </w:p>
              </w:tc>
              <w:tc>
                <w:tcPr>
                  <w:tcW w:w="1296" w:type="pct"/>
                  <w:tcBorders>
                    <w:top w:val="single" w:color="auto" w:sz="4" w:space="0"/>
                    <w:left w:val="single" w:color="auto" w:sz="4" w:space="0"/>
                    <w:bottom w:val="single" w:color="auto" w:sz="4" w:space="0"/>
                    <w:right w:val="single" w:color="auto" w:sz="4" w:space="0"/>
                  </w:tcBorders>
                  <w:vAlign w:val="center"/>
                </w:tcPr>
                <w:p>
                  <w:pPr>
                    <w:pStyle w:val="47"/>
                  </w:pPr>
                  <w:r>
                    <w: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pct"/>
                  <w:tcBorders>
                    <w:top w:val="single" w:color="auto" w:sz="4" w:space="0"/>
                    <w:left w:val="single" w:color="auto" w:sz="4" w:space="0"/>
                    <w:bottom w:val="single" w:color="auto" w:sz="4" w:space="0"/>
                    <w:right w:val="single" w:color="auto" w:sz="4" w:space="0"/>
                  </w:tcBorders>
                  <w:vAlign w:val="center"/>
                </w:tcPr>
                <w:p>
                  <w:pPr>
                    <w:pStyle w:val="47"/>
                  </w:pPr>
                  <w:r>
                    <w:t>2</w:t>
                  </w:r>
                </w:p>
              </w:tc>
              <w:tc>
                <w:tcPr>
                  <w:tcW w:w="1918" w:type="pct"/>
                  <w:tcBorders>
                    <w:top w:val="single" w:color="auto" w:sz="4" w:space="0"/>
                    <w:left w:val="single" w:color="auto" w:sz="4" w:space="0"/>
                    <w:bottom w:val="single" w:color="auto" w:sz="4" w:space="0"/>
                    <w:right w:val="single" w:color="auto" w:sz="4" w:space="0"/>
                  </w:tcBorders>
                  <w:vAlign w:val="center"/>
                </w:tcPr>
                <w:p>
                  <w:pPr>
                    <w:pStyle w:val="47"/>
                  </w:pPr>
                  <w:r>
                    <w:t>离心风机</w:t>
                  </w:r>
                </w:p>
              </w:tc>
              <w:tc>
                <w:tcPr>
                  <w:tcW w:w="1194" w:type="pct"/>
                  <w:tcBorders>
                    <w:top w:val="single" w:color="auto" w:sz="4" w:space="0"/>
                    <w:left w:val="single" w:color="auto" w:sz="4" w:space="0"/>
                    <w:bottom w:val="single" w:color="auto" w:sz="4" w:space="0"/>
                    <w:right w:val="single" w:color="auto" w:sz="4" w:space="0"/>
                  </w:tcBorders>
                  <w:vAlign w:val="center"/>
                </w:tcPr>
                <w:p>
                  <w:pPr>
                    <w:pStyle w:val="47"/>
                  </w:pPr>
                  <w:r>
                    <w:t>套/a</w:t>
                  </w:r>
                </w:p>
              </w:tc>
              <w:tc>
                <w:tcPr>
                  <w:tcW w:w="1296" w:type="pct"/>
                  <w:tcBorders>
                    <w:top w:val="single" w:color="auto" w:sz="4" w:space="0"/>
                    <w:left w:val="single" w:color="auto" w:sz="4" w:space="0"/>
                    <w:bottom w:val="single" w:color="auto" w:sz="4" w:space="0"/>
                    <w:right w:val="single" w:color="auto" w:sz="4" w:space="0"/>
                  </w:tcBorders>
                  <w:vAlign w:val="center"/>
                </w:tcPr>
                <w:p>
                  <w:pPr>
                    <w:pStyle w:val="47"/>
                  </w:pPr>
                  <w:r>
                    <w:t>15000</w:t>
                  </w:r>
                </w:p>
              </w:tc>
            </w:tr>
          </w:tbl>
          <w:p>
            <w:pPr>
              <w:pStyle w:val="6"/>
              <w:spacing w:before="120" w:beforeLines="50"/>
              <w:rPr>
                <w:kern w:val="2"/>
              </w:rPr>
            </w:pPr>
            <w:r>
              <w:rPr>
                <w:kern w:val="2"/>
              </w:rPr>
              <w:t>1.2.2生产设备</w:t>
            </w:r>
            <w:bookmarkEnd w:id="37"/>
            <w:bookmarkEnd w:id="38"/>
          </w:p>
          <w:p>
            <w:pPr>
              <w:ind w:firstLine="480"/>
              <w:rPr>
                <w:b/>
                <w:bCs/>
              </w:rPr>
            </w:pPr>
            <w:r>
              <w:rPr>
                <w:rFonts w:hint="eastAsia"/>
              </w:rPr>
              <w:t>本项目</w:t>
            </w:r>
            <w:r>
              <w:t>主要生产设备清单见表1-4。</w:t>
            </w:r>
          </w:p>
          <w:p>
            <w:pPr>
              <w:pStyle w:val="46"/>
            </w:pPr>
            <w:r>
              <w:t>表1-4 主要生产设备</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1"/>
              <w:gridCol w:w="3733"/>
              <w:gridCol w:w="1685"/>
              <w:gridCol w:w="1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1" w:type="pct"/>
                  <w:vAlign w:val="center"/>
                </w:tcPr>
                <w:p>
                  <w:pPr>
                    <w:pStyle w:val="46"/>
                  </w:pPr>
                  <w:r>
                    <w:t>序号</w:t>
                  </w:r>
                </w:p>
              </w:tc>
              <w:tc>
                <w:tcPr>
                  <w:tcW w:w="2141" w:type="pct"/>
                  <w:vAlign w:val="center"/>
                </w:tcPr>
                <w:p>
                  <w:pPr>
                    <w:pStyle w:val="46"/>
                  </w:pPr>
                  <w:r>
                    <w:t>名称</w:t>
                  </w:r>
                </w:p>
              </w:tc>
              <w:tc>
                <w:tcPr>
                  <w:tcW w:w="966" w:type="pct"/>
                  <w:vAlign w:val="center"/>
                </w:tcPr>
                <w:p>
                  <w:pPr>
                    <w:pStyle w:val="46"/>
                  </w:pPr>
                  <w:r>
                    <w:t>单位</w:t>
                  </w:r>
                </w:p>
              </w:tc>
              <w:tc>
                <w:tcPr>
                  <w:tcW w:w="951" w:type="pct"/>
                  <w:vAlign w:val="center"/>
                </w:tcPr>
                <w:p>
                  <w:pPr>
                    <w:pStyle w:val="46"/>
                  </w:pPr>
                  <w: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1" w:type="pct"/>
                  <w:vAlign w:val="center"/>
                </w:tcPr>
                <w:p>
                  <w:pPr>
                    <w:pStyle w:val="47"/>
                  </w:pPr>
                  <w:r>
                    <w:t>1</w:t>
                  </w:r>
                </w:p>
              </w:tc>
              <w:tc>
                <w:tcPr>
                  <w:tcW w:w="2141" w:type="pct"/>
                  <w:vAlign w:val="center"/>
                </w:tcPr>
                <w:p>
                  <w:pPr>
                    <w:pStyle w:val="47"/>
                  </w:pPr>
                  <w:r>
                    <w:t>加工中心</w:t>
                  </w:r>
                </w:p>
              </w:tc>
              <w:tc>
                <w:tcPr>
                  <w:tcW w:w="966" w:type="pct"/>
                  <w:vAlign w:val="center"/>
                </w:tcPr>
                <w:p>
                  <w:pPr>
                    <w:pStyle w:val="47"/>
                  </w:pPr>
                  <w:r>
                    <w:t>台</w:t>
                  </w:r>
                </w:p>
              </w:tc>
              <w:tc>
                <w:tcPr>
                  <w:tcW w:w="951" w:type="pct"/>
                  <w:vAlign w:val="center"/>
                </w:tcPr>
                <w:p>
                  <w:pPr>
                    <w:pStyle w:val="47"/>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1" w:type="pct"/>
                  <w:vAlign w:val="center"/>
                </w:tcPr>
                <w:p>
                  <w:pPr>
                    <w:pStyle w:val="47"/>
                  </w:pPr>
                  <w:r>
                    <w:t>2</w:t>
                  </w:r>
                </w:p>
              </w:tc>
              <w:tc>
                <w:tcPr>
                  <w:tcW w:w="2141" w:type="pct"/>
                  <w:vAlign w:val="center"/>
                </w:tcPr>
                <w:p>
                  <w:pPr>
                    <w:pStyle w:val="47"/>
                  </w:pPr>
                  <w:r>
                    <w:t>炮塔铣床</w:t>
                  </w:r>
                </w:p>
              </w:tc>
              <w:tc>
                <w:tcPr>
                  <w:tcW w:w="966" w:type="pct"/>
                  <w:vAlign w:val="center"/>
                </w:tcPr>
                <w:p>
                  <w:pPr>
                    <w:pStyle w:val="47"/>
                  </w:pPr>
                  <w:r>
                    <w:t>台</w:t>
                  </w:r>
                </w:p>
              </w:tc>
              <w:tc>
                <w:tcPr>
                  <w:tcW w:w="951" w:type="pct"/>
                  <w:vAlign w:val="center"/>
                </w:tcPr>
                <w:p>
                  <w:pPr>
                    <w:pStyle w:val="47"/>
                  </w:pPr>
                  <w: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1" w:type="pct"/>
                  <w:vAlign w:val="center"/>
                </w:tcPr>
                <w:p>
                  <w:pPr>
                    <w:pStyle w:val="47"/>
                  </w:pPr>
                  <w:r>
                    <w:t>3</w:t>
                  </w:r>
                </w:p>
              </w:tc>
              <w:tc>
                <w:tcPr>
                  <w:tcW w:w="2141" w:type="pct"/>
                  <w:vAlign w:val="center"/>
                </w:tcPr>
                <w:p>
                  <w:pPr>
                    <w:pStyle w:val="47"/>
                  </w:pPr>
                  <w:r>
                    <w:t>6140车床</w:t>
                  </w:r>
                </w:p>
              </w:tc>
              <w:tc>
                <w:tcPr>
                  <w:tcW w:w="966" w:type="pct"/>
                  <w:vAlign w:val="center"/>
                </w:tcPr>
                <w:p>
                  <w:pPr>
                    <w:pStyle w:val="47"/>
                  </w:pPr>
                  <w:r>
                    <w:t>台</w:t>
                  </w:r>
                </w:p>
              </w:tc>
              <w:tc>
                <w:tcPr>
                  <w:tcW w:w="951" w:type="pct"/>
                  <w:vAlign w:val="center"/>
                </w:tcPr>
                <w:p>
                  <w:pPr>
                    <w:pStyle w:val="47"/>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1" w:type="pct"/>
                  <w:vAlign w:val="center"/>
                </w:tcPr>
                <w:p>
                  <w:pPr>
                    <w:pStyle w:val="47"/>
                  </w:pPr>
                  <w:r>
                    <w:t>4</w:t>
                  </w:r>
                </w:p>
              </w:tc>
              <w:tc>
                <w:tcPr>
                  <w:tcW w:w="2141" w:type="pct"/>
                  <w:vAlign w:val="center"/>
                </w:tcPr>
                <w:p>
                  <w:pPr>
                    <w:pStyle w:val="47"/>
                  </w:pPr>
                  <w:r>
                    <w:t>平面磨床</w:t>
                  </w:r>
                </w:p>
              </w:tc>
              <w:tc>
                <w:tcPr>
                  <w:tcW w:w="966" w:type="pct"/>
                  <w:vAlign w:val="center"/>
                </w:tcPr>
                <w:p>
                  <w:pPr>
                    <w:pStyle w:val="47"/>
                  </w:pPr>
                  <w:r>
                    <w:t>台</w:t>
                  </w:r>
                </w:p>
              </w:tc>
              <w:tc>
                <w:tcPr>
                  <w:tcW w:w="951" w:type="pct"/>
                  <w:vAlign w:val="center"/>
                </w:tcPr>
                <w:p>
                  <w:pPr>
                    <w:pStyle w:val="47"/>
                  </w:pPr>
                  <w:r>
                    <w:rPr>
                      <w:rFonts w:hint="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1" w:type="pct"/>
                  <w:vAlign w:val="center"/>
                </w:tcPr>
                <w:p>
                  <w:pPr>
                    <w:pStyle w:val="47"/>
                  </w:pPr>
                  <w:r>
                    <w:t>5</w:t>
                  </w:r>
                </w:p>
              </w:tc>
              <w:tc>
                <w:tcPr>
                  <w:tcW w:w="2141" w:type="pct"/>
                  <w:vAlign w:val="center"/>
                </w:tcPr>
                <w:p>
                  <w:pPr>
                    <w:pStyle w:val="47"/>
                  </w:pPr>
                  <w:r>
                    <w:t>数控车床</w:t>
                  </w:r>
                </w:p>
              </w:tc>
              <w:tc>
                <w:tcPr>
                  <w:tcW w:w="966" w:type="pct"/>
                  <w:vAlign w:val="center"/>
                </w:tcPr>
                <w:p>
                  <w:pPr>
                    <w:pStyle w:val="47"/>
                  </w:pPr>
                  <w:r>
                    <w:t>台</w:t>
                  </w:r>
                </w:p>
              </w:tc>
              <w:tc>
                <w:tcPr>
                  <w:tcW w:w="951" w:type="pct"/>
                  <w:vAlign w:val="center"/>
                </w:tcPr>
                <w:p>
                  <w:pPr>
                    <w:pStyle w:val="47"/>
                  </w:pPr>
                  <w:r>
                    <w:rPr>
                      <w:rFonts w:hint="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1" w:type="pct"/>
                  <w:vAlign w:val="center"/>
                </w:tcPr>
                <w:p>
                  <w:pPr>
                    <w:pStyle w:val="47"/>
                  </w:pPr>
                  <w:r>
                    <w:rPr>
                      <w:rFonts w:hint="eastAsia"/>
                    </w:rPr>
                    <w:t>6</w:t>
                  </w:r>
                </w:p>
              </w:tc>
              <w:tc>
                <w:tcPr>
                  <w:tcW w:w="2141" w:type="pct"/>
                  <w:vAlign w:val="center"/>
                </w:tcPr>
                <w:p>
                  <w:pPr>
                    <w:pStyle w:val="47"/>
                  </w:pPr>
                  <w:r>
                    <w:t>平面组合铣床</w:t>
                  </w:r>
                </w:p>
              </w:tc>
              <w:tc>
                <w:tcPr>
                  <w:tcW w:w="966" w:type="pct"/>
                  <w:vAlign w:val="center"/>
                </w:tcPr>
                <w:p>
                  <w:pPr>
                    <w:pStyle w:val="47"/>
                  </w:pPr>
                  <w:r>
                    <w:t>台</w:t>
                  </w:r>
                </w:p>
              </w:tc>
              <w:tc>
                <w:tcPr>
                  <w:tcW w:w="951" w:type="pct"/>
                  <w:vAlign w:val="center"/>
                </w:tcPr>
                <w:p>
                  <w:pPr>
                    <w:pStyle w:val="47"/>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1" w:type="pct"/>
                  <w:vAlign w:val="center"/>
                </w:tcPr>
                <w:p>
                  <w:pPr>
                    <w:pStyle w:val="47"/>
                  </w:pPr>
                  <w:r>
                    <w:rPr>
                      <w:rFonts w:hint="eastAsia"/>
                    </w:rPr>
                    <w:t>7</w:t>
                  </w:r>
                </w:p>
              </w:tc>
              <w:tc>
                <w:tcPr>
                  <w:tcW w:w="2141" w:type="pct"/>
                  <w:vAlign w:val="center"/>
                </w:tcPr>
                <w:p>
                  <w:pPr>
                    <w:pStyle w:val="47"/>
                  </w:pPr>
                  <w:r>
                    <w:t>摇臂钻床</w:t>
                  </w:r>
                </w:p>
              </w:tc>
              <w:tc>
                <w:tcPr>
                  <w:tcW w:w="966" w:type="pct"/>
                  <w:vAlign w:val="center"/>
                </w:tcPr>
                <w:p>
                  <w:pPr>
                    <w:pStyle w:val="47"/>
                  </w:pPr>
                  <w:r>
                    <w:t>台</w:t>
                  </w:r>
                </w:p>
              </w:tc>
              <w:tc>
                <w:tcPr>
                  <w:tcW w:w="951" w:type="pct"/>
                  <w:vAlign w:val="center"/>
                </w:tcPr>
                <w:p>
                  <w:pPr>
                    <w:pStyle w:val="47"/>
                  </w:pPr>
                  <w: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1" w:type="pct"/>
                  <w:vAlign w:val="center"/>
                </w:tcPr>
                <w:p>
                  <w:pPr>
                    <w:pStyle w:val="47"/>
                  </w:pPr>
                  <w:r>
                    <w:rPr>
                      <w:rFonts w:hint="eastAsia"/>
                    </w:rPr>
                    <w:t>8</w:t>
                  </w:r>
                </w:p>
              </w:tc>
              <w:tc>
                <w:tcPr>
                  <w:tcW w:w="2141" w:type="pct"/>
                  <w:vAlign w:val="center"/>
                </w:tcPr>
                <w:p>
                  <w:pPr>
                    <w:pStyle w:val="47"/>
                  </w:pPr>
                  <w:r>
                    <w:t>攻丝机</w:t>
                  </w:r>
                </w:p>
              </w:tc>
              <w:tc>
                <w:tcPr>
                  <w:tcW w:w="966" w:type="pct"/>
                  <w:vAlign w:val="center"/>
                </w:tcPr>
                <w:p>
                  <w:pPr>
                    <w:pStyle w:val="47"/>
                  </w:pPr>
                  <w:r>
                    <w:t>台</w:t>
                  </w:r>
                </w:p>
              </w:tc>
              <w:tc>
                <w:tcPr>
                  <w:tcW w:w="951" w:type="pct"/>
                  <w:vAlign w:val="center"/>
                </w:tcPr>
                <w:p>
                  <w:pPr>
                    <w:pStyle w:val="47"/>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1" w:type="pct"/>
                  <w:vAlign w:val="center"/>
                </w:tcPr>
                <w:p>
                  <w:pPr>
                    <w:pStyle w:val="47"/>
                  </w:pPr>
                  <w:r>
                    <w:rPr>
                      <w:rFonts w:hint="eastAsia"/>
                    </w:rPr>
                    <w:t>9</w:t>
                  </w:r>
                </w:p>
              </w:tc>
              <w:tc>
                <w:tcPr>
                  <w:tcW w:w="2141" w:type="pct"/>
                  <w:vAlign w:val="center"/>
                </w:tcPr>
                <w:p>
                  <w:pPr>
                    <w:pStyle w:val="47"/>
                  </w:pPr>
                  <w:r>
                    <w:t>锯床</w:t>
                  </w:r>
                </w:p>
              </w:tc>
              <w:tc>
                <w:tcPr>
                  <w:tcW w:w="966" w:type="pct"/>
                  <w:vAlign w:val="center"/>
                </w:tcPr>
                <w:p>
                  <w:pPr>
                    <w:pStyle w:val="47"/>
                  </w:pPr>
                  <w:r>
                    <w:t>台</w:t>
                  </w:r>
                </w:p>
              </w:tc>
              <w:tc>
                <w:tcPr>
                  <w:tcW w:w="951" w:type="pct"/>
                  <w:vAlign w:val="center"/>
                </w:tcPr>
                <w:p>
                  <w:pPr>
                    <w:pStyle w:val="47"/>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1" w:type="pct"/>
                  <w:vAlign w:val="center"/>
                </w:tcPr>
                <w:p>
                  <w:pPr>
                    <w:pStyle w:val="47"/>
                  </w:pPr>
                  <w:r>
                    <w:rPr>
                      <w:rFonts w:hint="eastAsia"/>
                    </w:rPr>
                    <w:t>10</w:t>
                  </w:r>
                </w:p>
              </w:tc>
              <w:tc>
                <w:tcPr>
                  <w:tcW w:w="2141" w:type="pct"/>
                  <w:vAlign w:val="center"/>
                </w:tcPr>
                <w:p>
                  <w:pPr>
                    <w:pStyle w:val="47"/>
                  </w:pPr>
                  <w:r>
                    <w:t>100T油压机</w:t>
                  </w:r>
                </w:p>
              </w:tc>
              <w:tc>
                <w:tcPr>
                  <w:tcW w:w="966" w:type="pct"/>
                  <w:vAlign w:val="center"/>
                </w:tcPr>
                <w:p>
                  <w:pPr>
                    <w:pStyle w:val="47"/>
                  </w:pPr>
                  <w:r>
                    <w:t>台</w:t>
                  </w:r>
                </w:p>
              </w:tc>
              <w:tc>
                <w:tcPr>
                  <w:tcW w:w="951" w:type="pct"/>
                  <w:vAlign w:val="center"/>
                </w:tcPr>
                <w:p>
                  <w:pPr>
                    <w:pStyle w:val="47"/>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1" w:type="pct"/>
                  <w:vAlign w:val="center"/>
                </w:tcPr>
                <w:p>
                  <w:pPr>
                    <w:pStyle w:val="47"/>
                  </w:pPr>
                  <w:r>
                    <w:rPr>
                      <w:rFonts w:hint="eastAsia"/>
                    </w:rPr>
                    <w:t>11</w:t>
                  </w:r>
                </w:p>
              </w:tc>
              <w:tc>
                <w:tcPr>
                  <w:tcW w:w="2141" w:type="pct"/>
                  <w:vAlign w:val="center"/>
                </w:tcPr>
                <w:p>
                  <w:pPr>
                    <w:pStyle w:val="47"/>
                  </w:pPr>
                  <w:r>
                    <w:t>真空含浸机</w:t>
                  </w:r>
                </w:p>
              </w:tc>
              <w:tc>
                <w:tcPr>
                  <w:tcW w:w="966" w:type="pct"/>
                  <w:vAlign w:val="center"/>
                </w:tcPr>
                <w:p>
                  <w:pPr>
                    <w:pStyle w:val="47"/>
                  </w:pPr>
                  <w:r>
                    <w:t>台</w:t>
                  </w:r>
                </w:p>
              </w:tc>
              <w:tc>
                <w:tcPr>
                  <w:tcW w:w="951" w:type="pct"/>
                  <w:vAlign w:val="center"/>
                </w:tcPr>
                <w:p>
                  <w:pPr>
                    <w:pStyle w:val="47"/>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1" w:type="pct"/>
                  <w:vAlign w:val="center"/>
                </w:tcPr>
                <w:p>
                  <w:pPr>
                    <w:pStyle w:val="47"/>
                  </w:pPr>
                  <w:r>
                    <w:rPr>
                      <w:rFonts w:hint="eastAsia"/>
                    </w:rPr>
                    <w:t>12</w:t>
                  </w:r>
                </w:p>
              </w:tc>
              <w:tc>
                <w:tcPr>
                  <w:tcW w:w="2141" w:type="pct"/>
                  <w:vAlign w:val="center"/>
                </w:tcPr>
                <w:p>
                  <w:pPr>
                    <w:pStyle w:val="47"/>
                  </w:pPr>
                  <w:r>
                    <w:t>电热烘箱</w:t>
                  </w:r>
                </w:p>
              </w:tc>
              <w:tc>
                <w:tcPr>
                  <w:tcW w:w="966" w:type="pct"/>
                  <w:vAlign w:val="center"/>
                </w:tcPr>
                <w:p>
                  <w:pPr>
                    <w:pStyle w:val="47"/>
                  </w:pPr>
                  <w:r>
                    <w:t>台</w:t>
                  </w:r>
                </w:p>
              </w:tc>
              <w:tc>
                <w:tcPr>
                  <w:tcW w:w="951" w:type="pct"/>
                  <w:vAlign w:val="center"/>
                </w:tcPr>
                <w:p>
                  <w:pPr>
                    <w:pStyle w:val="47"/>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1" w:type="pct"/>
                  <w:vAlign w:val="center"/>
                </w:tcPr>
                <w:p>
                  <w:pPr>
                    <w:pStyle w:val="47"/>
                  </w:pPr>
                  <w:r>
                    <w:rPr>
                      <w:rFonts w:hint="eastAsia"/>
                    </w:rPr>
                    <w:t>13</w:t>
                  </w:r>
                </w:p>
              </w:tc>
              <w:tc>
                <w:tcPr>
                  <w:tcW w:w="2141" w:type="pct"/>
                  <w:vAlign w:val="center"/>
                </w:tcPr>
                <w:p>
                  <w:pPr>
                    <w:pStyle w:val="47"/>
                  </w:pPr>
                  <w:r>
                    <w:t>10T油压机</w:t>
                  </w:r>
                </w:p>
              </w:tc>
              <w:tc>
                <w:tcPr>
                  <w:tcW w:w="966" w:type="pct"/>
                  <w:vAlign w:val="center"/>
                </w:tcPr>
                <w:p>
                  <w:pPr>
                    <w:pStyle w:val="47"/>
                  </w:pPr>
                  <w:r>
                    <w:t>台</w:t>
                  </w:r>
                </w:p>
              </w:tc>
              <w:tc>
                <w:tcPr>
                  <w:tcW w:w="951" w:type="pct"/>
                  <w:vAlign w:val="center"/>
                </w:tcPr>
                <w:p>
                  <w:pPr>
                    <w:pStyle w:val="47"/>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1" w:type="pct"/>
                  <w:vAlign w:val="center"/>
                </w:tcPr>
                <w:p>
                  <w:pPr>
                    <w:pStyle w:val="47"/>
                  </w:pPr>
                  <w:r>
                    <w:rPr>
                      <w:rFonts w:hint="eastAsia"/>
                    </w:rPr>
                    <w:t>14</w:t>
                  </w:r>
                </w:p>
              </w:tc>
              <w:tc>
                <w:tcPr>
                  <w:tcW w:w="2141" w:type="pct"/>
                  <w:vAlign w:val="center"/>
                </w:tcPr>
                <w:p>
                  <w:pPr>
                    <w:pStyle w:val="47"/>
                  </w:pPr>
                  <w:r>
                    <w:t>综合测试平台</w:t>
                  </w:r>
                </w:p>
              </w:tc>
              <w:tc>
                <w:tcPr>
                  <w:tcW w:w="966" w:type="pct"/>
                  <w:vAlign w:val="center"/>
                </w:tcPr>
                <w:p>
                  <w:pPr>
                    <w:pStyle w:val="47"/>
                  </w:pPr>
                  <w:r>
                    <w:t>台</w:t>
                  </w:r>
                </w:p>
              </w:tc>
              <w:tc>
                <w:tcPr>
                  <w:tcW w:w="951" w:type="pct"/>
                  <w:vAlign w:val="center"/>
                </w:tcPr>
                <w:p>
                  <w:pPr>
                    <w:pStyle w:val="47"/>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1" w:type="pct"/>
                  <w:vAlign w:val="center"/>
                </w:tcPr>
                <w:p>
                  <w:pPr>
                    <w:pStyle w:val="47"/>
                  </w:pPr>
                  <w:r>
                    <w:rPr>
                      <w:rFonts w:hint="eastAsia"/>
                    </w:rPr>
                    <w:t>15</w:t>
                  </w:r>
                </w:p>
              </w:tc>
              <w:tc>
                <w:tcPr>
                  <w:tcW w:w="2141" w:type="pct"/>
                  <w:vAlign w:val="center"/>
                </w:tcPr>
                <w:p>
                  <w:pPr>
                    <w:pStyle w:val="47"/>
                  </w:pPr>
                  <w:r>
                    <w:t>定子绕线机</w:t>
                  </w:r>
                </w:p>
              </w:tc>
              <w:tc>
                <w:tcPr>
                  <w:tcW w:w="966" w:type="pct"/>
                  <w:vAlign w:val="center"/>
                </w:tcPr>
                <w:p>
                  <w:pPr>
                    <w:pStyle w:val="47"/>
                  </w:pPr>
                  <w:r>
                    <w:t>台</w:t>
                  </w:r>
                </w:p>
              </w:tc>
              <w:tc>
                <w:tcPr>
                  <w:tcW w:w="951" w:type="pct"/>
                  <w:vAlign w:val="center"/>
                </w:tcPr>
                <w:p>
                  <w:pPr>
                    <w:pStyle w:val="47"/>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1" w:type="pct"/>
                  <w:vAlign w:val="center"/>
                </w:tcPr>
                <w:p>
                  <w:pPr>
                    <w:pStyle w:val="47"/>
                  </w:pPr>
                  <w:r>
                    <w:rPr>
                      <w:rFonts w:hint="eastAsia"/>
                    </w:rPr>
                    <w:t>16</w:t>
                  </w:r>
                </w:p>
              </w:tc>
              <w:tc>
                <w:tcPr>
                  <w:tcW w:w="2141" w:type="pct"/>
                  <w:vAlign w:val="center"/>
                </w:tcPr>
                <w:p>
                  <w:pPr>
                    <w:pStyle w:val="47"/>
                  </w:pPr>
                  <w:r>
                    <w:t>动平衡机</w:t>
                  </w:r>
                </w:p>
              </w:tc>
              <w:tc>
                <w:tcPr>
                  <w:tcW w:w="966" w:type="pct"/>
                  <w:vAlign w:val="center"/>
                </w:tcPr>
                <w:p>
                  <w:pPr>
                    <w:pStyle w:val="47"/>
                  </w:pPr>
                  <w:r>
                    <w:t>台</w:t>
                  </w:r>
                </w:p>
              </w:tc>
              <w:tc>
                <w:tcPr>
                  <w:tcW w:w="951" w:type="pct"/>
                  <w:vAlign w:val="center"/>
                </w:tcPr>
                <w:p>
                  <w:pPr>
                    <w:pStyle w:val="47"/>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1" w:type="pct"/>
                  <w:vAlign w:val="center"/>
                </w:tcPr>
                <w:p>
                  <w:pPr>
                    <w:pStyle w:val="47"/>
                  </w:pPr>
                  <w:r>
                    <w:rPr>
                      <w:rFonts w:hint="eastAsia"/>
                    </w:rPr>
                    <w:t>17</w:t>
                  </w:r>
                </w:p>
              </w:tc>
              <w:tc>
                <w:tcPr>
                  <w:tcW w:w="2141" w:type="pct"/>
                  <w:vAlign w:val="center"/>
                </w:tcPr>
                <w:p>
                  <w:pPr>
                    <w:pStyle w:val="47"/>
                  </w:pPr>
                  <w:r>
                    <w:t>MIG焊机</w:t>
                  </w:r>
                </w:p>
              </w:tc>
              <w:tc>
                <w:tcPr>
                  <w:tcW w:w="966" w:type="pct"/>
                  <w:vAlign w:val="center"/>
                </w:tcPr>
                <w:p>
                  <w:pPr>
                    <w:pStyle w:val="47"/>
                  </w:pPr>
                  <w:r>
                    <w:t>台</w:t>
                  </w:r>
                </w:p>
              </w:tc>
              <w:tc>
                <w:tcPr>
                  <w:tcW w:w="951" w:type="pct"/>
                  <w:vAlign w:val="center"/>
                </w:tcPr>
                <w:p>
                  <w:pPr>
                    <w:pStyle w:val="47"/>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1" w:type="pct"/>
                  <w:vAlign w:val="center"/>
                </w:tcPr>
                <w:p>
                  <w:pPr>
                    <w:pStyle w:val="47"/>
                  </w:pPr>
                  <w:r>
                    <w:rPr>
                      <w:rFonts w:hint="eastAsia"/>
                    </w:rPr>
                    <w:t>18</w:t>
                  </w:r>
                </w:p>
              </w:tc>
              <w:tc>
                <w:tcPr>
                  <w:tcW w:w="2141" w:type="pct"/>
                  <w:vAlign w:val="center"/>
                </w:tcPr>
                <w:p>
                  <w:pPr>
                    <w:pStyle w:val="47"/>
                  </w:pPr>
                  <w:r>
                    <w:t>交流氩弧焊机</w:t>
                  </w:r>
                </w:p>
              </w:tc>
              <w:tc>
                <w:tcPr>
                  <w:tcW w:w="966" w:type="pct"/>
                  <w:vAlign w:val="center"/>
                </w:tcPr>
                <w:p>
                  <w:pPr>
                    <w:pStyle w:val="47"/>
                  </w:pPr>
                  <w:r>
                    <w:t>台</w:t>
                  </w:r>
                </w:p>
              </w:tc>
              <w:tc>
                <w:tcPr>
                  <w:tcW w:w="951" w:type="pct"/>
                  <w:vAlign w:val="center"/>
                </w:tcPr>
                <w:p>
                  <w:pPr>
                    <w:pStyle w:val="47"/>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1" w:type="pct"/>
                  <w:vAlign w:val="center"/>
                </w:tcPr>
                <w:p>
                  <w:pPr>
                    <w:pStyle w:val="47"/>
                  </w:pPr>
                  <w:r>
                    <w:rPr>
                      <w:rFonts w:hint="eastAsia"/>
                    </w:rPr>
                    <w:t>19</w:t>
                  </w:r>
                </w:p>
              </w:tc>
              <w:tc>
                <w:tcPr>
                  <w:tcW w:w="2141" w:type="pct"/>
                  <w:vAlign w:val="center"/>
                </w:tcPr>
                <w:p>
                  <w:pPr>
                    <w:pStyle w:val="47"/>
                  </w:pPr>
                  <w:r>
                    <w:t>二保焊</w:t>
                  </w:r>
                </w:p>
              </w:tc>
              <w:tc>
                <w:tcPr>
                  <w:tcW w:w="966" w:type="pct"/>
                  <w:vAlign w:val="center"/>
                </w:tcPr>
                <w:p>
                  <w:pPr>
                    <w:pStyle w:val="47"/>
                  </w:pPr>
                  <w:r>
                    <w:t>台</w:t>
                  </w:r>
                </w:p>
              </w:tc>
              <w:tc>
                <w:tcPr>
                  <w:tcW w:w="951" w:type="pct"/>
                  <w:vAlign w:val="center"/>
                </w:tcPr>
                <w:p>
                  <w:pPr>
                    <w:pStyle w:val="47"/>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1" w:type="pct"/>
                  <w:vAlign w:val="center"/>
                </w:tcPr>
                <w:p>
                  <w:pPr>
                    <w:pStyle w:val="47"/>
                  </w:pPr>
                  <w:r>
                    <w:rPr>
                      <w:rFonts w:hint="eastAsia"/>
                    </w:rPr>
                    <w:t>20</w:t>
                  </w:r>
                </w:p>
              </w:tc>
              <w:tc>
                <w:tcPr>
                  <w:tcW w:w="2141" w:type="pct"/>
                  <w:vAlign w:val="center"/>
                </w:tcPr>
                <w:p>
                  <w:pPr>
                    <w:pStyle w:val="47"/>
                  </w:pPr>
                  <w:r>
                    <w:t>喷油螺杆空压机</w:t>
                  </w:r>
                </w:p>
              </w:tc>
              <w:tc>
                <w:tcPr>
                  <w:tcW w:w="966" w:type="pct"/>
                  <w:vAlign w:val="center"/>
                </w:tcPr>
                <w:p>
                  <w:pPr>
                    <w:pStyle w:val="47"/>
                  </w:pPr>
                  <w:r>
                    <w:t>台</w:t>
                  </w:r>
                </w:p>
              </w:tc>
              <w:tc>
                <w:tcPr>
                  <w:tcW w:w="951" w:type="pct"/>
                  <w:vAlign w:val="center"/>
                </w:tcPr>
                <w:p>
                  <w:pPr>
                    <w:pStyle w:val="47"/>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1" w:type="pct"/>
                  <w:vAlign w:val="center"/>
                </w:tcPr>
                <w:p>
                  <w:pPr>
                    <w:pStyle w:val="47"/>
                  </w:pPr>
                  <w:r>
                    <w:rPr>
                      <w:rFonts w:hint="eastAsia"/>
                    </w:rPr>
                    <w:t>21</w:t>
                  </w:r>
                </w:p>
              </w:tc>
              <w:tc>
                <w:tcPr>
                  <w:tcW w:w="2141" w:type="pct"/>
                  <w:vAlign w:val="center"/>
                </w:tcPr>
                <w:p>
                  <w:pPr>
                    <w:pStyle w:val="47"/>
                  </w:pPr>
                  <w:r>
                    <w:t>压力容器储气罐</w:t>
                  </w:r>
                </w:p>
              </w:tc>
              <w:tc>
                <w:tcPr>
                  <w:tcW w:w="966" w:type="pct"/>
                  <w:vAlign w:val="center"/>
                </w:tcPr>
                <w:p>
                  <w:pPr>
                    <w:pStyle w:val="47"/>
                  </w:pPr>
                  <w:r>
                    <w:t>个</w:t>
                  </w:r>
                </w:p>
              </w:tc>
              <w:tc>
                <w:tcPr>
                  <w:tcW w:w="951" w:type="pct"/>
                  <w:vAlign w:val="center"/>
                </w:tcPr>
                <w:p>
                  <w:pPr>
                    <w:pStyle w:val="47"/>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1" w:type="pct"/>
                  <w:vAlign w:val="center"/>
                </w:tcPr>
                <w:p>
                  <w:pPr>
                    <w:pStyle w:val="47"/>
                  </w:pPr>
                  <w:r>
                    <w:rPr>
                      <w:rFonts w:hint="eastAsia"/>
                    </w:rPr>
                    <w:t>22</w:t>
                  </w:r>
                </w:p>
              </w:tc>
              <w:tc>
                <w:tcPr>
                  <w:tcW w:w="2141" w:type="pct"/>
                  <w:vAlign w:val="center"/>
                </w:tcPr>
                <w:p>
                  <w:pPr>
                    <w:pStyle w:val="47"/>
                  </w:pPr>
                  <w:r>
                    <w:t>立式机械式插纸机</w:t>
                  </w:r>
                </w:p>
              </w:tc>
              <w:tc>
                <w:tcPr>
                  <w:tcW w:w="966" w:type="pct"/>
                  <w:vAlign w:val="center"/>
                </w:tcPr>
                <w:p>
                  <w:pPr>
                    <w:pStyle w:val="47"/>
                  </w:pPr>
                  <w:r>
                    <w:t>台</w:t>
                  </w:r>
                </w:p>
              </w:tc>
              <w:tc>
                <w:tcPr>
                  <w:tcW w:w="951" w:type="pct"/>
                  <w:vAlign w:val="center"/>
                </w:tcPr>
                <w:p>
                  <w:pPr>
                    <w:pStyle w:val="47"/>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1" w:type="pct"/>
                  <w:vAlign w:val="center"/>
                </w:tcPr>
                <w:p>
                  <w:pPr>
                    <w:pStyle w:val="47"/>
                  </w:pPr>
                  <w:r>
                    <w:rPr>
                      <w:rFonts w:hint="eastAsia"/>
                    </w:rPr>
                    <w:t>23</w:t>
                  </w:r>
                </w:p>
              </w:tc>
              <w:tc>
                <w:tcPr>
                  <w:tcW w:w="2141" w:type="pct"/>
                  <w:vAlign w:val="center"/>
                </w:tcPr>
                <w:p>
                  <w:pPr>
                    <w:pStyle w:val="47"/>
                  </w:pPr>
                  <w:r>
                    <w:t>新天投影仪</w:t>
                  </w:r>
                </w:p>
              </w:tc>
              <w:tc>
                <w:tcPr>
                  <w:tcW w:w="966" w:type="pct"/>
                  <w:vAlign w:val="center"/>
                </w:tcPr>
                <w:p>
                  <w:pPr>
                    <w:pStyle w:val="47"/>
                  </w:pPr>
                  <w:r>
                    <w:t>台</w:t>
                  </w:r>
                </w:p>
              </w:tc>
              <w:tc>
                <w:tcPr>
                  <w:tcW w:w="951" w:type="pct"/>
                  <w:vAlign w:val="center"/>
                </w:tcPr>
                <w:p>
                  <w:pPr>
                    <w:pStyle w:val="47"/>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1" w:type="pct"/>
                  <w:vAlign w:val="center"/>
                </w:tcPr>
                <w:p>
                  <w:pPr>
                    <w:pStyle w:val="47"/>
                  </w:pPr>
                  <w:r>
                    <w:rPr>
                      <w:rFonts w:hint="eastAsia"/>
                    </w:rPr>
                    <w:t>24</w:t>
                  </w:r>
                </w:p>
              </w:tc>
              <w:tc>
                <w:tcPr>
                  <w:tcW w:w="2141" w:type="pct"/>
                  <w:vAlign w:val="center"/>
                </w:tcPr>
                <w:p>
                  <w:pPr>
                    <w:pStyle w:val="47"/>
                  </w:pPr>
                  <w:r>
                    <w:t>三丰电子高度仪</w:t>
                  </w:r>
                </w:p>
              </w:tc>
              <w:tc>
                <w:tcPr>
                  <w:tcW w:w="966" w:type="pct"/>
                  <w:vAlign w:val="center"/>
                </w:tcPr>
                <w:p>
                  <w:pPr>
                    <w:pStyle w:val="47"/>
                  </w:pPr>
                  <w:r>
                    <w:t>台</w:t>
                  </w:r>
                </w:p>
              </w:tc>
              <w:tc>
                <w:tcPr>
                  <w:tcW w:w="951" w:type="pct"/>
                  <w:vAlign w:val="center"/>
                </w:tcPr>
                <w:p>
                  <w:pPr>
                    <w:pStyle w:val="47"/>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1" w:type="pct"/>
                  <w:vAlign w:val="center"/>
                </w:tcPr>
                <w:p>
                  <w:pPr>
                    <w:pStyle w:val="47"/>
                  </w:pPr>
                  <w:r>
                    <w:rPr>
                      <w:rFonts w:hint="eastAsia"/>
                    </w:rPr>
                    <w:t>25</w:t>
                  </w:r>
                </w:p>
              </w:tc>
              <w:tc>
                <w:tcPr>
                  <w:tcW w:w="2141" w:type="pct"/>
                  <w:vAlign w:val="center"/>
                </w:tcPr>
                <w:p>
                  <w:pPr>
                    <w:pStyle w:val="47"/>
                  </w:pPr>
                  <w:r>
                    <w:t>二次元（高度仪）</w:t>
                  </w:r>
                </w:p>
              </w:tc>
              <w:tc>
                <w:tcPr>
                  <w:tcW w:w="966" w:type="pct"/>
                  <w:vAlign w:val="center"/>
                </w:tcPr>
                <w:p>
                  <w:pPr>
                    <w:pStyle w:val="47"/>
                  </w:pPr>
                  <w:r>
                    <w:t>台</w:t>
                  </w:r>
                </w:p>
              </w:tc>
              <w:tc>
                <w:tcPr>
                  <w:tcW w:w="951" w:type="pct"/>
                  <w:vAlign w:val="center"/>
                </w:tcPr>
                <w:p>
                  <w:pPr>
                    <w:pStyle w:val="47"/>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1" w:type="pct"/>
                  <w:vAlign w:val="center"/>
                </w:tcPr>
                <w:p>
                  <w:pPr>
                    <w:pStyle w:val="47"/>
                  </w:pPr>
                  <w:r>
                    <w:rPr>
                      <w:rFonts w:hint="eastAsia"/>
                    </w:rPr>
                    <w:t>26</w:t>
                  </w:r>
                </w:p>
              </w:tc>
              <w:tc>
                <w:tcPr>
                  <w:tcW w:w="2141" w:type="pct"/>
                  <w:vAlign w:val="center"/>
                </w:tcPr>
                <w:p>
                  <w:pPr>
                    <w:pStyle w:val="47"/>
                  </w:pPr>
                  <w:r>
                    <w:t>表面洛式硬度计</w:t>
                  </w:r>
                </w:p>
              </w:tc>
              <w:tc>
                <w:tcPr>
                  <w:tcW w:w="966" w:type="pct"/>
                  <w:vAlign w:val="center"/>
                </w:tcPr>
                <w:p>
                  <w:pPr>
                    <w:pStyle w:val="47"/>
                  </w:pPr>
                  <w:r>
                    <w:t>台</w:t>
                  </w:r>
                </w:p>
              </w:tc>
              <w:tc>
                <w:tcPr>
                  <w:tcW w:w="951" w:type="pct"/>
                  <w:vAlign w:val="center"/>
                </w:tcPr>
                <w:p>
                  <w:pPr>
                    <w:pStyle w:val="47"/>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1" w:type="pct"/>
                  <w:vAlign w:val="center"/>
                </w:tcPr>
                <w:p>
                  <w:pPr>
                    <w:pStyle w:val="47"/>
                  </w:pPr>
                  <w:r>
                    <w:rPr>
                      <w:rFonts w:hint="eastAsia"/>
                    </w:rPr>
                    <w:t>27</w:t>
                  </w:r>
                </w:p>
              </w:tc>
              <w:tc>
                <w:tcPr>
                  <w:tcW w:w="2141" w:type="pct"/>
                  <w:vAlign w:val="center"/>
                </w:tcPr>
                <w:p>
                  <w:pPr>
                    <w:pStyle w:val="47"/>
                  </w:pPr>
                  <w:r>
                    <w:t>工装及模具</w:t>
                  </w:r>
                </w:p>
              </w:tc>
              <w:tc>
                <w:tcPr>
                  <w:tcW w:w="966" w:type="pct"/>
                  <w:vAlign w:val="center"/>
                </w:tcPr>
                <w:p>
                  <w:pPr>
                    <w:pStyle w:val="47"/>
                  </w:pPr>
                  <w:r>
                    <w:t>套</w:t>
                  </w:r>
                </w:p>
              </w:tc>
              <w:tc>
                <w:tcPr>
                  <w:tcW w:w="951" w:type="pct"/>
                  <w:vAlign w:val="center"/>
                </w:tcPr>
                <w:p>
                  <w:pPr>
                    <w:pStyle w:val="47"/>
                  </w:pPr>
                  <w: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1" w:type="pct"/>
                  <w:vAlign w:val="center"/>
                </w:tcPr>
                <w:p>
                  <w:pPr>
                    <w:pStyle w:val="47"/>
                  </w:pPr>
                  <w:r>
                    <w:rPr>
                      <w:rFonts w:hint="eastAsia"/>
                    </w:rPr>
                    <w:t>28</w:t>
                  </w:r>
                </w:p>
              </w:tc>
              <w:tc>
                <w:tcPr>
                  <w:tcW w:w="2141" w:type="pct"/>
                  <w:vAlign w:val="center"/>
                </w:tcPr>
                <w:p>
                  <w:pPr>
                    <w:pStyle w:val="47"/>
                  </w:pPr>
                  <w:r>
                    <w:t>刀具及量具</w:t>
                  </w:r>
                </w:p>
              </w:tc>
              <w:tc>
                <w:tcPr>
                  <w:tcW w:w="966" w:type="pct"/>
                  <w:vAlign w:val="center"/>
                </w:tcPr>
                <w:p>
                  <w:pPr>
                    <w:pStyle w:val="47"/>
                  </w:pPr>
                  <w:r>
                    <w:t>套</w:t>
                  </w:r>
                </w:p>
              </w:tc>
              <w:tc>
                <w:tcPr>
                  <w:tcW w:w="951" w:type="pct"/>
                  <w:vAlign w:val="center"/>
                </w:tcPr>
                <w:p>
                  <w:pPr>
                    <w:pStyle w:val="47"/>
                  </w:pPr>
                  <w:r>
                    <w:t>50</w:t>
                  </w:r>
                </w:p>
              </w:tc>
            </w:tr>
          </w:tbl>
          <w:p>
            <w:pPr>
              <w:pStyle w:val="6"/>
              <w:spacing w:before="120" w:beforeLines="50"/>
              <w:rPr>
                <w:kern w:val="2"/>
              </w:rPr>
            </w:pPr>
            <w:bookmarkStart w:id="39" w:name="_Toc29380582"/>
            <w:bookmarkStart w:id="40" w:name="_Toc29388533"/>
            <w:r>
              <w:rPr>
                <w:kern w:val="2"/>
              </w:rPr>
              <w:t>1.2.3主要原辅材料及能源消耗</w:t>
            </w:r>
            <w:bookmarkEnd w:id="39"/>
            <w:bookmarkEnd w:id="40"/>
          </w:p>
          <w:p>
            <w:pPr>
              <w:ind w:firstLine="480"/>
            </w:pPr>
            <w:r>
              <w:t>企业原辅材料及能源消耗量见表1-5。</w:t>
            </w:r>
          </w:p>
          <w:p>
            <w:pPr>
              <w:pStyle w:val="46"/>
            </w:pPr>
            <w:r>
              <w:t>表1-5 主要原辅材料及能源年耗量</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5"/>
              <w:gridCol w:w="2592"/>
              <w:gridCol w:w="2150"/>
              <w:gridCol w:w="2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1" w:type="pct"/>
                  <w:tcBorders>
                    <w:top w:val="single" w:color="auto" w:sz="4" w:space="0"/>
                    <w:left w:val="single" w:color="auto" w:sz="4" w:space="0"/>
                    <w:bottom w:val="single" w:color="auto" w:sz="4" w:space="0"/>
                    <w:right w:val="single" w:color="auto" w:sz="4" w:space="0"/>
                  </w:tcBorders>
                  <w:vAlign w:val="center"/>
                </w:tcPr>
                <w:p>
                  <w:pPr>
                    <w:pStyle w:val="46"/>
                  </w:pPr>
                  <w:r>
                    <w:t>序号</w:t>
                  </w:r>
                </w:p>
              </w:tc>
              <w:tc>
                <w:tcPr>
                  <w:tcW w:w="1486" w:type="pct"/>
                  <w:tcBorders>
                    <w:top w:val="single" w:color="auto" w:sz="4" w:space="0"/>
                    <w:left w:val="single" w:color="auto" w:sz="4" w:space="0"/>
                    <w:bottom w:val="single" w:color="auto" w:sz="4" w:space="0"/>
                    <w:right w:val="single" w:color="auto" w:sz="4" w:space="0"/>
                  </w:tcBorders>
                  <w:vAlign w:val="center"/>
                </w:tcPr>
                <w:p>
                  <w:pPr>
                    <w:pStyle w:val="46"/>
                  </w:pPr>
                  <w:r>
                    <w:t>原辅材料名称</w:t>
                  </w:r>
                </w:p>
              </w:tc>
              <w:tc>
                <w:tcPr>
                  <w:tcW w:w="1233" w:type="pct"/>
                  <w:tcBorders>
                    <w:top w:val="single" w:color="auto" w:sz="4" w:space="0"/>
                    <w:left w:val="single" w:color="auto" w:sz="4" w:space="0"/>
                    <w:bottom w:val="single" w:color="auto" w:sz="4" w:space="0"/>
                    <w:right w:val="single" w:color="auto" w:sz="4" w:space="0"/>
                  </w:tcBorders>
                  <w:vAlign w:val="center"/>
                </w:tcPr>
                <w:p>
                  <w:pPr>
                    <w:pStyle w:val="46"/>
                  </w:pPr>
                  <w:r>
                    <w:t>单位</w:t>
                  </w:r>
                </w:p>
              </w:tc>
              <w:tc>
                <w:tcPr>
                  <w:tcW w:w="1628" w:type="pct"/>
                  <w:tcBorders>
                    <w:top w:val="single" w:color="auto" w:sz="4" w:space="0"/>
                    <w:left w:val="single" w:color="auto" w:sz="4" w:space="0"/>
                    <w:bottom w:val="single" w:color="auto" w:sz="4" w:space="0"/>
                    <w:right w:val="single" w:color="auto" w:sz="4" w:space="0"/>
                  </w:tcBorders>
                  <w:vAlign w:val="center"/>
                </w:tcPr>
                <w:p>
                  <w:pPr>
                    <w:pStyle w:val="46"/>
                  </w:pPr>
                  <w:r>
                    <w:t>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w:t>
                  </w:r>
                </w:p>
              </w:tc>
              <w:tc>
                <w:tcPr>
                  <w:tcW w:w="1486"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钢材</w:t>
                  </w:r>
                </w:p>
              </w:tc>
              <w:tc>
                <w:tcPr>
                  <w:tcW w:w="123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t/a</w:t>
                  </w:r>
                </w:p>
              </w:tc>
              <w:tc>
                <w:tcPr>
                  <w:tcW w:w="1628"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2</w:t>
                  </w:r>
                </w:p>
              </w:tc>
              <w:tc>
                <w:tcPr>
                  <w:tcW w:w="1486"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铝材</w:t>
                  </w:r>
                </w:p>
              </w:tc>
              <w:tc>
                <w:tcPr>
                  <w:tcW w:w="123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t/a</w:t>
                  </w:r>
                </w:p>
              </w:tc>
              <w:tc>
                <w:tcPr>
                  <w:tcW w:w="1628"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3</w:t>
                  </w:r>
                </w:p>
              </w:tc>
              <w:tc>
                <w:tcPr>
                  <w:tcW w:w="1486"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电机毛坯</w:t>
                  </w:r>
                </w:p>
              </w:tc>
              <w:tc>
                <w:tcPr>
                  <w:tcW w:w="123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件/a</w:t>
                  </w:r>
                </w:p>
              </w:tc>
              <w:tc>
                <w:tcPr>
                  <w:tcW w:w="1628"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4</w:t>
                  </w:r>
                </w:p>
              </w:tc>
              <w:tc>
                <w:tcPr>
                  <w:tcW w:w="1486"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风机壳体</w:t>
                  </w:r>
                </w:p>
              </w:tc>
              <w:tc>
                <w:tcPr>
                  <w:tcW w:w="123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件/a</w:t>
                  </w:r>
                </w:p>
              </w:tc>
              <w:tc>
                <w:tcPr>
                  <w:tcW w:w="1628"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5</w:t>
                  </w:r>
                </w:p>
              </w:tc>
              <w:tc>
                <w:tcPr>
                  <w:tcW w:w="1486"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轴承</w:t>
                  </w:r>
                </w:p>
              </w:tc>
              <w:tc>
                <w:tcPr>
                  <w:tcW w:w="123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台/a</w:t>
                  </w:r>
                </w:p>
              </w:tc>
              <w:tc>
                <w:tcPr>
                  <w:tcW w:w="1628"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6</w:t>
                  </w:r>
                </w:p>
              </w:tc>
              <w:tc>
                <w:tcPr>
                  <w:tcW w:w="1486"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定子组件</w:t>
                  </w:r>
                </w:p>
              </w:tc>
              <w:tc>
                <w:tcPr>
                  <w:tcW w:w="123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套/a</w:t>
                  </w:r>
                </w:p>
              </w:tc>
              <w:tc>
                <w:tcPr>
                  <w:tcW w:w="1628"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7</w:t>
                  </w:r>
                </w:p>
              </w:tc>
              <w:tc>
                <w:tcPr>
                  <w:tcW w:w="1486"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转子组件</w:t>
                  </w:r>
                </w:p>
              </w:tc>
              <w:tc>
                <w:tcPr>
                  <w:tcW w:w="123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套/a</w:t>
                  </w:r>
                </w:p>
              </w:tc>
              <w:tc>
                <w:tcPr>
                  <w:tcW w:w="1628"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8</w:t>
                  </w:r>
                </w:p>
              </w:tc>
              <w:tc>
                <w:tcPr>
                  <w:tcW w:w="1486"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电路</w:t>
                  </w:r>
                  <w:r>
                    <w:rPr>
                      <w:rStyle w:val="42"/>
                      <w:rFonts w:hint="eastAsia"/>
                    </w:rPr>
                    <w:t>板</w:t>
                  </w:r>
                </w:p>
              </w:tc>
              <w:tc>
                <w:tcPr>
                  <w:tcW w:w="123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套/a</w:t>
                  </w:r>
                </w:p>
              </w:tc>
              <w:tc>
                <w:tcPr>
                  <w:tcW w:w="1628"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9</w:t>
                  </w:r>
                </w:p>
              </w:tc>
              <w:tc>
                <w:tcPr>
                  <w:tcW w:w="1486"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其他零部件</w:t>
                  </w:r>
                </w:p>
              </w:tc>
              <w:tc>
                <w:tcPr>
                  <w:tcW w:w="123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套/a</w:t>
                  </w:r>
                </w:p>
              </w:tc>
              <w:tc>
                <w:tcPr>
                  <w:tcW w:w="1628"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10</w:t>
                  </w:r>
                </w:p>
              </w:tc>
              <w:tc>
                <w:tcPr>
                  <w:tcW w:w="1486"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乳化液</w:t>
                  </w:r>
                </w:p>
              </w:tc>
              <w:tc>
                <w:tcPr>
                  <w:tcW w:w="123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t/a</w:t>
                  </w:r>
                </w:p>
              </w:tc>
              <w:tc>
                <w:tcPr>
                  <w:tcW w:w="1628"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11</w:t>
                  </w:r>
                </w:p>
              </w:tc>
              <w:tc>
                <w:tcPr>
                  <w:tcW w:w="1486"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绝缘漆</w:t>
                  </w:r>
                </w:p>
              </w:tc>
              <w:tc>
                <w:tcPr>
                  <w:tcW w:w="123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t/a</w:t>
                  </w:r>
                </w:p>
              </w:tc>
              <w:tc>
                <w:tcPr>
                  <w:tcW w:w="1628"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12</w:t>
                  </w:r>
                </w:p>
              </w:tc>
              <w:tc>
                <w:tcPr>
                  <w:tcW w:w="1486"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焊丝</w:t>
                  </w:r>
                </w:p>
              </w:tc>
              <w:tc>
                <w:tcPr>
                  <w:tcW w:w="123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t/a</w:t>
                  </w:r>
                </w:p>
              </w:tc>
              <w:tc>
                <w:tcPr>
                  <w:tcW w:w="1628"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1" w:type="pct"/>
                  <w:tcBorders>
                    <w:top w:val="single" w:color="auto" w:sz="4" w:space="0"/>
                    <w:left w:val="single" w:color="auto" w:sz="4" w:space="0"/>
                    <w:bottom w:val="single" w:color="auto" w:sz="4" w:space="0"/>
                    <w:right w:val="single" w:color="auto" w:sz="4" w:space="0"/>
                  </w:tcBorders>
                  <w:vAlign w:val="center"/>
                </w:tcPr>
                <w:p>
                  <w:pPr>
                    <w:pStyle w:val="47"/>
                    <w:rPr>
                      <w:szCs w:val="22"/>
                    </w:rPr>
                  </w:pPr>
                  <w:r>
                    <w:rPr>
                      <w:rFonts w:hint="eastAsia"/>
                      <w:szCs w:val="22"/>
                    </w:rPr>
                    <w:t>13</w:t>
                  </w:r>
                </w:p>
              </w:tc>
              <w:tc>
                <w:tcPr>
                  <w:tcW w:w="1486"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氩气</w:t>
                  </w:r>
                </w:p>
              </w:tc>
              <w:tc>
                <w:tcPr>
                  <w:tcW w:w="123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t/a</w:t>
                  </w:r>
                </w:p>
              </w:tc>
              <w:tc>
                <w:tcPr>
                  <w:tcW w:w="1628"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1" w:type="pct"/>
                  <w:tcBorders>
                    <w:top w:val="single" w:color="auto" w:sz="4" w:space="0"/>
                    <w:left w:val="single" w:color="auto" w:sz="4" w:space="0"/>
                    <w:bottom w:val="single" w:color="auto" w:sz="4" w:space="0"/>
                    <w:right w:val="single" w:color="auto" w:sz="4" w:space="0"/>
                  </w:tcBorders>
                  <w:vAlign w:val="center"/>
                </w:tcPr>
                <w:p>
                  <w:pPr>
                    <w:pStyle w:val="47"/>
                    <w:rPr>
                      <w:szCs w:val="22"/>
                    </w:rPr>
                  </w:pPr>
                  <w:r>
                    <w:rPr>
                      <w:rFonts w:hint="eastAsia"/>
                      <w:szCs w:val="22"/>
                    </w:rPr>
                    <w:t>14</w:t>
                  </w:r>
                </w:p>
              </w:tc>
              <w:tc>
                <w:tcPr>
                  <w:tcW w:w="1486"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二氧化碳</w:t>
                  </w:r>
                </w:p>
              </w:tc>
              <w:tc>
                <w:tcPr>
                  <w:tcW w:w="123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t/a</w:t>
                  </w:r>
                </w:p>
              </w:tc>
              <w:tc>
                <w:tcPr>
                  <w:tcW w:w="1628"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1" w:type="pct"/>
                  <w:tcBorders>
                    <w:top w:val="single" w:color="auto" w:sz="4" w:space="0"/>
                    <w:left w:val="single" w:color="auto" w:sz="4" w:space="0"/>
                    <w:bottom w:val="single" w:color="auto" w:sz="4" w:space="0"/>
                    <w:right w:val="single" w:color="auto" w:sz="4" w:space="0"/>
                  </w:tcBorders>
                  <w:vAlign w:val="center"/>
                </w:tcPr>
                <w:p>
                  <w:pPr>
                    <w:pStyle w:val="47"/>
                    <w:rPr>
                      <w:szCs w:val="22"/>
                    </w:rPr>
                  </w:pPr>
                  <w:r>
                    <w:rPr>
                      <w:rFonts w:hint="eastAsia"/>
                      <w:szCs w:val="22"/>
                    </w:rPr>
                    <w:t>15</w:t>
                  </w:r>
                </w:p>
              </w:tc>
              <w:tc>
                <w:tcPr>
                  <w:tcW w:w="1486"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机油</w:t>
                  </w:r>
                </w:p>
              </w:tc>
              <w:tc>
                <w:tcPr>
                  <w:tcW w:w="1233" w:type="pct"/>
                  <w:tcBorders>
                    <w:top w:val="single" w:color="auto" w:sz="4" w:space="0"/>
                    <w:left w:val="single" w:color="auto" w:sz="4" w:space="0"/>
                    <w:bottom w:val="single" w:color="auto" w:sz="4" w:space="0"/>
                    <w:right w:val="single" w:color="auto" w:sz="4" w:space="0"/>
                  </w:tcBorders>
                  <w:vAlign w:val="center"/>
                </w:tcPr>
                <w:p>
                  <w:pPr>
                    <w:pStyle w:val="47"/>
                  </w:pPr>
                  <w:r>
                    <w:t>t/a</w:t>
                  </w:r>
                </w:p>
              </w:tc>
              <w:tc>
                <w:tcPr>
                  <w:tcW w:w="1628"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1" w:type="pct"/>
                  <w:tcBorders>
                    <w:top w:val="single" w:color="auto" w:sz="4" w:space="0"/>
                    <w:left w:val="single" w:color="auto" w:sz="4" w:space="0"/>
                    <w:bottom w:val="single" w:color="auto" w:sz="4" w:space="0"/>
                    <w:right w:val="single" w:color="auto" w:sz="4" w:space="0"/>
                  </w:tcBorders>
                  <w:vAlign w:val="center"/>
                </w:tcPr>
                <w:p>
                  <w:pPr>
                    <w:pStyle w:val="47"/>
                    <w:rPr>
                      <w:szCs w:val="22"/>
                    </w:rPr>
                  </w:pPr>
                  <w:r>
                    <w:rPr>
                      <w:rFonts w:hint="eastAsia"/>
                      <w:szCs w:val="22"/>
                    </w:rPr>
                    <w:t>16</w:t>
                  </w:r>
                </w:p>
              </w:tc>
              <w:tc>
                <w:tcPr>
                  <w:tcW w:w="1486"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液压油</w:t>
                  </w:r>
                </w:p>
              </w:tc>
              <w:tc>
                <w:tcPr>
                  <w:tcW w:w="1233" w:type="pct"/>
                  <w:tcBorders>
                    <w:top w:val="single" w:color="auto" w:sz="4" w:space="0"/>
                    <w:left w:val="single" w:color="auto" w:sz="4" w:space="0"/>
                    <w:bottom w:val="single" w:color="auto" w:sz="4" w:space="0"/>
                    <w:right w:val="single" w:color="auto" w:sz="4" w:space="0"/>
                  </w:tcBorders>
                  <w:vAlign w:val="center"/>
                </w:tcPr>
                <w:p>
                  <w:pPr>
                    <w:pStyle w:val="47"/>
                  </w:pPr>
                  <w:r>
                    <w:t>t/a</w:t>
                  </w:r>
                </w:p>
              </w:tc>
              <w:tc>
                <w:tcPr>
                  <w:tcW w:w="1628"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1" w:type="pct"/>
                  <w:tcBorders>
                    <w:top w:val="single" w:color="auto" w:sz="4" w:space="0"/>
                    <w:left w:val="single" w:color="auto" w:sz="4" w:space="0"/>
                    <w:bottom w:val="single" w:color="auto" w:sz="4" w:space="0"/>
                    <w:right w:val="single" w:color="auto" w:sz="4" w:space="0"/>
                  </w:tcBorders>
                  <w:vAlign w:val="center"/>
                </w:tcPr>
                <w:p>
                  <w:pPr>
                    <w:pStyle w:val="47"/>
                    <w:rPr>
                      <w:szCs w:val="22"/>
                    </w:rPr>
                  </w:pPr>
                  <w:r>
                    <w:rPr>
                      <w:rFonts w:hint="eastAsia"/>
                      <w:szCs w:val="22"/>
                    </w:rPr>
                    <w:t>17</w:t>
                  </w:r>
                </w:p>
              </w:tc>
              <w:tc>
                <w:tcPr>
                  <w:tcW w:w="1486" w:type="pct"/>
                  <w:tcBorders>
                    <w:top w:val="single" w:color="auto" w:sz="4" w:space="0"/>
                    <w:left w:val="single" w:color="auto" w:sz="4" w:space="0"/>
                    <w:bottom w:val="single" w:color="auto" w:sz="4" w:space="0"/>
                    <w:right w:val="single" w:color="auto" w:sz="4" w:space="0"/>
                  </w:tcBorders>
                  <w:vAlign w:val="center"/>
                </w:tcPr>
                <w:p>
                  <w:pPr>
                    <w:pStyle w:val="47"/>
                  </w:pPr>
                  <w:r>
                    <w:t>水</w:t>
                  </w:r>
                </w:p>
              </w:tc>
              <w:tc>
                <w:tcPr>
                  <w:tcW w:w="1233" w:type="pct"/>
                  <w:tcBorders>
                    <w:top w:val="single" w:color="auto" w:sz="4" w:space="0"/>
                    <w:left w:val="single" w:color="auto" w:sz="4" w:space="0"/>
                    <w:bottom w:val="single" w:color="auto" w:sz="4" w:space="0"/>
                    <w:right w:val="single" w:color="auto" w:sz="4" w:space="0"/>
                  </w:tcBorders>
                  <w:vAlign w:val="center"/>
                </w:tcPr>
                <w:p>
                  <w:pPr>
                    <w:pStyle w:val="47"/>
                  </w:pPr>
                  <w:r>
                    <w:t>t/a</w:t>
                  </w:r>
                </w:p>
              </w:tc>
              <w:tc>
                <w:tcPr>
                  <w:tcW w:w="1628"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18</w:t>
                  </w:r>
                </w:p>
              </w:tc>
              <w:tc>
                <w:tcPr>
                  <w:tcW w:w="1486" w:type="pct"/>
                  <w:tcBorders>
                    <w:top w:val="single" w:color="auto" w:sz="4" w:space="0"/>
                    <w:left w:val="single" w:color="auto" w:sz="4" w:space="0"/>
                    <w:bottom w:val="single" w:color="auto" w:sz="4" w:space="0"/>
                    <w:right w:val="single" w:color="auto" w:sz="4" w:space="0"/>
                  </w:tcBorders>
                  <w:vAlign w:val="center"/>
                </w:tcPr>
                <w:p>
                  <w:pPr>
                    <w:pStyle w:val="47"/>
                  </w:pPr>
                  <w:r>
                    <w:t>电</w:t>
                  </w:r>
                </w:p>
              </w:tc>
              <w:tc>
                <w:tcPr>
                  <w:tcW w:w="123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万</w:t>
                  </w:r>
                  <w:r>
                    <w:t>kWh/a</w:t>
                  </w:r>
                </w:p>
              </w:tc>
              <w:tc>
                <w:tcPr>
                  <w:tcW w:w="1628"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18.6</w:t>
                  </w:r>
                </w:p>
              </w:tc>
            </w:tr>
          </w:tbl>
          <w:p>
            <w:pPr>
              <w:ind w:firstLine="480"/>
              <w:rPr>
                <w:szCs w:val="22"/>
              </w:rPr>
            </w:pPr>
            <w:bookmarkStart w:id="41" w:name="_Toc29388534"/>
            <w:bookmarkStart w:id="42" w:name="_Toc29380583"/>
            <w:r>
              <w:rPr>
                <w:rFonts w:hint="eastAsia"/>
                <w:szCs w:val="22"/>
              </w:rPr>
              <w:t>本项目主要原辅材料简介如下表：</w:t>
            </w:r>
          </w:p>
          <w:p>
            <w:pPr>
              <w:pStyle w:val="46"/>
            </w:pPr>
            <w:r>
              <w:t>表1-</w:t>
            </w:r>
            <w:r>
              <w:rPr>
                <w:rFonts w:hint="eastAsia"/>
              </w:rPr>
              <w:t>6  本项目主要原辅材料简介</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8"/>
              <w:gridCol w:w="7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8" w:type="dxa"/>
                  <w:vAlign w:val="center"/>
                </w:tcPr>
                <w:p>
                  <w:pPr>
                    <w:pStyle w:val="46"/>
                  </w:pPr>
                  <w:r>
                    <w:rPr>
                      <w:rFonts w:hint="eastAsia"/>
                    </w:rPr>
                    <w:t>原辅材料名称</w:t>
                  </w:r>
                </w:p>
              </w:tc>
              <w:tc>
                <w:tcPr>
                  <w:tcW w:w="7142" w:type="dxa"/>
                  <w:vAlign w:val="center"/>
                </w:tcPr>
                <w:p>
                  <w:pPr>
                    <w:pStyle w:val="46"/>
                  </w:pPr>
                  <w:r>
                    <w:rPr>
                      <w:rFonts w:hint="eastAsia"/>
                    </w:rPr>
                    <w:t>主要成分和理化性质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8" w:type="dxa"/>
                  <w:vAlign w:val="center"/>
                </w:tcPr>
                <w:p>
                  <w:pPr>
                    <w:pStyle w:val="47"/>
                    <w:rPr>
                      <w:szCs w:val="21"/>
                    </w:rPr>
                  </w:pPr>
                  <w:r>
                    <w:rPr>
                      <w:rFonts w:hint="eastAsia"/>
                      <w:szCs w:val="21"/>
                    </w:rPr>
                    <w:t>绝缘漆</w:t>
                  </w:r>
                </w:p>
              </w:tc>
              <w:tc>
                <w:tcPr>
                  <w:tcW w:w="7142" w:type="dxa"/>
                  <w:vAlign w:val="center"/>
                </w:tcPr>
                <w:p>
                  <w:pPr>
                    <w:pStyle w:val="47"/>
                    <w:jc w:val="left"/>
                    <w:rPr>
                      <w:szCs w:val="21"/>
                    </w:rPr>
                  </w:pPr>
                  <w:r>
                    <w:rPr>
                      <w:rFonts w:hint="eastAsia"/>
                      <w:szCs w:val="21"/>
                    </w:rPr>
                    <w:t>绝缘漆是一种具有优良绝缘性的涂料，其具有良好的电化性能、热性能、机械性能和化学性能。绝缘漆是以高分子聚合物为基础，能在一定的条件下固化成绝缘膜或绝缘整体的重要绝缘材料，主要用于变压器、镇流器、各类型线圈、充电器、电机、风机等电器产品作浸渍绝缘漆。</w:t>
                  </w:r>
                </w:p>
                <w:p>
                  <w:pPr>
                    <w:pStyle w:val="47"/>
                    <w:jc w:val="left"/>
                    <w:rPr>
                      <w:szCs w:val="21"/>
                    </w:rPr>
                  </w:pPr>
                  <w:r>
                    <w:rPr>
                      <w:rFonts w:hint="eastAsia"/>
                      <w:szCs w:val="21"/>
                    </w:rPr>
                    <w:t>根据企业提供的原料化学品安全技术说明书，本项目使用的绝缘漆为环保型绝缘漆，不含苯系物，其主要成分为聚酯树脂55~65%、氨基树脂20~30%、醋酸乙酯5~10%、醋酸丁酯5~10%、助剂1~3%。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20" w:type="dxa"/>
                  <w:gridSpan w:val="2"/>
                  <w:vAlign w:val="center"/>
                </w:tcPr>
                <w:p>
                  <w:pPr>
                    <w:pStyle w:val="49"/>
                    <w:jc w:val="left"/>
                    <w:rPr>
                      <w:sz w:val="21"/>
                      <w:szCs w:val="21"/>
                    </w:rPr>
                  </w:pPr>
                  <w:r>
                    <w:rPr>
                      <w:rFonts w:hint="eastAsia"/>
                      <w:sz w:val="21"/>
                      <w:szCs w:val="21"/>
                    </w:rPr>
                    <w:t>备注：对照《危险化学品目录（2018年版）》，本项目使用的原辅料及其成分中不涉及危险化学品。</w:t>
                  </w:r>
                </w:p>
              </w:tc>
            </w:tr>
          </w:tbl>
          <w:p>
            <w:pPr>
              <w:pStyle w:val="6"/>
              <w:rPr>
                <w:kern w:val="2"/>
              </w:rPr>
            </w:pPr>
            <w:r>
              <w:rPr>
                <w:kern w:val="2"/>
              </w:rPr>
              <w:t>1.2.4劳动定员及生产班制</w:t>
            </w:r>
            <w:bookmarkEnd w:id="41"/>
            <w:bookmarkEnd w:id="42"/>
          </w:p>
          <w:p>
            <w:pPr>
              <w:ind w:firstLine="480"/>
            </w:pPr>
            <w:r>
              <w:t>本项目劳动定员30人，实行单班制生产，每班工作时间8小时，年工作300天，</w:t>
            </w:r>
            <w:r>
              <w:rPr>
                <w:szCs w:val="22"/>
              </w:rPr>
              <w:t>企业不设食堂、宿舍</w:t>
            </w:r>
            <w:r>
              <w:t>。</w:t>
            </w:r>
          </w:p>
          <w:p>
            <w:pPr>
              <w:pStyle w:val="5"/>
              <w:rPr>
                <w:kern w:val="2"/>
              </w:rPr>
            </w:pPr>
            <w:bookmarkStart w:id="43" w:name="_Toc29388536"/>
            <w:bookmarkStart w:id="44" w:name="_Toc29380585"/>
            <w:r>
              <w:rPr>
                <w:kern w:val="2"/>
              </w:rPr>
              <w:t>1.3与本项目有关的原有污染情况及主要环境问题：</w:t>
            </w:r>
            <w:bookmarkEnd w:id="43"/>
            <w:bookmarkEnd w:id="44"/>
          </w:p>
          <w:p>
            <w:pPr>
              <w:pStyle w:val="9"/>
              <w:adjustRightInd w:val="0"/>
              <w:snapToGrid w:val="0"/>
              <w:spacing w:line="355" w:lineRule="auto"/>
              <w:ind w:firstLine="0"/>
              <w:rPr>
                <w:b/>
                <w:bCs/>
                <w:sz w:val="24"/>
                <w:szCs w:val="24"/>
              </w:rPr>
            </w:pPr>
            <w:bookmarkStart w:id="45" w:name="_Toc50443708"/>
            <w:bookmarkStart w:id="46" w:name="_Toc29388537"/>
            <w:bookmarkStart w:id="47" w:name="_Toc50452721"/>
            <w:bookmarkStart w:id="48" w:name="_Toc29380586"/>
            <w:bookmarkStart w:id="49" w:name="_Toc50451601"/>
            <w:bookmarkStart w:id="50" w:name="_Toc50517345"/>
            <w:bookmarkStart w:id="51" w:name="_Toc50438963"/>
            <w:bookmarkStart w:id="52" w:name="_Toc50439605"/>
            <w:bookmarkStart w:id="53" w:name="_Toc50438803"/>
            <w:bookmarkStart w:id="54" w:name="_Toc50451602"/>
            <w:bookmarkStart w:id="55" w:name="_Toc50438964"/>
            <w:bookmarkStart w:id="56" w:name="_Toc50439606"/>
            <w:bookmarkStart w:id="57" w:name="_Toc50443709"/>
            <w:bookmarkStart w:id="58" w:name="_Toc50438804"/>
            <w:bookmarkStart w:id="59" w:name="_Toc50517346"/>
            <w:bookmarkStart w:id="60" w:name="_Toc50452722"/>
            <w:r>
              <w:rPr>
                <w:b/>
                <w:bCs/>
                <w:sz w:val="24"/>
                <w:szCs w:val="24"/>
              </w:rPr>
              <w:t>1.3.1</w:t>
            </w:r>
            <w:bookmarkEnd w:id="45"/>
            <w:bookmarkEnd w:id="46"/>
            <w:bookmarkEnd w:id="47"/>
            <w:bookmarkEnd w:id="48"/>
            <w:bookmarkEnd w:id="49"/>
            <w:bookmarkEnd w:id="50"/>
            <w:bookmarkEnd w:id="51"/>
            <w:bookmarkEnd w:id="52"/>
            <w:bookmarkEnd w:id="53"/>
            <w:bookmarkStart w:id="61" w:name="_Hlk42587875"/>
            <w:r>
              <w:rPr>
                <w:b/>
                <w:bCs/>
                <w:sz w:val="24"/>
                <w:szCs w:val="24"/>
              </w:rPr>
              <w:t>现有污染源调查</w:t>
            </w:r>
          </w:p>
          <w:p>
            <w:pPr>
              <w:ind w:firstLine="480"/>
              <w:rPr>
                <w:szCs w:val="22"/>
              </w:rPr>
            </w:pPr>
            <w:r>
              <w:rPr>
                <w:rFonts w:hint="eastAsia"/>
                <w:szCs w:val="22"/>
              </w:rPr>
              <w:t>根据调查，</w:t>
            </w:r>
            <w:r>
              <w:rPr>
                <w:szCs w:val="22"/>
              </w:rPr>
              <w:t>本项目为新建项目，</w:t>
            </w:r>
            <w:r>
              <w:rPr>
                <w:rFonts w:hint="eastAsia"/>
                <w:szCs w:val="22"/>
              </w:rPr>
              <w:t>计划购置</w:t>
            </w:r>
            <w:r>
              <w:rPr>
                <w:szCs w:val="22"/>
              </w:rPr>
              <w:t>中节能（桐乡）环保科技有限公司位于</w:t>
            </w:r>
            <w:r>
              <w:rPr>
                <w:rFonts w:hint="eastAsia"/>
                <w:szCs w:val="22"/>
              </w:rPr>
              <w:t>桐乡市崇福镇杭福路1336号20幢1号</w:t>
            </w:r>
            <w:r>
              <w:rPr>
                <w:szCs w:val="22"/>
              </w:rPr>
              <w:t>工业厂房</w:t>
            </w:r>
            <w:r>
              <w:rPr>
                <w:rFonts w:hint="eastAsia"/>
                <w:szCs w:val="22"/>
              </w:rPr>
              <w:t>进行精密配件、后倾离心风机的生产</w:t>
            </w:r>
            <w:r>
              <w:rPr>
                <w:szCs w:val="22"/>
              </w:rPr>
              <w:t>。经实地勘察，</w:t>
            </w:r>
            <w:r>
              <w:rPr>
                <w:rFonts w:hint="eastAsia"/>
                <w:szCs w:val="22"/>
              </w:rPr>
              <w:t>本项目</w:t>
            </w:r>
            <w:r>
              <w:rPr>
                <w:szCs w:val="22"/>
              </w:rPr>
              <w:t>厂房</w:t>
            </w:r>
            <w:r>
              <w:rPr>
                <w:rFonts w:hint="eastAsia"/>
                <w:szCs w:val="22"/>
              </w:rPr>
              <w:t>自建成后始终为闲置状态，用地性质为工业用地，无历史遗留污染问题</w:t>
            </w:r>
            <w:r>
              <w:rPr>
                <w:szCs w:val="22"/>
              </w:rPr>
              <w:t>，因此基本不存在</w:t>
            </w:r>
            <w:r>
              <w:rPr>
                <w:rFonts w:hint="eastAsia"/>
                <w:szCs w:val="22"/>
              </w:rPr>
              <w:t>与本项目有关的原有污染问题。</w:t>
            </w:r>
          </w:p>
          <w:p>
            <w:pPr>
              <w:pStyle w:val="9"/>
              <w:adjustRightInd w:val="0"/>
              <w:snapToGrid w:val="0"/>
              <w:spacing w:line="355" w:lineRule="auto"/>
              <w:ind w:firstLine="0"/>
              <w:rPr>
                <w:b/>
                <w:bCs/>
                <w:sz w:val="24"/>
                <w:szCs w:val="24"/>
              </w:rPr>
            </w:pPr>
            <w:r>
              <w:rPr>
                <w:b/>
                <w:bCs/>
                <w:sz w:val="24"/>
                <w:szCs w:val="24"/>
              </w:rPr>
              <w:t>1.3.2主要环境问题</w:t>
            </w:r>
          </w:p>
          <w:bookmarkEnd w:id="54"/>
          <w:bookmarkEnd w:id="55"/>
          <w:bookmarkEnd w:id="56"/>
          <w:bookmarkEnd w:id="57"/>
          <w:bookmarkEnd w:id="58"/>
          <w:bookmarkEnd w:id="59"/>
          <w:bookmarkEnd w:id="60"/>
          <w:bookmarkEnd w:id="61"/>
          <w:p>
            <w:pPr>
              <w:ind w:firstLine="480"/>
            </w:pPr>
            <w:r>
              <w:t>1、水环境问题</w:t>
            </w:r>
          </w:p>
          <w:p>
            <w:pPr>
              <w:widowControl/>
              <w:ind w:firstLine="480"/>
              <w:jc w:val="left"/>
            </w:pPr>
            <w:r>
              <w:t>根据《浙江省水功能区水环境功能区划分方案》（浙江省人民政府，2015年6月）划分，本项目附近水体为京杭运河</w:t>
            </w:r>
            <w:r>
              <w:rPr>
                <w:rFonts w:hint="eastAsia"/>
              </w:rPr>
              <w:t>及其支流店街塘港。</w:t>
            </w:r>
            <w:r>
              <w:t>由监测结果可知，</w:t>
            </w:r>
            <w:r>
              <w:rPr>
                <w:szCs w:val="22"/>
              </w:rPr>
              <w:t>本项目所在区域</w:t>
            </w:r>
            <w:r>
              <w:rPr>
                <w:rFonts w:hint="eastAsia"/>
                <w:szCs w:val="22"/>
              </w:rPr>
              <w:t>水体水质</w:t>
            </w:r>
            <w:r>
              <w:rPr>
                <w:rFonts w:hint="eastAsia"/>
              </w:rPr>
              <w:t>现状监测各检测指标均可达到《地表水环境质量标准》（GB3838-2002）中的</w:t>
            </w:r>
            <w:r>
              <w:t>III类</w:t>
            </w:r>
            <w:r>
              <w:rPr>
                <w:rFonts w:hint="eastAsia"/>
              </w:rPr>
              <w:t>水质标准要求</w:t>
            </w:r>
            <w:r>
              <w:t>。</w:t>
            </w:r>
          </w:p>
          <w:p>
            <w:pPr>
              <w:ind w:firstLine="480"/>
            </w:pPr>
            <w:r>
              <w:t>2、大气环境问题</w:t>
            </w:r>
          </w:p>
          <w:p>
            <w:pPr>
              <w:ind w:firstLine="480"/>
            </w:pPr>
            <w:r>
              <w:t>根据《2019年桐乡市环境状况公报》，2019年桐乡市区空气质量综合指数为4.08，O</w:t>
            </w:r>
            <w:r>
              <w:rPr>
                <w:vertAlign w:val="subscript"/>
              </w:rPr>
              <w:t>3</w:t>
            </w:r>
            <w:r>
              <w:t>百分位（90%）8h平均质量浓度高于《环境空气质量标准》（GB3095-2012）中的二级标准限值，项目所在区域属于非达标区。今后随着“五气共治”、“工业污染物防治专项行动”等工作的推进区域环境空气质量必将会进一步得到改善。</w:t>
            </w:r>
          </w:p>
          <w:p>
            <w:pPr>
              <w:ind w:firstLine="480"/>
            </w:pPr>
            <w:r>
              <w:t>由监测结果可知，项目区域周边环境空气中非甲烷总烃浓度能够满足《大气污染物综合排放标准详解》（GB16297-1996）中的相关取值，区域环境空气质量较好。</w:t>
            </w:r>
          </w:p>
          <w:p>
            <w:pPr>
              <w:ind w:firstLine="480"/>
            </w:pPr>
            <w:r>
              <w:t>3、声环境问题</w:t>
            </w:r>
          </w:p>
          <w:p>
            <w:pPr>
              <w:ind w:firstLine="480"/>
              <w:rPr>
                <w:szCs w:val="22"/>
              </w:rPr>
            </w:pPr>
            <w:r>
              <w:t>由监测结果可知，</w:t>
            </w:r>
            <w:r>
              <w:rPr>
                <w:szCs w:val="22"/>
              </w:rPr>
              <w:t>本项目所在区域环境噪声质量较好，能达到《声环境质量标准》（GB3096-2008）中的相应标准。</w:t>
            </w:r>
          </w:p>
          <w:p>
            <w:pPr>
              <w:ind w:firstLine="480"/>
            </w:pPr>
            <w:r>
              <w:rPr>
                <w:rFonts w:hint="eastAsia"/>
              </w:rPr>
              <w:t>4、土壤环境问题</w:t>
            </w:r>
          </w:p>
          <w:p>
            <w:pPr>
              <w:ind w:firstLine="480"/>
              <w:rPr>
                <w:szCs w:val="22"/>
              </w:rPr>
            </w:pPr>
            <w:r>
              <w:t>由监测结果可知，</w:t>
            </w:r>
            <w:r>
              <w:rPr>
                <w:rFonts w:hint="eastAsia"/>
              </w:rPr>
              <w:t>本项目所在区域附近的建设用地</w:t>
            </w:r>
            <w:r>
              <w:t>土壤</w:t>
            </w:r>
            <w:r>
              <w:rPr>
                <w:rFonts w:hint="eastAsia"/>
              </w:rPr>
              <w:t>环境</w:t>
            </w:r>
            <w:r>
              <w:t>质量</w:t>
            </w:r>
            <w:r>
              <w:rPr>
                <w:rFonts w:hint="eastAsia"/>
              </w:rPr>
              <w:t>满足《土壤环境质量 建设用地土壤污染风险管控标准（试行）》（G</w:t>
            </w:r>
            <w:r>
              <w:t>B36600-2018</w:t>
            </w:r>
            <w:r>
              <w:rPr>
                <w:rFonts w:hint="eastAsia"/>
              </w:rPr>
              <w:t>）中表1、表2相应第二类用地筛选值的要求</w:t>
            </w:r>
            <w:r>
              <w:t>；</w:t>
            </w:r>
            <w:r>
              <w:rPr>
                <w:rFonts w:hint="eastAsia"/>
              </w:rPr>
              <w:t>本项目所在区域附近的农用地</w:t>
            </w:r>
            <w:r>
              <w:t>土壤</w:t>
            </w:r>
            <w:r>
              <w:rPr>
                <w:rFonts w:hint="eastAsia"/>
              </w:rPr>
              <w:t>环境</w:t>
            </w:r>
            <w:r>
              <w:t>质量</w:t>
            </w:r>
            <w:r>
              <w:rPr>
                <w:rFonts w:hint="eastAsia"/>
              </w:rPr>
              <w:t>满足《土壤环境质量 农用地土壤污染风险管控标准（试行）》（GB15618-2018）中相应风险筛选值要求，本项目所在地土壤环境质量较好</w:t>
            </w:r>
            <w:r>
              <w:rPr>
                <w:szCs w:val="22"/>
              </w:rPr>
              <w:t>。</w:t>
            </w:r>
          </w:p>
          <w:p>
            <w:pPr>
              <w:pStyle w:val="2"/>
              <w:ind w:left="480" w:firstLine="400"/>
            </w:pPr>
          </w:p>
          <w:p>
            <w:pPr>
              <w:ind w:firstLine="480"/>
            </w:pPr>
          </w:p>
        </w:tc>
      </w:tr>
    </w:tbl>
    <w:p>
      <w:pPr>
        <w:pStyle w:val="4"/>
        <w:rPr>
          <w:szCs w:val="32"/>
        </w:rPr>
        <w:sectPr>
          <w:footerReference r:id="rId13" w:type="default"/>
          <w:pgSz w:w="11906" w:h="16838"/>
          <w:pgMar w:top="1474" w:right="1588" w:bottom="1418" w:left="1588" w:header="851" w:footer="907" w:gutter="0"/>
          <w:pgNumType w:start="1"/>
          <w:cols w:space="720" w:num="1"/>
          <w:docGrid w:linePitch="312" w:charSpace="0"/>
        </w:sectPr>
      </w:pPr>
      <w:bookmarkStart w:id="62" w:name="_Toc29380588"/>
      <w:bookmarkStart w:id="63" w:name="_Toc29388539"/>
    </w:p>
    <w:p>
      <w:pPr>
        <w:pStyle w:val="4"/>
        <w:rPr>
          <w:szCs w:val="32"/>
        </w:rPr>
      </w:pPr>
      <w:bookmarkStart w:id="64" w:name="_Toc18630"/>
      <w:r>
        <w:rPr>
          <w:szCs w:val="32"/>
        </w:rPr>
        <w:t>2、建设项目所在地自然环境社会环境简况</w:t>
      </w:r>
      <w:bookmarkEnd w:id="62"/>
      <w:bookmarkEnd w:id="63"/>
      <w:bookmarkEnd w:id="64"/>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tcBorders>
              <w:top w:val="single" w:color="auto" w:sz="12" w:space="0"/>
              <w:left w:val="single" w:color="auto" w:sz="12" w:space="0"/>
              <w:bottom w:val="single" w:color="auto" w:sz="12" w:space="0"/>
              <w:right w:val="single" w:color="auto" w:sz="12" w:space="0"/>
            </w:tcBorders>
          </w:tcPr>
          <w:p>
            <w:pPr>
              <w:pStyle w:val="5"/>
            </w:pPr>
            <w:bookmarkStart w:id="65" w:name="_Toc29388540"/>
            <w:bookmarkStart w:id="66" w:name="_Toc29380589"/>
            <w:r>
              <w:t>2.1自然环境简况</w:t>
            </w:r>
            <w:bookmarkEnd w:id="65"/>
            <w:bookmarkEnd w:id="66"/>
          </w:p>
          <w:p>
            <w:pPr>
              <w:pStyle w:val="6"/>
            </w:pPr>
            <w:bookmarkStart w:id="67" w:name="_Toc29380590"/>
            <w:bookmarkStart w:id="68" w:name="_Toc29388541"/>
            <w:r>
              <w:t>2.1.1项目地理位置</w:t>
            </w:r>
            <w:bookmarkEnd w:id="67"/>
            <w:bookmarkEnd w:id="68"/>
          </w:p>
          <w:p>
            <w:pPr>
              <w:ind w:firstLine="480"/>
            </w:pPr>
            <w:r>
              <w:t>嘉兴鸿博机电有限公司年产30000件精密配件、15000套后倾离心风机项目选址于</w:t>
            </w:r>
            <w:r>
              <w:rPr>
                <w:rFonts w:hint="eastAsia"/>
              </w:rPr>
              <w:t>桐乡市崇福镇杭福路1336号20幢1号</w:t>
            </w:r>
            <w:r>
              <w:t>。</w:t>
            </w:r>
          </w:p>
          <w:p>
            <w:pPr>
              <w:ind w:firstLine="480"/>
            </w:pPr>
            <w:r>
              <w:t>桐乡市位于浙江省北部杭嘉湖平原，地理坐标北纬30°28′~30°47′、东经120°17′~120°39′。东连嘉兴市秀洲区，南邻海宁市，北毗德清县、杭州市余杭区，西北接湖州市南浔区，北界江苏省吴江区。</w:t>
            </w:r>
          </w:p>
          <w:p>
            <w:pPr>
              <w:ind w:firstLine="480"/>
            </w:pPr>
            <w:r>
              <w:t>详见附图1-建设项目地理位置图。</w:t>
            </w:r>
          </w:p>
          <w:p>
            <w:pPr>
              <w:pStyle w:val="6"/>
            </w:pPr>
            <w:r>
              <w:t>2.1.2选址周围环境概况</w:t>
            </w:r>
          </w:p>
          <w:p>
            <w:pPr>
              <w:pStyle w:val="46"/>
              <w:spacing w:before="48" w:after="24"/>
            </w:pPr>
            <w:r>
              <mc:AlternateContent>
                <mc:Choice Requires="wps">
                  <w:drawing>
                    <wp:anchor distT="0" distB="0" distL="114300" distR="114300" simplePos="0" relativeHeight="251795456" behindDoc="0" locked="0" layoutInCell="1" allowOverlap="1">
                      <wp:simplePos x="0" y="0"/>
                      <wp:positionH relativeFrom="column">
                        <wp:posOffset>3796665</wp:posOffset>
                      </wp:positionH>
                      <wp:positionV relativeFrom="paragraph">
                        <wp:posOffset>500380</wp:posOffset>
                      </wp:positionV>
                      <wp:extent cx="361950" cy="1876425"/>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361950" cy="18764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7"/>
                                    <w:rPr>
                                      <w:b/>
                                      <w:bCs/>
                                      <w:color w:val="FFFF00"/>
                                    </w:rPr>
                                  </w:pPr>
                                  <w:r>
                                    <w:rPr>
                                      <w:b/>
                                      <w:bCs/>
                                      <w:color w:val="FFFF00"/>
                                    </w:rPr>
                                    <w:t>中节能（桐乡）环保产业园</w:t>
                                  </w:r>
                                </w:p>
                                <w:p>
                                  <w:pPr>
                                    <w:ind w:firstLine="480"/>
                                  </w:pP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8.95pt;margin-top:39.4pt;height:147.75pt;width:28.5pt;z-index:251795456;mso-width-relative:page;mso-height-relative:page;" filled="f" stroked="f" coordsize="21600,21600" o:gfxdata="UEsDBAoAAAAAAIdO4kAAAAAAAAAAAAAAAAAEAAAAZHJzL1BLAwQUAAAACACHTuJAArKoU9oAAAAK&#10;AQAADwAAAGRycy9kb3ducmV2LnhtbE2PTU+DQBCG7yb+h82YeLNLWyiFMjRG02sTsYnxtrBbIN0P&#10;wi4t+usdT3qcmSfvPG+xn41mVzX63lmE5SICpmzjZG9bhNP74WkLzAdhpdDOKoQv5WFf3t8VIpfu&#10;Zt/UtQotoxDrc4HQhTDknPumU0b4hRuUpdvZjUYEGseWy1HcKNxovoqiDTeit/ShE4N66VRzqSaD&#10;MH9kx0OdHZ/19PmaxKvvU+WmC+LjwzLaAQtqDn8w/OqTOpTkVLvJSs80QpKlGaEI6ZYqELBJYlrU&#10;COs0XgMvC/6/QvkDUEsDBBQAAAAIAIdO4kBu6NESQAIAAGoEAAAOAAAAZHJzL2Uyb0RvYy54bWyt&#10;VEtu2zAQ3RfoHQjua9mO4yRG5MBNkKKA0QRIP2uaoiIBJIclaUvuAdobdNVN9z1XztFHyU7StIss&#10;uqGGM+M38x5nfHrWGs02yoeabM5HgyFnykoqanub8w/vL18dcxaisIXQZFXOtyrws/nLF6eNm6kx&#10;VaQL5RlAbJg1LudVjG6WZUFWyogwIKcsgiV5IyKu/jYrvGiAbnQ2Hg6nWUO+cJ6kCgHeiz7Id4j+&#10;OYBUlrVUFyTXRtnYo3qlRQSlUNUu8HnXbVkqGa/KMqjIdM7BNHYnisBepTObn4rZrReuquWuBfGc&#10;Fp5wMqK2KHoPdSGiYGtf/wVlaukpUBkHkkzWE+kUAYvR8Ik2N5VwquMCqYO7Fz38P1j5bnPtWV3k&#10;/HjKmRUGL373/dvdj193P78y+CBQ48IMeTcOmbF9TS3GZu8PcCbebelN+oIRQxzybu/lVW1kEs6D&#10;6ejkEBGJ0Oj4aDoZHyaY7OHXzof4RpFhyci5x/N1qorNMsQ+dZ+Silm6rLXunlBb1uR8egD8PyIA&#10;1xY1Eoe+12TFdtXuiK2o2IKXp340gpOXNYovRYjXwmMW0DC2JV7hKDWhCO0sziryX/7lT/k5V+Ij&#10;vpw1mK6ch89r4RVn+q3F852MJhMAx+4yOTwa4+IfR1aPI3ZtzgkDPMJmOtmZKT/qvVl6Mp+wVotU&#10;FyFhJXrLOar35nnsZx5rKdVi0SVhAJ2IS3vjZILuZVusI5V1p3USqldnpx9GsHut3bqkGX9877Ie&#10;/iL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CsqhT2gAAAAoBAAAPAAAAAAAAAAEAIAAAACIA&#10;AABkcnMvZG93bnJldi54bWxQSwECFAAUAAAACACHTuJAbujREkACAABqBAAADgAAAAAAAAABACAA&#10;AAApAQAAZHJzL2Uyb0RvYy54bWxQSwUGAAAAAAYABgBZAQAA2wUAAAAA&#10;">
                      <v:fill on="f" focussize="0,0"/>
                      <v:stroke on="f" weight="0.5pt"/>
                      <v:imagedata o:title=""/>
                      <o:lock v:ext="edit" aspectratio="f"/>
                      <v:textbox style="layout-flow:vertical-ideographic;">
                        <w:txbxContent>
                          <w:p>
                            <w:pPr>
                              <w:pStyle w:val="47"/>
                              <w:rPr>
                                <w:b/>
                                <w:bCs/>
                                <w:color w:val="FFFF00"/>
                              </w:rPr>
                            </w:pPr>
                            <w:r>
                              <w:rPr>
                                <w:b/>
                                <w:bCs/>
                                <w:color w:val="FFFF00"/>
                              </w:rPr>
                              <w:t>中节能（桐乡）环保产业园</w:t>
                            </w:r>
                          </w:p>
                          <w:p>
                            <w:pPr>
                              <w:ind w:firstLine="480"/>
                            </w:pPr>
                          </w:p>
                        </w:txbxContent>
                      </v:textbox>
                    </v:shape>
                  </w:pict>
                </mc:Fallback>
              </mc:AlternateContent>
            </w:r>
            <w:r>
              <mc:AlternateContent>
                <mc:Choice Requires="wps">
                  <w:drawing>
                    <wp:anchor distT="0" distB="0" distL="114300" distR="114300" simplePos="0" relativeHeight="251794432" behindDoc="0" locked="0" layoutInCell="1" allowOverlap="1">
                      <wp:simplePos x="0" y="0"/>
                      <wp:positionH relativeFrom="column">
                        <wp:posOffset>1282065</wp:posOffset>
                      </wp:positionH>
                      <wp:positionV relativeFrom="paragraph">
                        <wp:posOffset>605155</wp:posOffset>
                      </wp:positionV>
                      <wp:extent cx="361950" cy="1876425"/>
                      <wp:effectExtent l="0" t="0" r="0" b="0"/>
                      <wp:wrapNone/>
                      <wp:docPr id="85" name="文本框 85"/>
                      <wp:cNvGraphicFramePr/>
                      <a:graphic xmlns:a="http://schemas.openxmlformats.org/drawingml/2006/main">
                        <a:graphicData uri="http://schemas.microsoft.com/office/word/2010/wordprocessingShape">
                          <wps:wsp>
                            <wps:cNvSpPr txBox="1"/>
                            <wps:spPr>
                              <a:xfrm>
                                <a:off x="2338070" y="4710430"/>
                                <a:ext cx="361950" cy="18764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7"/>
                                    <w:rPr>
                                      <w:b/>
                                      <w:bCs/>
                                      <w:color w:val="FFFF00"/>
                                    </w:rPr>
                                  </w:pPr>
                                  <w:r>
                                    <w:rPr>
                                      <w:b/>
                                      <w:bCs/>
                                      <w:color w:val="FFFF00"/>
                                    </w:rPr>
                                    <w:t>中节能（桐乡）环保产业园</w:t>
                                  </w:r>
                                </w:p>
                                <w:p>
                                  <w:pPr>
                                    <w:ind w:firstLine="480"/>
                                  </w:pP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95pt;margin-top:47.65pt;height:147.75pt;width:28.5pt;z-index:251794432;mso-width-relative:page;mso-height-relative:page;" filled="f" stroked="f" coordsize="21600,21600" o:gfxdata="UEsDBAoAAAAAAIdO4kAAAAAAAAAAAAAAAAAEAAAAZHJzL1BLAwQUAAAACACHTuJAHU/Q29kAAAAK&#10;AQAADwAAAGRycy9kb3ducmV2LnhtbE2PwU6EMBCG7ya+QzMm3twWVgxFho3R7HUTcRPjrdAKZGlL&#10;aNlFn97xpMeZ+fLP95e71Y7sbOYweIeQbAQw41qvB9chHN/2dzmwEJXTavTOIHyZALvq+qpUhfYX&#10;92rOdewYhbhQKIQ+xqngPLS9sSps/GQc3T79bFWkce64ntWFwu3IUyEeuFWDow+9msxzb9pTvViE&#10;9V0e9o08PI3Lx0t2n34fa7+cEG9vEvEILJo1/sHwq0/qUJFT4xenAxsRUpFIQhFktgVGQJrltGgQ&#10;tlLkwKuS/69Q/QBQSwMEFAAAAAgAh07iQIe+4j1MAgAAdgQAAA4AAABkcnMvZTJvRG9jLnhtbK1U&#10;S27bMBDdF+gdCO4bWbZjO0bkwE2QokDQBEg/a5qiLAH8laQjpQdob9BVN933XDlHHyklcdMusuiG&#10;GnKGb+Y9zuj4pFOS3AjnG6MLmh+MKBGam7LR24J+eH/+akGJD0yXTBotCnorPD1ZvXxx3NqlGJva&#10;yFI4AhDtl60taB2CXWaZ57VQzB8YKzSclXGKBWzdNisda4GuZDYejWZZa1xpneHCe5ye9U46ILrn&#10;AJqqarg4M3ynhA49qhOSBVDydWM9XaVqq0rwcFlVXgQiCwqmIa1IAnsT12x1zJZbx2zd8KEE9pwS&#10;nnBSrNFI+gB1xgIjO9f8BaUa7ow3VTjgRmU9kaQIWOSjJ9pc18yKxAVSe/sguv9/sPzdzZUjTVnQ&#10;xSElmim8+N33b3c/ft39/EpwBoFa65eIu7aIDN1r06Ft7s89DiPvrnIqfsGIwD+eTBajOUS+Leh0&#10;no+mk0Fq0QXCETCZ5UeH8HME5Iv5bDpOqbJHJOt8eCOMItEoqMNTJoXZzYUPqAqh9yExsTbnjZTp&#10;OaUmbUFnE+D/4cENqXEx8unrjlboNt1AcmPKW3B0pm8Tb/l5g+QXzIcr5tAXKBiTEy6xVNIgiRks&#10;SmrjvvzrPMYXVLCP+FLSotMK6j/vmBOUyLcaT3mUT6cADmkzPZyPsXH7ns2+R+/UqUEz55hSy5MZ&#10;44O8Nytn1CeM2DrmhYtpjtoKiuy9eRr6/seIcrFepyA0o2XhQl9bHqF72da7YKomaR2F6tUZ9EM7&#10;picYRif2+/4+RT3+Ll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1P0NvZAAAACgEAAA8AAAAA&#10;AAAAAQAgAAAAIgAAAGRycy9kb3ducmV2LnhtbFBLAQIUABQAAAAIAIdO4kCHvuI9TAIAAHYEAAAO&#10;AAAAAAAAAAEAIAAAACgBAABkcnMvZTJvRG9jLnhtbFBLBQYAAAAABgAGAFkBAADmBQAAAAA=&#10;">
                      <v:fill on="f" focussize="0,0"/>
                      <v:stroke on="f" weight="0.5pt"/>
                      <v:imagedata o:title=""/>
                      <o:lock v:ext="edit" aspectratio="f"/>
                      <v:textbox style="layout-flow:vertical-ideographic;">
                        <w:txbxContent>
                          <w:p>
                            <w:pPr>
                              <w:pStyle w:val="47"/>
                              <w:rPr>
                                <w:b/>
                                <w:bCs/>
                                <w:color w:val="FFFF00"/>
                              </w:rPr>
                            </w:pPr>
                            <w:r>
                              <w:rPr>
                                <w:b/>
                                <w:bCs/>
                                <w:color w:val="FFFF00"/>
                              </w:rPr>
                              <w:t>中节能（桐乡）环保产业园</w:t>
                            </w:r>
                          </w:p>
                          <w:p>
                            <w:pPr>
                              <w:ind w:firstLine="480"/>
                            </w:pPr>
                          </w:p>
                        </w:txbxContent>
                      </v:textbox>
                    </v:shape>
                  </w:pict>
                </mc:Fallback>
              </mc:AlternateContent>
            </w:r>
            <w:r>
              <mc:AlternateContent>
                <mc:Choice Requires="wps">
                  <w:drawing>
                    <wp:anchor distT="0" distB="0" distL="114300" distR="114300" simplePos="0" relativeHeight="251793408" behindDoc="0" locked="0" layoutInCell="1" allowOverlap="1">
                      <wp:simplePos x="0" y="0"/>
                      <wp:positionH relativeFrom="column">
                        <wp:posOffset>1986280</wp:posOffset>
                      </wp:positionH>
                      <wp:positionV relativeFrom="paragraph">
                        <wp:posOffset>2303780</wp:posOffset>
                      </wp:positionV>
                      <wp:extent cx="1895475" cy="286385"/>
                      <wp:effectExtent l="0" t="0" r="0" b="0"/>
                      <wp:wrapNone/>
                      <wp:docPr id="84" name="文本框 529"/>
                      <wp:cNvGraphicFramePr/>
                      <a:graphic xmlns:a="http://schemas.openxmlformats.org/drawingml/2006/main">
                        <a:graphicData uri="http://schemas.microsoft.com/office/word/2010/wordprocessingShape">
                          <wps:wsp>
                            <wps:cNvSpPr txBox="1">
                              <a:spLocks noChangeArrowheads="1"/>
                            </wps:cNvSpPr>
                            <wps:spPr bwMode="auto">
                              <a:xfrm>
                                <a:off x="0" y="0"/>
                                <a:ext cx="1895475" cy="286385"/>
                              </a:xfrm>
                              <a:prstGeom prst="rect">
                                <a:avLst/>
                              </a:prstGeom>
                              <a:noFill/>
                              <a:ln>
                                <a:noFill/>
                              </a:ln>
                            </wps:spPr>
                            <wps:txbx>
                              <w:txbxContent>
                                <w:p>
                                  <w:pPr>
                                    <w:pStyle w:val="47"/>
                                    <w:rPr>
                                      <w:b/>
                                      <w:bCs/>
                                      <w:color w:val="FFFF00"/>
                                    </w:rPr>
                                  </w:pPr>
                                  <w:r>
                                    <w:rPr>
                                      <w:b/>
                                      <w:bCs/>
                                      <w:color w:val="FFFF00"/>
                                    </w:rPr>
                                    <w:t>中节能（桐乡）环保产业园</w:t>
                                  </w:r>
                                </w:p>
                              </w:txbxContent>
                            </wps:txbx>
                            <wps:bodyPr rot="0" vert="horz" wrap="square" lIns="91440" tIns="45720" rIns="91440" bIns="45720" anchor="t" anchorCtr="0" upright="1">
                              <a:noAutofit/>
                            </wps:bodyPr>
                          </wps:wsp>
                        </a:graphicData>
                      </a:graphic>
                    </wp:anchor>
                  </w:drawing>
                </mc:Choice>
                <mc:Fallback>
                  <w:pict>
                    <v:shape id="文本框 529" o:spid="_x0000_s1026" o:spt="202" type="#_x0000_t202" style="position:absolute;left:0pt;margin-left:156.4pt;margin-top:181.4pt;height:22.55pt;width:149.25pt;z-index:251793408;mso-width-relative:page;mso-height-relative:page;" filled="f" stroked="f" coordsize="21600,21600" o:gfxdata="UEsDBAoAAAAAAIdO4kAAAAAAAAAAAAAAAAAEAAAAZHJzL1BLAwQUAAAACACHTuJAabmhiNcAAAAL&#10;AQAADwAAAGRycy9kb3ducmV2LnhtbE2PwU7DMBBE70j8g7VI3KjttgQa4vQA4gqiQKXe3HibRMTr&#10;KHab8PdsT/Q2qxnNvC3Wk+/ECYfYBjKgZwoEUhVcS7WBr8/Xu0cQMVlytguEBn4xwrq8vips7sJI&#10;H3japFpwCcXcGmhS6nMpY9Wgt3EWeiT2DmHwNvE51NINduRy38m5Upn0tiVeaGyPzw1WP5ujN/D9&#10;dthtl+q9fvH3/RgmJcmvpDG3N1o9gUg4pf8wnPEZHUpm2ocjuSg6Aws9Z/TEIjsLTmRaL0DsDSzV&#10;wwpkWcjLH8o/UEsDBBQAAAAIAIdO4kC/InmVGwIAABgEAAAOAAAAZHJzL2Uyb0RvYy54bWytU0tu&#10;2zAQ3RfoHQjua9mundiC5SCNkaJA+gHSHoCmKIuoyGGHtKX0AM0Nuuqm+57L5+iQclw33WTRjUBy&#10;hm/ee3xaXHSmYTuFXoMt+Ggw5ExZCaW2m4J/+nj9YsaZD8KWogGrCn6nPL9YPn+2aF2uxlBDUypk&#10;BGJ93rqC1yG4PMu8rJURfgBOWSpWgEYE2uImK1G0hG6abDwcnmUtYOkQpPKeTld9kR8Q8SmAUFVa&#10;qhXIrVE29KioGhFIkq+183yZ2FaVkuF9VXkVWFNwUhrSl4bQeh2/2XIh8g0KV2t5oCCeQuGRJiO0&#10;paFHqJUIgm1R/wNltETwUIWBBJP1QpIjpGI0fOTNbS2cSlrIau+Opvv/Byvf7T4g02XBZxPOrDD0&#10;4vvv9/sfv/Y/v7HpeB4dap3PqfHWUWvoXkFHuUlqvbsB+dkzC1e1sBt1iQhtrURJDEfxZnZytcfx&#10;EWTdvoWSJoltgATUVWiifWQII3R6nbvj66guMBlHzubTyfmUM0m18ezs5WyaRoj84bZDH14rMCwu&#10;Co70+gld7G58iGxE/tASh1m41k2TEtDYvw6oMZ4k9pFwTz106+7gxhrKO9KB0AeKfida1IBfOWsp&#10;TAX3X7YCFWfNG0tezEeTSUxf2kym52Pa4GllfVoRVhJUwQNn/fIq9IndOtSbmib17lu4JP8qnaRF&#10;o3tWB94UmKT4EO6YyNN96vrzQy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m5oYjXAAAACwEA&#10;AA8AAAAAAAAAAQAgAAAAIgAAAGRycy9kb3ducmV2LnhtbFBLAQIUABQAAAAIAIdO4kC/InmVGwIA&#10;ABgEAAAOAAAAAAAAAAEAIAAAACYBAABkcnMvZTJvRG9jLnhtbFBLBQYAAAAABgAGAFkBAACzBQAA&#10;AAA=&#10;">
                      <v:fill on="f" focussize="0,0"/>
                      <v:stroke on="f"/>
                      <v:imagedata o:title=""/>
                      <o:lock v:ext="edit" aspectratio="f"/>
                      <v:textbox>
                        <w:txbxContent>
                          <w:p>
                            <w:pPr>
                              <w:pStyle w:val="47"/>
                              <w:rPr>
                                <w:b/>
                                <w:bCs/>
                                <w:color w:val="FFFF00"/>
                              </w:rPr>
                            </w:pPr>
                            <w:r>
                              <w:rPr>
                                <w:b/>
                                <w:bCs/>
                                <w:color w:val="FFFF00"/>
                              </w:rPr>
                              <w:t>中节能（桐乡）环保产业园</w:t>
                            </w:r>
                          </w:p>
                        </w:txbxContent>
                      </v:textbox>
                    </v:shape>
                  </w:pict>
                </mc:Fallback>
              </mc:AlternateContent>
            </w:r>
            <w:r>
              <mc:AlternateContent>
                <mc:Choice Requires="wps">
                  <w:drawing>
                    <wp:anchor distT="0" distB="0" distL="114300" distR="114300" simplePos="0" relativeHeight="251790336" behindDoc="0" locked="0" layoutInCell="1" allowOverlap="1">
                      <wp:simplePos x="0" y="0"/>
                      <wp:positionH relativeFrom="column">
                        <wp:posOffset>1948180</wp:posOffset>
                      </wp:positionH>
                      <wp:positionV relativeFrom="paragraph">
                        <wp:posOffset>227330</wp:posOffset>
                      </wp:positionV>
                      <wp:extent cx="1895475" cy="286385"/>
                      <wp:effectExtent l="0" t="0" r="0" b="0"/>
                      <wp:wrapNone/>
                      <wp:docPr id="82" name="文本框 529"/>
                      <wp:cNvGraphicFramePr/>
                      <a:graphic xmlns:a="http://schemas.openxmlformats.org/drawingml/2006/main">
                        <a:graphicData uri="http://schemas.microsoft.com/office/word/2010/wordprocessingShape">
                          <wps:wsp>
                            <wps:cNvSpPr txBox="1">
                              <a:spLocks noChangeArrowheads="1"/>
                            </wps:cNvSpPr>
                            <wps:spPr bwMode="auto">
                              <a:xfrm>
                                <a:off x="0" y="0"/>
                                <a:ext cx="1895475" cy="286385"/>
                              </a:xfrm>
                              <a:prstGeom prst="rect">
                                <a:avLst/>
                              </a:prstGeom>
                              <a:noFill/>
                              <a:ln>
                                <a:noFill/>
                              </a:ln>
                            </wps:spPr>
                            <wps:txbx>
                              <w:txbxContent>
                                <w:p>
                                  <w:pPr>
                                    <w:pStyle w:val="47"/>
                                    <w:rPr>
                                      <w:b/>
                                      <w:bCs/>
                                      <w:color w:val="FFFF00"/>
                                    </w:rPr>
                                  </w:pPr>
                                  <w:r>
                                    <w:rPr>
                                      <w:b/>
                                      <w:bCs/>
                                      <w:color w:val="FFFF00"/>
                                    </w:rPr>
                                    <w:t>中节能（桐乡）环保产业园</w:t>
                                  </w:r>
                                </w:p>
                              </w:txbxContent>
                            </wps:txbx>
                            <wps:bodyPr rot="0" vert="horz" wrap="square" lIns="91440" tIns="45720" rIns="91440" bIns="45720" anchor="t" anchorCtr="0" upright="1">
                              <a:noAutofit/>
                            </wps:bodyPr>
                          </wps:wsp>
                        </a:graphicData>
                      </a:graphic>
                    </wp:anchor>
                  </w:drawing>
                </mc:Choice>
                <mc:Fallback>
                  <w:pict>
                    <v:shape id="文本框 529" o:spid="_x0000_s1026" o:spt="202" type="#_x0000_t202" style="position:absolute;left:0pt;margin-left:153.4pt;margin-top:17.9pt;height:22.55pt;width:149.25pt;z-index:251790336;mso-width-relative:page;mso-height-relative:page;" filled="f" stroked="f" coordsize="21600,21600" o:gfxdata="UEsDBAoAAAAAAIdO4kAAAAAAAAAAAAAAAAAEAAAAZHJzL1BLAwQUAAAACACHTuJAdLLc+9YAAAAJ&#10;AQAADwAAAGRycy9kb3ducmV2LnhtbE2PQU/DMAyF70j8h8hI3FgyRqutNN0BxBXEBkjcvMZrKxqn&#10;arK1/HvMCU72k5/e+1xuZ9+rM42xC2xhuTCgiOvgOm4svO2fbtagYkJ22AcmC98UYVtdXpRYuDDx&#10;K513qVESwrFAC21KQ6F1rFvyGBdhIJbbMYwek8ix0W7EScJ9r2+NybXHjqWhxYEeWqq/didv4f35&#10;+PlxZ16aR58NU5iNZr/R1l5fLc09qERz+jPDL76gQyVMh3BiF1VvYWVyQU+yZDLFkJtsBepgYW02&#10;oKtS//+g+gFQSwMEFAAAAAgAh07iQJKJBm8aAgAAGAQAAA4AAABkcnMvZTJvRG9jLnhtbK1TQW7b&#10;MBC8F+gfCN5r2aqd2ILlII2RokDaFEj7AJqiLKISl13SltwHND/oqZfe8y6/o0vKcd30kkMvAsld&#10;zs4MR/OLrqnZVqHTYHI+Ggw5U0ZCoc06558/Xb+acua8MIWowaic75TjF4uXL+atzVQKFdSFQkYg&#10;xmWtzXnlvc2SxMlKNcINwCpDxRKwEZ62uE4KFC2hN3WSDodnSQtYWASpnKPTZV/kB0R8DiCUpZZq&#10;CXLTKON7VFS18CTJVdo6vohsy1JJf1uWTnlW55yU+vilIbRehW+ymItsjcJWWh4oiOdQeKKpEdrQ&#10;0CPUUnjBNqj/gWq0RHBQ+oGEJumFREdIxWj4xJu7SlgVtZDVzh5Nd/8PVn7YfkSmi5xPU86MaOjF&#10;9z/u9z8f9r++s0k6Cw611mXUeGep1XdvoKPcRLXO3oD84piBq0qYtbpEhLZSoiCGo3AzObna47gA&#10;smrfQ0GTxMZDBOpKbIJ9ZAgjdHqd3fF1VOeZDCOns8n4fMKZpFo6PXs9ncQRInu8bdH5twoaFhY5&#10;R3r9iC62N84HNiJ7bAnDDFzruo4JqM1fB9QYTiL7QLin7rtVd3BjBcWOdCD0gaLfiRYV4DfOWgpT&#10;zt3XjUDFWf3OkBez0Xgc0hc348l5Shs8raxOK8JIgsq556xfXvk+sRuLel3RpN59A5fkX6mjtGB0&#10;z+rAmwITFR/CHRJ5uo9df37ox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0stz71gAAAAkBAAAP&#10;AAAAAAAAAAEAIAAAACIAAABkcnMvZG93bnJldi54bWxQSwECFAAUAAAACACHTuJAkokGbxoCAAAY&#10;BAAADgAAAAAAAAABACAAAAAlAQAAZHJzL2Uyb0RvYy54bWxQSwUGAAAAAAYABgBZAQAAsQUAAAAA&#10;">
                      <v:fill on="f" focussize="0,0"/>
                      <v:stroke on="f"/>
                      <v:imagedata o:title=""/>
                      <o:lock v:ext="edit" aspectratio="f"/>
                      <v:textbox>
                        <w:txbxContent>
                          <w:p>
                            <w:pPr>
                              <w:pStyle w:val="47"/>
                              <w:rPr>
                                <w:b/>
                                <w:bCs/>
                                <w:color w:val="FFFF00"/>
                              </w:rPr>
                            </w:pPr>
                            <w:r>
                              <w:rPr>
                                <w:b/>
                                <w:bCs/>
                                <w:color w:val="FFFF00"/>
                              </w:rPr>
                              <w:t>中节能（桐乡）环保产业园</w:t>
                            </w:r>
                          </w:p>
                        </w:txbxContent>
                      </v:textbox>
                    </v:shape>
                  </w:pict>
                </mc:Fallback>
              </mc:AlternateContent>
            </w:r>
            <w:r>
              <w:drawing>
                <wp:anchor distT="0" distB="0" distL="114300" distR="114300" simplePos="0" relativeHeight="251630592" behindDoc="0" locked="0" layoutInCell="1" allowOverlap="1">
                  <wp:simplePos x="0" y="0"/>
                  <wp:positionH relativeFrom="column">
                    <wp:posOffset>45085</wp:posOffset>
                  </wp:positionH>
                  <wp:positionV relativeFrom="paragraph">
                    <wp:posOffset>76835</wp:posOffset>
                  </wp:positionV>
                  <wp:extent cx="420370" cy="502920"/>
                  <wp:effectExtent l="0" t="0" r="0" b="0"/>
                  <wp:wrapNone/>
                  <wp:docPr id="521"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图片 3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20370" cy="502920"/>
                          </a:xfrm>
                          <a:prstGeom prst="rect">
                            <a:avLst/>
                          </a:prstGeom>
                          <a:noFill/>
                          <a:ln>
                            <a:noFill/>
                          </a:ln>
                        </pic:spPr>
                      </pic:pic>
                    </a:graphicData>
                  </a:graphic>
                </wp:anchor>
              </w:drawing>
            </w:r>
            <w:r>
              <w:drawing>
                <wp:inline distT="0" distB="0" distL="0" distR="0">
                  <wp:extent cx="5539740" cy="3030220"/>
                  <wp:effectExtent l="0" t="0" r="0" b="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noChangeArrowheads="1"/>
                          </pic:cNvPicPr>
                        </pic:nvPicPr>
                        <pic:blipFill>
                          <a:blip r:embed="rId22">
                            <a:extLst>
                              <a:ext uri="{28A0092B-C50C-407E-A947-70E740481C1C}">
                                <a14:useLocalDpi xmlns:a14="http://schemas.microsoft.com/office/drawing/2010/main" val="0"/>
                              </a:ext>
                            </a:extLst>
                          </a:blip>
                          <a:srcRect t="20923" b="13673"/>
                          <a:stretch>
                            <a:fillRect/>
                          </a:stretch>
                        </pic:blipFill>
                        <pic:spPr>
                          <a:xfrm>
                            <a:off x="0" y="0"/>
                            <a:ext cx="5539740" cy="3030220"/>
                          </a:xfrm>
                          <a:prstGeom prst="rect">
                            <a:avLst/>
                          </a:prstGeom>
                          <a:noFill/>
                          <a:ln>
                            <a:noFill/>
                          </a:ln>
                        </pic:spPr>
                      </pic:pic>
                    </a:graphicData>
                  </a:graphic>
                </wp:inline>
              </w:drawing>
            </w:r>
            <w:r>
              <mc:AlternateContent>
                <mc:Choice Requires="wps">
                  <w:drawing>
                    <wp:anchor distT="0" distB="0" distL="114300" distR="114300" simplePos="0" relativeHeight="251638784" behindDoc="0" locked="0" layoutInCell="1" allowOverlap="1">
                      <wp:simplePos x="0" y="0"/>
                      <wp:positionH relativeFrom="column">
                        <wp:posOffset>3081655</wp:posOffset>
                      </wp:positionH>
                      <wp:positionV relativeFrom="paragraph">
                        <wp:posOffset>694055</wp:posOffset>
                      </wp:positionV>
                      <wp:extent cx="600075" cy="286385"/>
                      <wp:effectExtent l="0" t="0" r="4445" b="635"/>
                      <wp:wrapNone/>
                      <wp:docPr id="717" name="文本框 530"/>
                      <wp:cNvGraphicFramePr/>
                      <a:graphic xmlns:a="http://schemas.openxmlformats.org/drawingml/2006/main">
                        <a:graphicData uri="http://schemas.microsoft.com/office/word/2010/wordprocessingShape">
                          <wps:wsp>
                            <wps:cNvSpPr txBox="1">
                              <a:spLocks noChangeArrowheads="1"/>
                            </wps:cNvSpPr>
                            <wps:spPr bwMode="auto">
                              <a:xfrm>
                                <a:off x="0" y="0"/>
                                <a:ext cx="600075" cy="286385"/>
                              </a:xfrm>
                              <a:prstGeom prst="rect">
                                <a:avLst/>
                              </a:prstGeom>
                              <a:noFill/>
                              <a:ln>
                                <a:noFill/>
                              </a:ln>
                            </wps:spPr>
                            <wps:txbx>
                              <w:txbxContent>
                                <w:p>
                                  <w:pPr>
                                    <w:spacing w:line="240" w:lineRule="auto"/>
                                    <w:ind w:firstLine="0" w:firstLineChars="0"/>
                                    <w:jc w:val="center"/>
                                    <w:rPr>
                                      <w:b/>
                                      <w:bCs/>
                                      <w:color w:val="FFFFFF"/>
                                      <w:sz w:val="21"/>
                                      <w:szCs w:val="21"/>
                                    </w:rPr>
                                  </w:pPr>
                                  <w:r>
                                    <w:rPr>
                                      <w:b/>
                                      <w:bCs/>
                                      <w:color w:val="FFFFFF"/>
                                      <w:sz w:val="21"/>
                                      <w:szCs w:val="21"/>
                                    </w:rPr>
                                    <w:t>21幢</w:t>
                                  </w:r>
                                </w:p>
                              </w:txbxContent>
                            </wps:txbx>
                            <wps:bodyPr rot="0" vert="horz" wrap="square" lIns="91440" tIns="45720" rIns="91440" bIns="45720" anchor="t" anchorCtr="0" upright="1">
                              <a:noAutofit/>
                            </wps:bodyPr>
                          </wps:wsp>
                        </a:graphicData>
                      </a:graphic>
                    </wp:anchor>
                  </w:drawing>
                </mc:Choice>
                <mc:Fallback>
                  <w:pict>
                    <v:shape id="文本框 530" o:spid="_x0000_s1026" o:spt="202" type="#_x0000_t202" style="position:absolute;left:0pt;margin-left:242.65pt;margin-top:54.65pt;height:22.55pt;width:47.25pt;z-index:251638784;mso-width-relative:page;mso-height-relative:page;" filled="f" stroked="f" coordsize="21600,21600" o:gfxdata="UEsDBAoAAAAAAIdO4kAAAAAAAAAAAAAAAAAEAAAAZHJzL1BLAwQUAAAACACHTuJAkz9wdNcAAAAL&#10;AQAADwAAAGRycy9kb3ducmV2LnhtbE2PQU/DMAyF70j8h8hI3FgyaLe1NN0BxJWJDSZxyxqvrWic&#10;qsnW8u/xTuxm+z09f69YT64TZxxC60nDfKZAIFXetlRr+Ny9PaxAhGjIms4TavjFAOvy9qYwufUj&#10;feB5G2vBIRRyo6GJsc+lDFWDzoSZ75FYO/rBmcjrUEs7mJHDXScflVpIZ1riD43p8aXB6md7chq+&#10;3o/f+0Rt6leX9qOflCSXSa3v7+bqGUTEKf6b4YLP6FAy08GfyAbRaUhW6RNbWVAZD+xIlxmXOfAl&#10;TRKQZSGvO5R/UEsDBBQAAAAIAIdO4kCJcGwgGwIAABgEAAAOAAAAZHJzL2Uyb0RvYy54bWytU0tu&#10;2zAQ3RfoHQjua8mOfxUsB2mMFAXSD5D2ADRFWUQlDjukLbkHaG/QVTfd91w+R4eU47jpJotuCJIz&#10;fPPem+HismtqtlPoNJicDwcpZ8pIKLTZ5PzTx5sXc86cF6YQNRiV871y/HL5/NmitZkaQQV1oZAR&#10;iHFZa3NeeW+zJHGyUo1wA7DKULAEbISnI26SAkVL6E2djNJ0mrSAhUWQyjm6XfVBfkTEpwBCWWqp&#10;ViC3jTK+R0VVC0+SXKWt48vItiyV9O/L0inP6pyTUh9XKkL7dViT5UJkGxS20vJIQTyFwiNNjdCG&#10;ip6gVsILtkX9D1SjJYKD0g8kNEkvJDpCKobpI2/uKmFV1EJWO3sy3f0/WPlu9wGZLnI+G844M6Kh&#10;lh9+fD/8/H349Y1NLqJFrXUZZd5ZyvXdK+hocKJcZ29BfnbMwHUlzEZdIUJbKVEQxWEwNzl7Gpri&#10;MhdA1u1bKKiS2HqIQF2JTfCPHGGETu3Zn9qjOs8kXU7TNJ1NOJMUGs2nF/NJrCCy+8cWnX+toGFh&#10;k3Ok7kdwsbt1PpAR2X1KqGXgRtd1nIDa/HVBieEmkg98e+a+W3eUHUSsodiTDIR+oOg70aYC/MpZ&#10;S8OUc/dlK1BxVr8xZMXL4Xgcpi8expPZiA54HlmfR4SRBJVzz1m/vfb9xG4t6k1FlXrzDVyRfaWO&#10;0h5YHXnTwETFx+EOE3l+jlkPH3r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M/cHTXAAAACwEA&#10;AA8AAAAAAAAAAQAgAAAAIgAAAGRycy9kb3ducmV2LnhtbFBLAQIUABQAAAAIAIdO4kCJcGwgGwIA&#10;ABgEAAAOAAAAAAAAAAEAIAAAACYBAABkcnMvZTJvRG9jLnhtbFBLBQYAAAAABgAGAFkBAACzBQAA&#10;AAA=&#10;">
                      <v:fill on="f" focussize="0,0"/>
                      <v:stroke on="f"/>
                      <v:imagedata o:title=""/>
                      <o:lock v:ext="edit" aspectratio="f"/>
                      <v:textbox>
                        <w:txbxContent>
                          <w:p>
                            <w:pPr>
                              <w:spacing w:line="240" w:lineRule="auto"/>
                              <w:ind w:firstLine="0" w:firstLineChars="0"/>
                              <w:jc w:val="center"/>
                              <w:rPr>
                                <w:b/>
                                <w:bCs/>
                                <w:color w:val="FFFFFF"/>
                                <w:sz w:val="21"/>
                                <w:szCs w:val="21"/>
                              </w:rPr>
                            </w:pPr>
                            <w:r>
                              <w:rPr>
                                <w:b/>
                                <w:bCs/>
                                <w:color w:val="FFFFFF"/>
                                <w:sz w:val="21"/>
                                <w:szCs w:val="21"/>
                              </w:rPr>
                              <w:t>21幢</w:t>
                            </w:r>
                          </w:p>
                        </w:txbxContent>
                      </v:textbox>
                    </v:shape>
                  </w:pict>
                </mc:Fallback>
              </mc:AlternateContent>
            </w:r>
            <w:r>
              <mc:AlternateContent>
                <mc:Choice Requires="wps">
                  <w:drawing>
                    <wp:anchor distT="0" distB="0" distL="114300" distR="114300" simplePos="0" relativeHeight="251635712" behindDoc="0" locked="0" layoutInCell="1" allowOverlap="1">
                      <wp:simplePos x="0" y="0"/>
                      <wp:positionH relativeFrom="column">
                        <wp:posOffset>3253105</wp:posOffset>
                      </wp:positionH>
                      <wp:positionV relativeFrom="paragraph">
                        <wp:posOffset>1227455</wp:posOffset>
                      </wp:positionV>
                      <wp:extent cx="600075" cy="286385"/>
                      <wp:effectExtent l="0" t="0" r="4445" b="635"/>
                      <wp:wrapNone/>
                      <wp:docPr id="716" name="文本框 527"/>
                      <wp:cNvGraphicFramePr/>
                      <a:graphic xmlns:a="http://schemas.openxmlformats.org/drawingml/2006/main">
                        <a:graphicData uri="http://schemas.microsoft.com/office/word/2010/wordprocessingShape">
                          <wps:wsp>
                            <wps:cNvSpPr txBox="1">
                              <a:spLocks noChangeArrowheads="1"/>
                            </wps:cNvSpPr>
                            <wps:spPr bwMode="auto">
                              <a:xfrm>
                                <a:off x="0" y="0"/>
                                <a:ext cx="600075" cy="286385"/>
                              </a:xfrm>
                              <a:prstGeom prst="rect">
                                <a:avLst/>
                              </a:prstGeom>
                              <a:noFill/>
                              <a:ln>
                                <a:noFill/>
                              </a:ln>
                            </wps:spPr>
                            <wps:txbx>
                              <w:txbxContent>
                                <w:p>
                                  <w:pPr>
                                    <w:spacing w:line="240" w:lineRule="auto"/>
                                    <w:ind w:firstLine="0" w:firstLineChars="0"/>
                                    <w:jc w:val="center"/>
                                    <w:rPr>
                                      <w:b/>
                                      <w:bCs/>
                                      <w:color w:val="FFFFFF"/>
                                      <w:sz w:val="21"/>
                                      <w:szCs w:val="21"/>
                                    </w:rPr>
                                  </w:pPr>
                                  <w:r>
                                    <w:rPr>
                                      <w:b/>
                                      <w:bCs/>
                                      <w:color w:val="FFFFFF"/>
                                      <w:sz w:val="21"/>
                                      <w:szCs w:val="21"/>
                                    </w:rPr>
                                    <w:t>19幢</w:t>
                                  </w:r>
                                </w:p>
                              </w:txbxContent>
                            </wps:txbx>
                            <wps:bodyPr rot="0" vert="horz" wrap="square" lIns="91440" tIns="45720" rIns="91440" bIns="45720" anchor="t" anchorCtr="0" upright="1">
                              <a:noAutofit/>
                            </wps:bodyPr>
                          </wps:wsp>
                        </a:graphicData>
                      </a:graphic>
                    </wp:anchor>
                  </w:drawing>
                </mc:Choice>
                <mc:Fallback>
                  <w:pict>
                    <v:shape id="文本框 527" o:spid="_x0000_s1026" o:spt="202" type="#_x0000_t202" style="position:absolute;left:0pt;margin-left:256.15pt;margin-top:96.65pt;height:22.55pt;width:47.25pt;z-index:251635712;mso-width-relative:page;mso-height-relative:page;" filled="f" stroked="f" coordsize="21600,21600" o:gfxdata="UEsDBAoAAAAAAIdO4kAAAAAAAAAAAAAAAAAEAAAAZHJzL1BLAwQUAAAACACHTuJAjzjp89gAAAAL&#10;AQAADwAAAGRycy9kb3ducmV2LnhtbE2PwU7DMBBE70j8g7VI3KidpI3aNE4PIK4gWkDi5sbbJGq8&#10;jmK3CX/PcoLbjuZpdqbcza4XVxxD50lDslAgkGpvO2o0vB+eH9YgQjRkTe8JNXxjgF11e1OawvqJ&#10;3vC6j43gEAqF0dDGOBRShrpFZ8LCD0jsnfzoTGQ5NtKOZuJw18tUqVw60xF/aM2Ajy3W5/3Fafh4&#10;OX19LtVr8+RWw+RnJcltpNb3d4nagog4xz8Yfutzdai409FfyAbRa1glacYoG5uMDyZylfOYo4Y0&#10;Wy9BVqX8v6H6AVBLAwQUAAAACACHTuJAtlV9GhoCAAAYBAAADgAAAGRycy9lMm9Eb2MueG1srVPL&#10;jtMwFN0j8Q+W9zRp6Yuo6WiYahDSACMNfIDrOI1F4muu3SblA+APWLFhP9/V7+Da6ZQybGbBJrJ9&#10;r8895/hkcdE1NdspdBpMzoeDlDNlJBTabHL+6eP1izlnzgtTiBqMyvleOX6xfP5s0dpMjaCCulDI&#10;CMS4rLU5r7y3WZI4WalGuAFYZahYAjbC0xY3SYGiJfSmTkZpOk1awMIiSOUcna76Ij8i4lMAoSy1&#10;VCuQ20YZ36OiqoUnSa7S1vFlZFuWSvoPZemUZ3XOSamPXxpC63X4JsuFyDYobKXlkYJ4CoVHmhqh&#10;DQ09Qa2EF2yL+h+oRksEB6UfSGiSXkh0hFQM00fe3FXCqqiFrHb2ZLr7f7Dy/e4WmS5yPhtOOTOi&#10;oSc//Ph++Hl/+PWNTUazYFFrXUadd5Z6ffcaOgpOlOvsDcjPjhm4qoTZqEtEaCslCqI4DDeTs6s9&#10;jgsg6/YdFDRJbD1EoK7EJvhHjjBCp+fZn55HdZ5JOpymaTqbcCapNJpPX84ncYLIHi5bdP6NgoaF&#10;Rc6RXj+Ci92N84GMyB5awiwD17quYwJq89cBNYaTSD7w7Zn7bt0dzVhDsScZCH2g6HeiRQX4lbOW&#10;wpRz92UrUHFWvzVkxavheBzSFzfjyWxEGzyvrM8rwkiCyrnnrF9e+T6xW4t6U9Gk3nwDl2RfqaO0&#10;4HPP6sibAhMVH8MdEnm+j11/fuj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846fPYAAAACwEA&#10;AA8AAAAAAAAAAQAgAAAAIgAAAGRycy9kb3ducmV2LnhtbFBLAQIUABQAAAAIAIdO4kC2VX0aGgIA&#10;ABgEAAAOAAAAAAAAAAEAIAAAACcBAABkcnMvZTJvRG9jLnhtbFBLBQYAAAAABgAGAFkBAACzBQAA&#10;AAA=&#10;">
                      <v:fill on="f" focussize="0,0"/>
                      <v:stroke on="f"/>
                      <v:imagedata o:title=""/>
                      <o:lock v:ext="edit" aspectratio="f"/>
                      <v:textbox>
                        <w:txbxContent>
                          <w:p>
                            <w:pPr>
                              <w:spacing w:line="240" w:lineRule="auto"/>
                              <w:ind w:firstLine="0" w:firstLineChars="0"/>
                              <w:jc w:val="center"/>
                              <w:rPr>
                                <w:b/>
                                <w:bCs/>
                                <w:color w:val="FFFFFF"/>
                                <w:sz w:val="21"/>
                                <w:szCs w:val="21"/>
                              </w:rPr>
                            </w:pPr>
                            <w:r>
                              <w:rPr>
                                <w:b/>
                                <w:bCs/>
                                <w:color w:val="FFFFFF"/>
                                <w:sz w:val="21"/>
                                <w:szCs w:val="21"/>
                              </w:rPr>
                              <w:t>19幢</w:t>
                            </w:r>
                          </w:p>
                        </w:txbxContent>
                      </v:textbox>
                    </v:shape>
                  </w:pict>
                </mc:Fallback>
              </mc:AlternateContent>
            </w:r>
            <w:r>
              <mc:AlternateContent>
                <mc:Choice Requires="wps">
                  <w:drawing>
                    <wp:anchor distT="0" distB="0" distL="114300" distR="114300" simplePos="0" relativeHeight="251632640" behindDoc="0" locked="0" layoutInCell="1" allowOverlap="1">
                      <wp:simplePos x="0" y="0"/>
                      <wp:positionH relativeFrom="column">
                        <wp:posOffset>2376805</wp:posOffset>
                      </wp:positionH>
                      <wp:positionV relativeFrom="paragraph">
                        <wp:posOffset>1246505</wp:posOffset>
                      </wp:positionV>
                      <wp:extent cx="600075" cy="447675"/>
                      <wp:effectExtent l="0" t="0" r="4445" b="1270"/>
                      <wp:wrapNone/>
                      <wp:docPr id="715" name="文本框 523"/>
                      <wp:cNvGraphicFramePr/>
                      <a:graphic xmlns:a="http://schemas.openxmlformats.org/drawingml/2006/main">
                        <a:graphicData uri="http://schemas.microsoft.com/office/word/2010/wordprocessingShape">
                          <wps:wsp>
                            <wps:cNvSpPr txBox="1">
                              <a:spLocks noChangeArrowheads="1"/>
                            </wps:cNvSpPr>
                            <wps:spPr bwMode="auto">
                              <a:xfrm>
                                <a:off x="0" y="0"/>
                                <a:ext cx="600075" cy="447675"/>
                              </a:xfrm>
                              <a:prstGeom prst="rect">
                                <a:avLst/>
                              </a:prstGeom>
                              <a:noFill/>
                              <a:ln>
                                <a:noFill/>
                              </a:ln>
                            </wps:spPr>
                            <wps:txbx>
                              <w:txbxContent>
                                <w:p>
                                  <w:pPr>
                                    <w:spacing w:line="240" w:lineRule="auto"/>
                                    <w:ind w:firstLine="0" w:firstLineChars="0"/>
                                    <w:jc w:val="center"/>
                                    <w:rPr>
                                      <w:rFonts w:ascii="宋体" w:hAnsi="宋体" w:cs="宋体"/>
                                      <w:b/>
                                      <w:bCs/>
                                      <w:color w:val="FF0000"/>
                                      <w:sz w:val="21"/>
                                      <w:szCs w:val="21"/>
                                    </w:rPr>
                                  </w:pPr>
                                  <w:r>
                                    <w:rPr>
                                      <w:rFonts w:hint="eastAsia" w:ascii="宋体" w:hAnsi="宋体" w:cs="宋体"/>
                                      <w:b/>
                                      <w:bCs/>
                                      <w:color w:val="FF0000"/>
                                      <w:sz w:val="21"/>
                                      <w:szCs w:val="21"/>
                                    </w:rPr>
                                    <w:t>本项目位置</w:t>
                                  </w:r>
                                </w:p>
                              </w:txbxContent>
                            </wps:txbx>
                            <wps:bodyPr rot="0" vert="horz" wrap="square" lIns="91440" tIns="45720" rIns="91440" bIns="45720" anchor="t" anchorCtr="0" upright="1">
                              <a:noAutofit/>
                            </wps:bodyPr>
                          </wps:wsp>
                        </a:graphicData>
                      </a:graphic>
                    </wp:anchor>
                  </w:drawing>
                </mc:Choice>
                <mc:Fallback>
                  <w:pict>
                    <v:shape id="文本框 523" o:spid="_x0000_s1026" o:spt="202" type="#_x0000_t202" style="position:absolute;left:0pt;margin-left:187.15pt;margin-top:98.15pt;height:35.25pt;width:47.25pt;z-index:251632640;mso-width-relative:page;mso-height-relative:page;" filled="f" stroked="f" coordsize="21600,21600" o:gfxdata="UEsDBAoAAAAAAIdO4kAAAAAAAAAAAAAAAAAEAAAAZHJzL1BLAwQUAAAACACHTuJAldMCTtgAAAAL&#10;AQAADwAAAGRycy9kb3ducmV2LnhtbE2PzU7DMBCE70i8g7VI3KjdNpg0xOkBxBVE+ZG4ufE2iYjX&#10;Uew24e1ZTvS2o/k0O1NuZ9+LE46xC2RguVAgkOrgOmoMvL893eQgYrLkbB8IDfxghG11eVHawoWJ&#10;XvG0S43gEIqFNdCmNBRSxrpFb+MiDEjsHcLobWI5NtKNduJw38uVUlp62xF/aO2ADy3W37ujN/Dx&#10;fPj6zNRL8+hvhynMSpLfSGOur5bqHkTCOf3D8Fefq0PFnfbhSC6K3sD6LlszysZG88FEpnMeszew&#10;0joHWZXyfEP1C1BLAwQUAAAACACHTuJAYBkjkhgCAAAYBAAADgAAAGRycy9lMm9Eb2MueG1srVPN&#10;jtMwEL4j8Q6W7zRJ6Q9ETVfLVouQlh9p4QFcx2ksEo8Zu03KA8AbcOLCnefqczB2ut2yXPbAJRrP&#10;jL/5vs+TxUXfNmyn0GkwBc9GKWfKSCi12RT808frZy84c16YUjRgVMH3yvGL5dMni87magw1NKVC&#10;RiDG5Z0teO29zZPEyVq1wo3AKkPFCrAVno64SUoUHaG3TTJO01nSAZYWQSrnKLsaivyIiI8BhKrS&#10;Uq1Abltl/ICKqhGeJLlaW8eXkW1VKenfV5VTnjUFJ6U+fmkIxevwTZYLkW9Q2FrLIwXxGAoPNLVC&#10;Gxp6gloJL9gW9T9QrZYIDio/ktAmg5DoCKnI0gfe3NbCqqiFrHb2ZLr7f7Dy3e4DMl0WfJ5NOTOi&#10;pSc//Ph++Pn78Osbm46fB4s663LqvLXU6/tX0NPiRLnO3oD87JiBq1qYjbpEhK5WoiSKWbiZnF0d&#10;cFwAWXdvoaRJYushAvUVtsE/coQROj3P/vQ8qvdMUnKWpumcSEoqTSbzGcVhgsjvLlt0/rWCloWg&#10;4EivH8HF7sb5ofWuJcwycK2bhvIib8xfCcIMmUg+8B2Y+37dU3dQtIZyTzIQhoWi34mCGvArZx0t&#10;U8Hdl61AxVnzxpAVL7PJJGxfPEym8zEd8LyyPq8IIwmq4J6zIbzyw8ZuLepNTZMG8w1ckn2VjtLu&#10;WR1508JEc47LHTby/By77n/o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V0wJO2AAAAAsBAAAP&#10;AAAAAAAAAAEAIAAAACIAAABkcnMvZG93bnJldi54bWxQSwECFAAUAAAACACHTuJAYBkjkhgCAAAY&#10;BAAADgAAAAAAAAABACAAAAAnAQAAZHJzL2Uyb0RvYy54bWxQSwUGAAAAAAYABgBZAQAAsQUAAAAA&#10;">
                      <v:fill on="f" focussize="0,0"/>
                      <v:stroke on="f"/>
                      <v:imagedata o:title=""/>
                      <o:lock v:ext="edit" aspectratio="f"/>
                      <v:textbox>
                        <w:txbxContent>
                          <w:p>
                            <w:pPr>
                              <w:spacing w:line="240" w:lineRule="auto"/>
                              <w:ind w:firstLine="0" w:firstLineChars="0"/>
                              <w:jc w:val="center"/>
                              <w:rPr>
                                <w:rFonts w:ascii="宋体" w:hAnsi="宋体" w:cs="宋体"/>
                                <w:b/>
                                <w:bCs/>
                                <w:color w:val="FF0000"/>
                                <w:sz w:val="21"/>
                                <w:szCs w:val="21"/>
                              </w:rPr>
                            </w:pPr>
                            <w:r>
                              <w:rPr>
                                <w:rFonts w:hint="eastAsia" w:ascii="宋体" w:hAnsi="宋体" w:cs="宋体"/>
                                <w:b/>
                                <w:bCs/>
                                <w:color w:val="FF0000"/>
                                <w:sz w:val="21"/>
                                <w:szCs w:val="21"/>
                              </w:rPr>
                              <w:t>本项目位置</w:t>
                            </w:r>
                          </w:p>
                        </w:txbxContent>
                      </v:textbox>
                    </v:shape>
                  </w:pict>
                </mc:Fallback>
              </mc:AlternateContent>
            </w:r>
            <w:r>
              <mc:AlternateContent>
                <mc:Choice Requires="wps">
                  <w:drawing>
                    <wp:anchor distT="0" distB="0" distL="114300" distR="114300" simplePos="0" relativeHeight="251631616" behindDoc="0" locked="0" layoutInCell="1" allowOverlap="1">
                      <wp:simplePos x="0" y="0"/>
                      <wp:positionH relativeFrom="column">
                        <wp:posOffset>2436495</wp:posOffset>
                      </wp:positionH>
                      <wp:positionV relativeFrom="paragraph">
                        <wp:posOffset>1283970</wp:posOffset>
                      </wp:positionV>
                      <wp:extent cx="481330" cy="354330"/>
                      <wp:effectExtent l="55245" t="64770" r="53975" b="66675"/>
                      <wp:wrapNone/>
                      <wp:docPr id="714" name="矩形 522"/>
                      <wp:cNvGraphicFramePr/>
                      <a:graphic xmlns:a="http://schemas.openxmlformats.org/drawingml/2006/main">
                        <a:graphicData uri="http://schemas.microsoft.com/office/word/2010/wordprocessingShape">
                          <wps:wsp>
                            <wps:cNvSpPr>
                              <a:spLocks noChangeArrowheads="1"/>
                            </wps:cNvSpPr>
                            <wps:spPr bwMode="auto">
                              <a:xfrm rot="-420000">
                                <a:off x="0" y="0"/>
                                <a:ext cx="481330" cy="354330"/>
                              </a:xfrm>
                              <a:prstGeom prst="rect">
                                <a:avLst/>
                              </a:prstGeom>
                              <a:noFill/>
                              <a:ln w="28575" cmpd="sng">
                                <a:solidFill>
                                  <a:srgbClr val="FF0000"/>
                                </a:solidFill>
                                <a:miter lim="800000"/>
                              </a:ln>
                            </wps:spPr>
                            <wps:bodyPr rot="0" vert="horz" wrap="square" lIns="91440" tIns="45720" rIns="91440" bIns="45720" anchor="t" anchorCtr="0" upright="1">
                              <a:noAutofit/>
                            </wps:bodyPr>
                          </wps:wsp>
                        </a:graphicData>
                      </a:graphic>
                    </wp:anchor>
                  </w:drawing>
                </mc:Choice>
                <mc:Fallback>
                  <w:pict>
                    <v:rect id="矩形 522" o:spid="_x0000_s1026" o:spt="1" style="position:absolute;left:0pt;margin-left:191.85pt;margin-top:101.1pt;height:27.9pt;width:37.9pt;rotation:-458752f;z-index:251631616;mso-width-relative:page;mso-height-relative:page;" filled="f" stroked="t" coordsize="21600,21600" o:gfxdata="UEsDBAoAAAAAAIdO4kAAAAAAAAAAAAAAAAAEAAAAZHJzL1BLAwQUAAAACACHTuJAVtpyndoAAAAL&#10;AQAADwAAAGRycy9kb3ducmV2LnhtbE2PPW/CMBCG90r9D9ZV6lZsQgMmjcNQlW4VgpaBzcTXJMIf&#10;UWwI/Ptep3a8u0fvPW+5ujrLLjjELngF04kAhr4OpvONgq/P9ZMEFpP2RtvgUcENI6yq+7tSFyaM&#10;fouXXWoYhfhYaAVtSn3BeaxbdDpOQo+ebt9hcDrRODTcDHqkcGd5JsScO915+tDqHl9brE+7s1Ng&#10;u7ePxfx02N5Qju9rt5Gb5T4q9fgwFS/AEl7THwy/+qQOFTkdw9mbyKyCmZwtCFWQiSwDRsRzvsyB&#10;HWmTSwG8Kvn/DtUPUEsDBBQAAAAIAIdO4kA2ECL7RAIAAGMEAAAOAAAAZHJzL2Uyb0RvYy54bWyt&#10;VMFuEzEQvSPxD5bv7SbphoZVN1XVKgipQKXCBzhe766F7TFjJ5vyM0jc+Ag+B/EbjL1paMulBy4r&#10;j2f8/N6b8Z6d76xhW4VBg6v59HjCmXISGu26mn/6uDpacBaicI0w4FTN71Tg58uXL84GX6kZ9GAa&#10;hYxAXKgGX/M+Rl8VRZC9siIcg1eOki2gFZFC7IoGxUDo1hSzyeRVMQA2HkGqEGj3akzyPSI+BxDa&#10;Vkt1BXJjlYsjKiojIkkKvfaBLzPbtlUyfmjboCIzNSelMX/pElqv07dYnomqQ+F7LfcUxHMoPNFk&#10;hXZ06QHqSkTBNqj/gbJaIgRo47EEW4xCsiOkYjp54s1tL7zKWsjq4A+mh/8HK99vb5Dppuan05Iz&#10;Jyy1/Pe3H79+fmfz2Sz5M/hQUdmtv8GkMPhrkJ8Dc3DZC9epC0QYeiUaYjVN9cWjAykIdJSth3fQ&#10;ELjYRMhW7Vq0DIFaclTSYEwmeZcsYbvcn7tDf9QuMkmb5WJ6ckKdk5Q6mZdpne4TVYJK3DyG+EaB&#10;ZWlRc6T2Z1CxvQ5xLL0vSeUOVtoY2heVcWyo+WwxP50TvvVkSHBdPhzA6CYVZvXYrS8Nsq2ggVqt&#10;Mu0R+FGZ1ZEeidG25otUc0/UuL0/yZLR2jU0d2RPNoK00csk5j3gV84Gmkvi8WUjUHFm3jqy+PW0&#10;LNMg56Ccn84owIeZ9cOMcJKgah45G5eXcRz+jUfd9XTTNGt0cEFtaXU2KbVsZLUnS7OXbd6/kzTc&#10;D+Nc9fffsP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tpyndoAAAALAQAADwAAAAAAAAABACAA&#10;AAAiAAAAZHJzL2Rvd25yZXYueG1sUEsBAhQAFAAAAAgAh07iQDYQIvtEAgAAYwQAAA4AAAAAAAAA&#10;AQAgAAAAKQEAAGRycy9lMm9Eb2MueG1sUEsFBgAAAAAGAAYAWQEAAN8FAAAAAA==&#10;">
                      <v:fill on="f" focussize="0,0"/>
                      <v:stroke weight="2.25pt" color="#FF0000" miterlimit="8" joinstyle="miter"/>
                      <v:imagedata o:title=""/>
                      <o:lock v:ext="edit" aspectratio="f"/>
                    </v:rect>
                  </w:pict>
                </mc:Fallback>
              </mc:AlternateContent>
            </w:r>
            <w:r>
              <mc:AlternateContent>
                <mc:Choice Requires="wps">
                  <w:drawing>
                    <wp:anchor distT="0" distB="0" distL="114300" distR="114300" simplePos="0" relativeHeight="251639808" behindDoc="0" locked="0" layoutInCell="1" allowOverlap="1">
                      <wp:simplePos x="0" y="0"/>
                      <wp:positionH relativeFrom="column">
                        <wp:posOffset>3281680</wp:posOffset>
                      </wp:positionH>
                      <wp:positionV relativeFrom="paragraph">
                        <wp:posOffset>1675130</wp:posOffset>
                      </wp:positionV>
                      <wp:extent cx="628650" cy="495935"/>
                      <wp:effectExtent l="0" t="0" r="4445" b="635"/>
                      <wp:wrapNone/>
                      <wp:docPr id="713" name="文本框 531"/>
                      <wp:cNvGraphicFramePr/>
                      <a:graphic xmlns:a="http://schemas.openxmlformats.org/drawingml/2006/main">
                        <a:graphicData uri="http://schemas.microsoft.com/office/word/2010/wordprocessingShape">
                          <wps:wsp>
                            <wps:cNvSpPr txBox="1">
                              <a:spLocks noChangeArrowheads="1"/>
                            </wps:cNvSpPr>
                            <wps:spPr bwMode="auto">
                              <a:xfrm>
                                <a:off x="0" y="0"/>
                                <a:ext cx="628650" cy="495935"/>
                              </a:xfrm>
                              <a:prstGeom prst="rect">
                                <a:avLst/>
                              </a:prstGeom>
                              <a:noFill/>
                              <a:ln>
                                <a:noFill/>
                              </a:ln>
                            </wps:spPr>
                            <wps:txbx>
                              <w:txbxContent>
                                <w:p>
                                  <w:pPr>
                                    <w:spacing w:line="240" w:lineRule="auto"/>
                                    <w:ind w:firstLine="0" w:firstLineChars="0"/>
                                    <w:jc w:val="center"/>
                                    <w:rPr>
                                      <w:b/>
                                      <w:bCs/>
                                      <w:color w:val="FFFFFF"/>
                                      <w:sz w:val="21"/>
                                      <w:szCs w:val="21"/>
                                    </w:rPr>
                                  </w:pPr>
                                  <w:r>
                                    <w:rPr>
                                      <w:b/>
                                      <w:bCs/>
                                      <w:color w:val="FFFFFF"/>
                                      <w:sz w:val="21"/>
                                      <w:szCs w:val="21"/>
                                    </w:rPr>
                                    <w:t>17幢</w:t>
                                  </w:r>
                                </w:p>
                                <w:p>
                                  <w:pPr>
                                    <w:spacing w:line="240" w:lineRule="auto"/>
                                    <w:ind w:firstLine="0" w:firstLineChars="0"/>
                                    <w:jc w:val="center"/>
                                    <w:rPr>
                                      <w:b/>
                                      <w:bCs/>
                                      <w:color w:val="FFFFFF"/>
                                      <w:sz w:val="21"/>
                                      <w:szCs w:val="21"/>
                                    </w:rPr>
                                  </w:pPr>
                                  <w:r>
                                    <w:rPr>
                                      <w:b/>
                                      <w:bCs/>
                                      <w:color w:val="FFFFFF"/>
                                      <w:sz w:val="21"/>
                                      <w:szCs w:val="21"/>
                                    </w:rPr>
                                    <w:t>1号</w:t>
                                  </w:r>
                                </w:p>
                              </w:txbxContent>
                            </wps:txbx>
                            <wps:bodyPr rot="0" vert="horz" wrap="square" lIns="91440" tIns="45720" rIns="91440" bIns="45720" anchor="t" anchorCtr="0" upright="1">
                              <a:noAutofit/>
                            </wps:bodyPr>
                          </wps:wsp>
                        </a:graphicData>
                      </a:graphic>
                    </wp:anchor>
                  </w:drawing>
                </mc:Choice>
                <mc:Fallback>
                  <w:pict>
                    <v:shape id="文本框 531" o:spid="_x0000_s1026" o:spt="202" type="#_x0000_t202" style="position:absolute;left:0pt;margin-left:258.4pt;margin-top:131.9pt;height:39.05pt;width:49.5pt;z-index:251639808;mso-width-relative:page;mso-height-relative:page;" filled="f" stroked="f" coordsize="21600,21600" o:gfxdata="UEsDBAoAAAAAAIdO4kAAAAAAAAAAAAAAAAAEAAAAZHJzL1BLAwQUAAAACACHTuJAwTnW6tgAAAAL&#10;AQAADwAAAGRycy9kb3ducmV2LnhtbE2PzU7DMBCE70i8g7VI3KjttoloiNMDiGsR5Ufi5sbbJCJe&#10;R7HbpG/PcoLbrGY08225nX0vzjjGLpABvVAgkOrgOmoMvL89392DiMmSs30gNHDBCNvq+qq0hQsT&#10;veJ5nxrBJRQLa6BNaSikjHWL3sZFGJDYO4bR28Tn2Eg32onLfS+XSuXS2454obUDPrZYf+9P3sDH&#10;7vj1uVYvzZPPhinMSpLfSGNub7R6AJFwTn9h+MVndKiY6RBO5KLoDWQ6Z/RkYJmvWHAi1xmLg4HV&#10;Wm9AVqX8/0P1A1BLAwQUAAAACACHTuJA/uzWQxgCAAAYBAAADgAAAGRycy9lMm9Eb2MueG1srVNL&#10;btswEN0X6B0I7mv5n1iwHKQxUhRIP0DaA9AUZRGVOOyQtuQeoL1BV91033P5HB1Siuummyy6EUjO&#10;8M17j0/Lq7au2F6h02AyPhoMOVNGQq7NNuMfP9y+uOTMeWFyUYFRGT8ox69Wz58tG5uqMZRQ5QoZ&#10;gRiXNjbjpfc2TRInS1ULNwCrDBULwFp42uI2yVE0hF5XyXg4nCcNYG4RpHKOTtddkfeI+BRAKAot&#10;1RrkrlbGd6ioKuFJkiu1dXwV2RaFkv5dUTjlWZVxUurjl4bQehO+yWop0i0KW2rZUxBPofBIUy20&#10;oaEnqLXwgu1Q/wNVa4ngoPADCXXSCYmOkIrR8JE396WwKmohq509me7+H6x8u3+PTOcZvxhNODOi&#10;pic/fv92/PHr+PMrm01GwaLGupQ67y31+vYltBScKNfZO5CfHDNwUwqzVdeI0JRK5EQx3kzOrnY4&#10;LoBsmjeQ0ySx8xCB2gLr4B85wgidnudweh7VeibpcD6+nM+oIqk0XcwWk1ngloj04bJF518pqFlY&#10;ZBzp9SO42N8537U+tIRZBm51VcUEVOavA8IMJ5F84Nsx9+2m7c3YQH4gGQhdoOh3okUJ+IWzhsKU&#10;cfd5J1BxVr02ZMViNJ2G9MXNdHYxpg2eVzbnFWEkQWXcc9Ytb3yX2J1FvS1pUme+gWuyr9BRWvC5&#10;Y9XzpsBEc/pwh0Se72PXnx969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Odbq2AAAAAsBAAAP&#10;AAAAAAAAAAEAIAAAACIAAABkcnMvZG93bnJldi54bWxQSwECFAAUAAAACACHTuJA/uzWQxgCAAAY&#10;BAAADgAAAAAAAAABACAAAAAnAQAAZHJzL2Uyb0RvYy54bWxQSwUGAAAAAAYABgBZAQAAsQUAAAAA&#10;">
                      <v:fill on="f" focussize="0,0"/>
                      <v:stroke on="f"/>
                      <v:imagedata o:title=""/>
                      <o:lock v:ext="edit" aspectratio="f"/>
                      <v:textbox>
                        <w:txbxContent>
                          <w:p>
                            <w:pPr>
                              <w:spacing w:line="240" w:lineRule="auto"/>
                              <w:ind w:firstLine="0" w:firstLineChars="0"/>
                              <w:jc w:val="center"/>
                              <w:rPr>
                                <w:b/>
                                <w:bCs/>
                                <w:color w:val="FFFFFF"/>
                                <w:sz w:val="21"/>
                                <w:szCs w:val="21"/>
                              </w:rPr>
                            </w:pPr>
                            <w:r>
                              <w:rPr>
                                <w:b/>
                                <w:bCs/>
                                <w:color w:val="FFFFFF"/>
                                <w:sz w:val="21"/>
                                <w:szCs w:val="21"/>
                              </w:rPr>
                              <w:t>17幢</w:t>
                            </w:r>
                          </w:p>
                          <w:p>
                            <w:pPr>
                              <w:spacing w:line="240" w:lineRule="auto"/>
                              <w:ind w:firstLine="0" w:firstLineChars="0"/>
                              <w:jc w:val="center"/>
                              <w:rPr>
                                <w:b/>
                                <w:bCs/>
                                <w:color w:val="FFFFFF"/>
                                <w:sz w:val="21"/>
                                <w:szCs w:val="21"/>
                              </w:rPr>
                            </w:pPr>
                            <w:r>
                              <w:rPr>
                                <w:b/>
                                <w:bCs/>
                                <w:color w:val="FFFFFF"/>
                                <w:sz w:val="21"/>
                                <w:szCs w:val="21"/>
                              </w:rPr>
                              <w:t>1号</w:t>
                            </w:r>
                          </w:p>
                        </w:txbxContent>
                      </v:textbox>
                    </v:shape>
                  </w:pict>
                </mc:Fallback>
              </mc:AlternateContent>
            </w:r>
            <w:r>
              <mc:AlternateContent>
                <mc:Choice Requires="wps">
                  <w:drawing>
                    <wp:anchor distT="0" distB="0" distL="114300" distR="114300" simplePos="0" relativeHeight="251636736" behindDoc="0" locked="0" layoutInCell="1" allowOverlap="1">
                      <wp:simplePos x="0" y="0"/>
                      <wp:positionH relativeFrom="column">
                        <wp:posOffset>2710180</wp:posOffset>
                      </wp:positionH>
                      <wp:positionV relativeFrom="paragraph">
                        <wp:posOffset>1722755</wp:posOffset>
                      </wp:positionV>
                      <wp:extent cx="628650" cy="495935"/>
                      <wp:effectExtent l="0" t="0" r="4445" b="635"/>
                      <wp:wrapNone/>
                      <wp:docPr id="712" name="文本框 528"/>
                      <wp:cNvGraphicFramePr/>
                      <a:graphic xmlns:a="http://schemas.openxmlformats.org/drawingml/2006/main">
                        <a:graphicData uri="http://schemas.microsoft.com/office/word/2010/wordprocessingShape">
                          <wps:wsp>
                            <wps:cNvSpPr txBox="1">
                              <a:spLocks noChangeArrowheads="1"/>
                            </wps:cNvSpPr>
                            <wps:spPr bwMode="auto">
                              <a:xfrm>
                                <a:off x="0" y="0"/>
                                <a:ext cx="628650" cy="495935"/>
                              </a:xfrm>
                              <a:prstGeom prst="rect">
                                <a:avLst/>
                              </a:prstGeom>
                              <a:noFill/>
                              <a:ln>
                                <a:noFill/>
                              </a:ln>
                              <a:effectLst/>
                            </wps:spPr>
                            <wps:txbx>
                              <w:txbxContent>
                                <w:p>
                                  <w:pPr>
                                    <w:spacing w:line="240" w:lineRule="auto"/>
                                    <w:ind w:firstLine="0" w:firstLineChars="0"/>
                                    <w:jc w:val="center"/>
                                    <w:rPr>
                                      <w:b/>
                                      <w:bCs/>
                                      <w:color w:val="FFFFFF"/>
                                      <w:sz w:val="21"/>
                                      <w:szCs w:val="21"/>
                                    </w:rPr>
                                  </w:pPr>
                                  <w:r>
                                    <w:rPr>
                                      <w:b/>
                                      <w:bCs/>
                                      <w:color w:val="FFFFFF"/>
                                      <w:sz w:val="21"/>
                                      <w:szCs w:val="21"/>
                                    </w:rPr>
                                    <w:t>17幢</w:t>
                                  </w:r>
                                </w:p>
                                <w:p>
                                  <w:pPr>
                                    <w:spacing w:line="240" w:lineRule="auto"/>
                                    <w:ind w:firstLine="0" w:firstLineChars="0"/>
                                    <w:jc w:val="center"/>
                                    <w:rPr>
                                      <w:b/>
                                      <w:bCs/>
                                      <w:color w:val="FFFFFF"/>
                                      <w:sz w:val="21"/>
                                      <w:szCs w:val="21"/>
                                    </w:rPr>
                                  </w:pPr>
                                  <w:r>
                                    <w:rPr>
                                      <w:b/>
                                      <w:bCs/>
                                      <w:color w:val="FFFFFF"/>
                                      <w:sz w:val="21"/>
                                      <w:szCs w:val="21"/>
                                    </w:rPr>
                                    <w:t>2号</w:t>
                                  </w:r>
                                </w:p>
                              </w:txbxContent>
                            </wps:txbx>
                            <wps:bodyPr rot="0" vert="horz" wrap="square" lIns="91440" tIns="45720" rIns="91440" bIns="45720" anchor="t" anchorCtr="0" upright="1">
                              <a:noAutofit/>
                            </wps:bodyPr>
                          </wps:wsp>
                        </a:graphicData>
                      </a:graphic>
                    </wp:anchor>
                  </w:drawing>
                </mc:Choice>
                <mc:Fallback>
                  <w:pict>
                    <v:shape id="文本框 528" o:spid="_x0000_s1026" o:spt="202" type="#_x0000_t202" style="position:absolute;left:0pt;margin-left:213.4pt;margin-top:135.65pt;height:39.05pt;width:49.5pt;z-index:251636736;mso-width-relative:page;mso-height-relative:page;" filled="f" stroked="f" coordsize="21600,21600" o:gfxdata="UEsDBAoAAAAAAIdO4kAAAAAAAAAAAAAAAAAEAAAAZHJzL1BLAwQUAAAACACHTuJAYh0L1tkAAAAL&#10;AQAADwAAAGRycy9kb3ducmV2LnhtbE2PwU7DMBBE70j8g7VI3KidNCk0xOkBxBVEgUq9ufE2iYjX&#10;Uew24e9ZTvS4s6OZN+Vmdr044xg6TxqShQKBVHvbUaPh8+Pl7gFEiIas6T2hhh8MsKmur0pTWD/R&#10;O563sREcQqEwGtoYh0LKULfoTFj4AYl/Rz86E/kcG2lHM3G462Wq1Eo60xE3tGbApxbr7+3Jafh6&#10;Pe53mXprnl0+TH5Wktxaan17k6hHEBHn+G+GP3xGh4qZDv5ENoheQ5auGD1qSO+TJQh25GnOykHD&#10;MltnIKtSXm6ofgFQSwMEFAAAAAgAh07iQHVZSDEfAgAAJgQAAA4AAABkcnMvZTJvRG9jLnhtbK1T&#10;zY7TMBC+I/EOlu80bWm7bdR0tWy1CGn5kRYewHWcxiLxmLHbpDwA+wacuHDnufocjJ1sKctlD1ws&#10;2zP+Zr5vPi8v27pie4VOg8n4aDDkTBkJuTbbjH/6ePNizpnzwuSiAqMyflCOX66eP1s2NlVjKKHK&#10;FTICMS5tbMZL722aJE6WqhZuAFYZChaAtfB0xG2So2gIva6S8XA4SxrA3CJI5Rzdrrsg7xHxKYBQ&#10;FFqqNchdrYzvUFFVwhMlV2rr+Cp2WxRK+vdF4ZRnVcaJqY8rFaH9JqzJainSLQpbatm3IJ7SwiNO&#10;tdCGip6g1sILtkP9D1StJYKDwg8k1ElHJCpCLEbDR9rclcKqyIWkdvYkuvt/sPLd/gMynWf8YjTm&#10;zIiaRn78fn/88ev48xubjudBosa6lDLvLOX69hW0ZJxI19lbkJ8dM3BdCrNVV4jQlErk1OIovEzO&#10;nnY4LoBsmreQUyWx8xCB2gLroB8pwgidxnM4jUe1nkm6nI3nsylFJIUmi+ni5TRWEOnDY4vOv1ZQ&#10;s7DJONL0I7jY3zofmhHpQ0qoZeBGV1V0QGX+uqDE7kZFC/WvA5XQfcfDt5u2l2YD+YFIIXT2os9F&#10;mxLwK2cNWSvj7stOoOKsemNImMVoMglejIfJ9GJMBzyPbM4jwkiCyrjnrNte+86/O4t6W1KlbhQG&#10;rkjMQkeiodWuq34EZJ/Iv7d68Of5OWb9+d6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IdC9bZ&#10;AAAACwEAAA8AAAAAAAAAAQAgAAAAIgAAAGRycy9kb3ducmV2LnhtbFBLAQIUABQAAAAIAIdO4kB1&#10;WUgxHwIAACYEAAAOAAAAAAAAAAEAIAAAACgBAABkcnMvZTJvRG9jLnhtbFBLBQYAAAAABgAGAFkB&#10;AAC5BQAAAAA=&#10;">
                      <v:fill on="f" focussize="0,0"/>
                      <v:stroke on="f"/>
                      <v:imagedata o:title=""/>
                      <o:lock v:ext="edit" aspectratio="f"/>
                      <v:textbox>
                        <w:txbxContent>
                          <w:p>
                            <w:pPr>
                              <w:spacing w:line="240" w:lineRule="auto"/>
                              <w:ind w:firstLine="0" w:firstLineChars="0"/>
                              <w:jc w:val="center"/>
                              <w:rPr>
                                <w:b/>
                                <w:bCs/>
                                <w:color w:val="FFFFFF"/>
                                <w:sz w:val="21"/>
                                <w:szCs w:val="21"/>
                              </w:rPr>
                            </w:pPr>
                            <w:r>
                              <w:rPr>
                                <w:b/>
                                <w:bCs/>
                                <w:color w:val="FFFFFF"/>
                                <w:sz w:val="21"/>
                                <w:szCs w:val="21"/>
                              </w:rPr>
                              <w:t>17幢</w:t>
                            </w:r>
                          </w:p>
                          <w:p>
                            <w:pPr>
                              <w:spacing w:line="240" w:lineRule="auto"/>
                              <w:ind w:firstLine="0" w:firstLineChars="0"/>
                              <w:jc w:val="center"/>
                              <w:rPr>
                                <w:b/>
                                <w:bCs/>
                                <w:color w:val="FFFFFF"/>
                                <w:sz w:val="21"/>
                                <w:szCs w:val="21"/>
                              </w:rPr>
                            </w:pPr>
                            <w:r>
                              <w:rPr>
                                <w:b/>
                                <w:bCs/>
                                <w:color w:val="FFFFFF"/>
                                <w:sz w:val="21"/>
                                <w:szCs w:val="21"/>
                              </w:rPr>
                              <w:t>2号</w:t>
                            </w:r>
                          </w:p>
                        </w:txbxContent>
                      </v:textbox>
                    </v:shape>
                  </w:pict>
                </mc:Fallback>
              </mc:AlternateContent>
            </w:r>
            <w:r>
              <mc:AlternateContent>
                <mc:Choice Requires="wps">
                  <w:drawing>
                    <wp:anchor distT="0" distB="0" distL="114300" distR="114300" simplePos="0" relativeHeight="251633664" behindDoc="0" locked="0" layoutInCell="1" allowOverlap="1">
                      <wp:simplePos x="0" y="0"/>
                      <wp:positionH relativeFrom="column">
                        <wp:posOffset>1862455</wp:posOffset>
                      </wp:positionH>
                      <wp:positionV relativeFrom="paragraph">
                        <wp:posOffset>1275080</wp:posOffset>
                      </wp:positionV>
                      <wp:extent cx="647700" cy="466725"/>
                      <wp:effectExtent l="0" t="0" r="4445" b="1270"/>
                      <wp:wrapNone/>
                      <wp:docPr id="711" name="文本框 524"/>
                      <wp:cNvGraphicFramePr/>
                      <a:graphic xmlns:a="http://schemas.openxmlformats.org/drawingml/2006/main">
                        <a:graphicData uri="http://schemas.microsoft.com/office/word/2010/wordprocessingShape">
                          <wps:wsp>
                            <wps:cNvSpPr txBox="1">
                              <a:spLocks noChangeArrowheads="1"/>
                            </wps:cNvSpPr>
                            <wps:spPr bwMode="auto">
                              <a:xfrm>
                                <a:off x="0" y="0"/>
                                <a:ext cx="647700" cy="466725"/>
                              </a:xfrm>
                              <a:prstGeom prst="rect">
                                <a:avLst/>
                              </a:prstGeom>
                              <a:noFill/>
                              <a:ln>
                                <a:noFill/>
                              </a:ln>
                              <a:effectLst/>
                            </wps:spPr>
                            <wps:txbx>
                              <w:txbxContent>
                                <w:p>
                                  <w:pPr>
                                    <w:spacing w:line="240" w:lineRule="auto"/>
                                    <w:ind w:firstLine="0" w:firstLineChars="0"/>
                                    <w:jc w:val="center"/>
                                    <w:rPr>
                                      <w:b/>
                                      <w:bCs/>
                                      <w:color w:val="FFFFFF"/>
                                      <w:sz w:val="21"/>
                                      <w:szCs w:val="21"/>
                                    </w:rPr>
                                  </w:pPr>
                                  <w:r>
                                    <w:rPr>
                                      <w:b/>
                                      <w:bCs/>
                                      <w:color w:val="FFFFFF"/>
                                      <w:sz w:val="21"/>
                                      <w:szCs w:val="21"/>
                                    </w:rPr>
                                    <w:t>20幢</w:t>
                                  </w:r>
                                </w:p>
                                <w:p>
                                  <w:pPr>
                                    <w:spacing w:line="240" w:lineRule="auto"/>
                                    <w:ind w:firstLine="0" w:firstLineChars="0"/>
                                    <w:jc w:val="center"/>
                                    <w:rPr>
                                      <w:b/>
                                      <w:bCs/>
                                      <w:color w:val="FFFFFF"/>
                                      <w:sz w:val="21"/>
                                      <w:szCs w:val="21"/>
                                    </w:rPr>
                                  </w:pPr>
                                  <w:r>
                                    <w:rPr>
                                      <w:b/>
                                      <w:bCs/>
                                      <w:color w:val="FFFFFF"/>
                                      <w:sz w:val="21"/>
                                      <w:szCs w:val="21"/>
                                    </w:rPr>
                                    <w:t>2号</w:t>
                                  </w:r>
                                </w:p>
                              </w:txbxContent>
                            </wps:txbx>
                            <wps:bodyPr rot="0" vert="horz" wrap="square" lIns="91440" tIns="45720" rIns="91440" bIns="45720" anchor="t" anchorCtr="0" upright="1">
                              <a:noAutofit/>
                            </wps:bodyPr>
                          </wps:wsp>
                        </a:graphicData>
                      </a:graphic>
                    </wp:anchor>
                  </w:drawing>
                </mc:Choice>
                <mc:Fallback>
                  <w:pict>
                    <v:shape id="文本框 524" o:spid="_x0000_s1026" o:spt="202" type="#_x0000_t202" style="position:absolute;left:0pt;margin-left:146.65pt;margin-top:100.4pt;height:36.75pt;width:51pt;z-index:251633664;mso-width-relative:page;mso-height-relative:page;" filled="f" stroked="f" coordsize="21600,21600" o:gfxdata="UEsDBAoAAAAAAIdO4kAAAAAAAAAAAAAAAAAEAAAAZHJzL1BLAwQUAAAACACHTuJAR2wjENcAAAAL&#10;AQAADwAAAGRycy9kb3ducmV2LnhtbE2PT0/DMAzF70h8h8hI3FiydQNamu4A4gpi/JG4eY3XVjRO&#10;1WRr+faYE9zs56fn3yu3s+/VicbYBbawXBhQxHVwHTcW3l4fr25BxYTssA9MFr4pwrY6PyuxcGHi&#10;FzrtUqMkhGOBFtqUhkLrWLfkMS7CQCy3Qxg9JlnHRrsRJwn3vV4Zc609diwfWhzovqX6a3f0Ft6f&#10;Dp8fa/PcPPjNMIXZaPa5tvbyYmnuQCWa058ZfvEFHSph2ocju6h6C6s8y8QqgzHSQRxZvhFlL8rN&#10;OgNdlfp/h+oHUEsDBBQAAAAIAIdO4kDFQsi1HgIAACYEAAAOAAAAZHJzL2Uyb0RvYy54bWytU82O&#10;0zAQviPxDpbvNE2VthA1XS1bLUJafqSFB3Adp7FIPGbsNlkeAN6AExfuPFefg7GTLWW57IGLZXvG&#10;38z3zefVRd827KDQaTAFTydTzpSRUGqzK/jHD9fPnnPmvDClaMCogt8pxy/WT5+sOpurGdTQlAoZ&#10;gRiXd7bgtfc2TxIna9UKNwGrDAUrwFZ4OuIuKVF0hN42yWw6XSQdYGkRpHKObjdDkI+I+BhAqCot&#10;1QbkvlXGD6ioGuGJkqu1dXwdu60qJf27qnLKs6bgxNTHlYrQfhvWZL0S+Q6FrbUcWxCPaeEBp1Zo&#10;Q0VPUBvhBduj/geq1RLBQeUnEtpkIBIVIRbp9IE2t7WwKnIhqZ09ie7+H6x8e3iPTJcFX6YpZ0a0&#10;NPLj92/HH7+OP7+y+SwLEnXW5ZR5aynX9y+hJ+NEus7egPzkmIGrWpidukSErlaipBbT8DI5ezrg&#10;uACy7d5ASZXE3kME6itsg36kCCN0Gs/daTyq90zS5SJbLqcUkRTKFovlbB4riPz+sUXnXyloWdgU&#10;HGn6EVwcbpwPzYj8PiXUMnCtmyY6oDF/XVDicKOihcbXgUrofuDh+20/SrOF8o5IIQz2os9Fmxrw&#10;C2cdWavg7vNeoOKseW1ImBdplgUvxkM2X87ogOeR7XlEGElQBfecDdsrP/h3b1Hvaqo0jMLAJYlZ&#10;6Ug0tDp0NY6A7BP5j1YP/jw/x6w/33v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dsIxDXAAAA&#10;CwEAAA8AAAAAAAAAAQAgAAAAIgAAAGRycy9kb3ducmV2LnhtbFBLAQIUABQAAAAIAIdO4kDFQsi1&#10;HgIAACYEAAAOAAAAAAAAAAEAIAAAACYBAABkcnMvZTJvRG9jLnhtbFBLBQYAAAAABgAGAFkBAAC2&#10;BQAAAAA=&#10;">
                      <v:fill on="f" focussize="0,0"/>
                      <v:stroke on="f"/>
                      <v:imagedata o:title=""/>
                      <o:lock v:ext="edit" aspectratio="f"/>
                      <v:textbox>
                        <w:txbxContent>
                          <w:p>
                            <w:pPr>
                              <w:spacing w:line="240" w:lineRule="auto"/>
                              <w:ind w:firstLine="0" w:firstLineChars="0"/>
                              <w:jc w:val="center"/>
                              <w:rPr>
                                <w:b/>
                                <w:bCs/>
                                <w:color w:val="FFFFFF"/>
                                <w:sz w:val="21"/>
                                <w:szCs w:val="21"/>
                              </w:rPr>
                            </w:pPr>
                            <w:r>
                              <w:rPr>
                                <w:b/>
                                <w:bCs/>
                                <w:color w:val="FFFFFF"/>
                                <w:sz w:val="21"/>
                                <w:szCs w:val="21"/>
                              </w:rPr>
                              <w:t>20幢</w:t>
                            </w:r>
                          </w:p>
                          <w:p>
                            <w:pPr>
                              <w:spacing w:line="240" w:lineRule="auto"/>
                              <w:ind w:firstLine="0" w:firstLineChars="0"/>
                              <w:jc w:val="center"/>
                              <w:rPr>
                                <w:b/>
                                <w:bCs/>
                                <w:color w:val="FFFFFF"/>
                                <w:sz w:val="21"/>
                                <w:szCs w:val="21"/>
                              </w:rPr>
                            </w:pPr>
                            <w:r>
                              <w:rPr>
                                <w:b/>
                                <w:bCs/>
                                <w:color w:val="FFFFFF"/>
                                <w:sz w:val="21"/>
                                <w:szCs w:val="21"/>
                              </w:rPr>
                              <w:t>2号</w:t>
                            </w:r>
                          </w:p>
                        </w:txbxContent>
                      </v:textbox>
                    </v:shape>
                  </w:pict>
                </mc:Fallback>
              </mc:AlternateContent>
            </w:r>
            <w:r>
              <mc:AlternateContent>
                <mc:Choice Requires="wps">
                  <w:drawing>
                    <wp:anchor distT="0" distB="0" distL="114300" distR="114300" simplePos="0" relativeHeight="251634688" behindDoc="0" locked="0" layoutInCell="1" allowOverlap="1">
                      <wp:simplePos x="0" y="0"/>
                      <wp:positionH relativeFrom="column">
                        <wp:posOffset>1843405</wp:posOffset>
                      </wp:positionH>
                      <wp:positionV relativeFrom="paragraph">
                        <wp:posOffset>1875155</wp:posOffset>
                      </wp:positionV>
                      <wp:extent cx="1000125" cy="286385"/>
                      <wp:effectExtent l="0" t="0" r="4445" b="635"/>
                      <wp:wrapNone/>
                      <wp:docPr id="710" name="文本框 525"/>
                      <wp:cNvGraphicFramePr/>
                      <a:graphic xmlns:a="http://schemas.openxmlformats.org/drawingml/2006/main">
                        <a:graphicData uri="http://schemas.microsoft.com/office/word/2010/wordprocessingShape">
                          <wps:wsp>
                            <wps:cNvSpPr txBox="1">
                              <a:spLocks noChangeArrowheads="1"/>
                            </wps:cNvSpPr>
                            <wps:spPr bwMode="auto">
                              <a:xfrm>
                                <a:off x="0" y="0"/>
                                <a:ext cx="1000125" cy="286385"/>
                              </a:xfrm>
                              <a:prstGeom prst="rect">
                                <a:avLst/>
                              </a:prstGeom>
                              <a:noFill/>
                              <a:ln>
                                <a:noFill/>
                              </a:ln>
                              <a:effectLst/>
                            </wps:spPr>
                            <wps:txbx>
                              <w:txbxContent>
                                <w:p>
                                  <w:pPr>
                                    <w:spacing w:line="240" w:lineRule="auto"/>
                                    <w:ind w:firstLine="0" w:firstLineChars="0"/>
                                    <w:jc w:val="center"/>
                                    <w:rPr>
                                      <w:b/>
                                      <w:bCs/>
                                      <w:color w:val="FFFFFF"/>
                                      <w:sz w:val="21"/>
                                      <w:szCs w:val="21"/>
                                    </w:rPr>
                                  </w:pPr>
                                  <w:r>
                                    <w:rPr>
                                      <w:b/>
                                      <w:bCs/>
                                      <w:color w:val="FFFFFF"/>
                                      <w:sz w:val="21"/>
                                      <w:szCs w:val="21"/>
                                    </w:rPr>
                                    <w:t>18幢</w:t>
                                  </w:r>
                                </w:p>
                              </w:txbxContent>
                            </wps:txbx>
                            <wps:bodyPr rot="0" vert="horz" wrap="square" lIns="91440" tIns="45720" rIns="91440" bIns="45720" anchor="t" anchorCtr="0" upright="1">
                              <a:noAutofit/>
                            </wps:bodyPr>
                          </wps:wsp>
                        </a:graphicData>
                      </a:graphic>
                    </wp:anchor>
                  </w:drawing>
                </mc:Choice>
                <mc:Fallback>
                  <w:pict>
                    <v:shape id="文本框 525" o:spid="_x0000_s1026" o:spt="202" type="#_x0000_t202" style="position:absolute;left:0pt;margin-left:145.15pt;margin-top:147.65pt;height:22.55pt;width:78.75pt;z-index:251634688;mso-width-relative:page;mso-height-relative:page;" filled="f" stroked="f" coordsize="21600,21600" o:gfxdata="UEsDBAoAAAAAAIdO4kAAAAAAAAAAAAAAAAAEAAAAZHJzL1BLAwQUAAAACACHTuJA1Y+80NcAAAAL&#10;AQAADwAAAGRycy9kb3ducmV2LnhtbE2PwU7DMBBE70j8g7VI3Kjd1gWaxukBxBVEaZG4ufE2iRqv&#10;o9htwt+zPdHbjPZpdiZfj74VZ+xjE8jAdKJAIJXBNVQZ2H69PTyDiMmSs20gNPCLEdbF7U1uMxcG&#10;+sTzJlWCQyhm1kCdUpdJGcsavY2T0CHx7RB6bxPbvpKutwOH+1bOlHqU3jbEH2rb4UuN5XFz8gZ2&#10;74efb60+qle/6IYwKkl+KY25v5uqFYiEY/qH4VKfq0PBnfbhRC6K1sBsqeaMXsSCBRNaP/GYvYG5&#10;VhpkkcvrDcUfUEsDBBQAAAAIAIdO4kDUqkszHgIAACcEAAAOAAAAZHJzL2Uyb0RvYy54bWytU8uO&#10;0zAU3SPxD5b3NElpZ0rUdDRMNQhpeEgDH+A6TmOR+Jprt8nwAfAHrNiw57v6HVw7mVKGzSzYRLav&#10;fe45554sL/q2YXuFToMpeDZJOVNGQqnNtuAfP1w/W3DmvDClaMCogt8pxy9WT58sO5urKdTQlAoZ&#10;gRiXd7bgtfc2TxIna9UKNwGrDBUrwFZ42uI2KVF0hN42yTRNz5IOsLQIUjlHp+uhyEdEfAwgVJWW&#10;ag1y1yrjB1RUjfAkydXaOr6KbKtKSf+uqpzyrCk4KfXxS01ovQnfZLUU+RaFrbUcKYjHUHigqRXa&#10;UNMj1Fp4wXao/4FqtURwUPmJhDYZhERHSEWWPvDmthZWRS1ktbNH093/g5Vv9++R6bLg5xl5YkRL&#10;Iz98/3b48evw8yubT+fBos66nG7eWrrr+5fQU3CiXGdvQH5yzMBVLcxWXSJCVytREsUsvExOng44&#10;LoBsujdQUiex8xCB+grb4B85wgidqNwdx6N6z2RomaZpRoSYpNp0cfZ8EcklIr9/bdH5VwpaFhYF&#10;Rxp/RBf7G+cDG5HfXwnNDFzrpokRaMxfB3RxOFExQ+ProCXQH4T4ftOP3mygvCNVCEO+6O+iRQ34&#10;hbOOslVw93knUHHWvDbkzItsNgthjJvZ/HxKGzytbE4rwkiCKrjnbFhe+SHAO4t6W1OnYRYGLsnN&#10;SkehgerAapwB5SfqH7MeAnq6j7f+/N+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WPvNDXAAAA&#10;CwEAAA8AAAAAAAAAAQAgAAAAIgAAAGRycy9kb3ducmV2LnhtbFBLAQIUABQAAAAIAIdO4kDUqksz&#10;HgIAACcEAAAOAAAAAAAAAAEAIAAAACYBAABkcnMvZTJvRG9jLnhtbFBLBQYAAAAABgAGAFkBAAC2&#10;BQAAAAA=&#10;">
                      <v:fill on="f" focussize="0,0"/>
                      <v:stroke on="f"/>
                      <v:imagedata o:title=""/>
                      <o:lock v:ext="edit" aspectratio="f"/>
                      <v:textbox>
                        <w:txbxContent>
                          <w:p>
                            <w:pPr>
                              <w:spacing w:line="240" w:lineRule="auto"/>
                              <w:ind w:firstLine="0" w:firstLineChars="0"/>
                              <w:jc w:val="center"/>
                              <w:rPr>
                                <w:b/>
                                <w:bCs/>
                                <w:color w:val="FFFFFF"/>
                                <w:sz w:val="21"/>
                                <w:szCs w:val="21"/>
                              </w:rPr>
                            </w:pPr>
                            <w:r>
                              <w:rPr>
                                <w:b/>
                                <w:bCs/>
                                <w:color w:val="FFFFFF"/>
                                <w:sz w:val="21"/>
                                <w:szCs w:val="21"/>
                              </w:rPr>
                              <w:t>18幢</w:t>
                            </w:r>
                          </w:p>
                        </w:txbxContent>
                      </v:textbox>
                    </v:shape>
                  </w:pict>
                </mc:Fallback>
              </mc:AlternateContent>
            </w:r>
            <w:r>
              <mc:AlternateContent>
                <mc:Choice Requires="wps">
                  <w:drawing>
                    <wp:anchor distT="0" distB="0" distL="114300" distR="114300" simplePos="0" relativeHeight="251637760" behindDoc="0" locked="0" layoutInCell="1" allowOverlap="1">
                      <wp:simplePos x="0" y="0"/>
                      <wp:positionH relativeFrom="column">
                        <wp:posOffset>1976755</wp:posOffset>
                      </wp:positionH>
                      <wp:positionV relativeFrom="paragraph">
                        <wp:posOffset>808355</wp:posOffset>
                      </wp:positionV>
                      <wp:extent cx="600075" cy="286385"/>
                      <wp:effectExtent l="0" t="0" r="4445" b="635"/>
                      <wp:wrapNone/>
                      <wp:docPr id="709" name="文本框 529"/>
                      <wp:cNvGraphicFramePr/>
                      <a:graphic xmlns:a="http://schemas.openxmlformats.org/drawingml/2006/main">
                        <a:graphicData uri="http://schemas.microsoft.com/office/word/2010/wordprocessingShape">
                          <wps:wsp>
                            <wps:cNvSpPr txBox="1">
                              <a:spLocks noChangeArrowheads="1"/>
                            </wps:cNvSpPr>
                            <wps:spPr bwMode="auto">
                              <a:xfrm>
                                <a:off x="0" y="0"/>
                                <a:ext cx="600075" cy="286385"/>
                              </a:xfrm>
                              <a:prstGeom prst="rect">
                                <a:avLst/>
                              </a:prstGeom>
                              <a:noFill/>
                              <a:ln>
                                <a:noFill/>
                              </a:ln>
                            </wps:spPr>
                            <wps:txbx>
                              <w:txbxContent>
                                <w:p>
                                  <w:pPr>
                                    <w:spacing w:line="240" w:lineRule="auto"/>
                                    <w:ind w:firstLine="0" w:firstLineChars="0"/>
                                    <w:jc w:val="center"/>
                                    <w:rPr>
                                      <w:b/>
                                      <w:bCs/>
                                      <w:color w:val="FFFFFF"/>
                                      <w:sz w:val="21"/>
                                      <w:szCs w:val="21"/>
                                    </w:rPr>
                                  </w:pPr>
                                  <w:r>
                                    <w:rPr>
                                      <w:b/>
                                      <w:bCs/>
                                      <w:color w:val="FFFFFF"/>
                                      <w:sz w:val="21"/>
                                      <w:szCs w:val="21"/>
                                    </w:rPr>
                                    <w:t>22幢</w:t>
                                  </w:r>
                                </w:p>
                              </w:txbxContent>
                            </wps:txbx>
                            <wps:bodyPr rot="0" vert="horz" wrap="square" lIns="91440" tIns="45720" rIns="91440" bIns="45720" anchor="t" anchorCtr="0" upright="1">
                              <a:noAutofit/>
                            </wps:bodyPr>
                          </wps:wsp>
                        </a:graphicData>
                      </a:graphic>
                    </wp:anchor>
                  </w:drawing>
                </mc:Choice>
                <mc:Fallback>
                  <w:pict>
                    <v:shape id="文本框 529" o:spid="_x0000_s1026" o:spt="202" type="#_x0000_t202" style="position:absolute;left:0pt;margin-left:155.65pt;margin-top:63.65pt;height:22.55pt;width:47.25pt;z-index:251637760;mso-width-relative:page;mso-height-relative:page;" filled="f" stroked="f" coordsize="21600,21600" o:gfxdata="UEsDBAoAAAAAAIdO4kAAAAAAAAAAAAAAAAAEAAAAZHJzL1BLAwQUAAAACACHTuJA+M7ziNgAAAAL&#10;AQAADwAAAGRycy9kb3ducmV2LnhtbE2PzU7DMBCE70i8g7VI3KidNKVtGqcHEFcqyo/Umxtvk4h4&#10;HcVuE96e7Qluuzuj2W+K7eQ6ccEhtJ40JDMFAqnytqVaw8f7y8MKRIiGrOk8oYYfDLAtb28Kk1s/&#10;0hte9rEWHEIhNxqaGPtcylA16EyY+R6JtZMfnIm8DrW0gxk53HUyVepROtMSf2hMj08NVt/7s9Pw&#10;+Xo6fGVqVz+7RT/6SUlya6n1/V2iNiAiTvHPDFd8RoeSmY7+TDaITsM8SeZsZSFd8sCOTC24zJEv&#10;yzQDWRbyf4fyF1BLAwQUAAAACACHTuJAfrPj3hsCAAAYBAAADgAAAGRycy9lMm9Eb2MueG1srVNL&#10;btswEN0X6B0I7mvJru3YguUgjZGiQPoB0h6ApiiLqMRhh7Ql9wDNDbrqpvuey+fokHJcN91k0Y1A&#10;coZv3nt8Wlx2Tc12Cp0Gk/PhIOVMGQmFNpucf/p482LGmfPCFKIGo3K+V45fLp8/W7Q2UyOooC4U&#10;MgIxLmttzivvbZYkTlaqEW4AVhkqloCN8LTFTVKgaAm9qZNRmk6TFrCwCFI5R6ervsiPiPgUQChL&#10;LdUK5LZRxveoqGrhSZKrtHV8GdmWpZL+fVk65Vmdc1Lq45eG0HodvslyIbINCltpeaQgnkLhkaZG&#10;aENDT1Ar4QXbov4HqtESwUHpBxKapBcSHSEVw/SRN3eVsCpqIaudPZnu/h+sfLf7gEwXOb9I55wZ&#10;0dCTH77fH378Ovz8xiajebCotS6jzjtLvb57BR0FJ8p19hbkZ8cMXFfCbNQVIrSVEgVRHIabydnV&#10;HscFkHX7FgqaJLYeIlBXYhP8I0cYodPz7E/PozrPJB1O0zS9mHAmqTSaTV/OJnGCyB4uW3T+tYKG&#10;hUXOkV4/govdrfOBjMgeWsIsAze6rmMCavPXATWGk0g+8O2Z+27dHc1YQ7EnGQh9oOh3okUF+JWz&#10;lsKUc/dlK1BxVr8xZMV8OB6H9MXNeHIxog2eV9bnFWEkQeXcc9Yvr32f2K1FvaloUm++gSuyr9RR&#10;WvC5Z3XkTYGJio/hDok838euPz/0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4zvOI2AAAAAsB&#10;AAAPAAAAAAAAAAEAIAAAACIAAABkcnMvZG93bnJldi54bWxQSwECFAAUAAAACACHTuJAfrPj3hsC&#10;AAAYBAAADgAAAAAAAAABACAAAAAnAQAAZHJzL2Uyb0RvYy54bWxQSwUGAAAAAAYABgBZAQAAtAUA&#10;AAAA&#10;">
                      <v:fill on="f" focussize="0,0"/>
                      <v:stroke on="f"/>
                      <v:imagedata o:title=""/>
                      <o:lock v:ext="edit" aspectratio="f"/>
                      <v:textbox>
                        <w:txbxContent>
                          <w:p>
                            <w:pPr>
                              <w:spacing w:line="240" w:lineRule="auto"/>
                              <w:ind w:firstLine="0" w:firstLineChars="0"/>
                              <w:jc w:val="center"/>
                              <w:rPr>
                                <w:b/>
                                <w:bCs/>
                                <w:color w:val="FFFFFF"/>
                                <w:sz w:val="21"/>
                                <w:szCs w:val="21"/>
                              </w:rPr>
                            </w:pPr>
                            <w:r>
                              <w:rPr>
                                <w:b/>
                                <w:bCs/>
                                <w:color w:val="FFFFFF"/>
                                <w:sz w:val="21"/>
                                <w:szCs w:val="21"/>
                              </w:rPr>
                              <w:t>22幢</w:t>
                            </w:r>
                          </w:p>
                        </w:txbxContent>
                      </v:textbox>
                    </v:shape>
                  </w:pict>
                </mc:Fallback>
              </mc:AlternateContent>
            </w:r>
          </w:p>
          <w:p>
            <w:pPr>
              <w:pStyle w:val="71"/>
              <w:spacing w:after="120"/>
            </w:pPr>
            <w:r>
              <w:t>图2-1 本项目周围环境概况</w:t>
            </w:r>
          </w:p>
          <w:p>
            <w:pPr>
              <w:ind w:firstLine="480"/>
            </w:pPr>
            <w:r>
              <w:t>本项目选址于</w:t>
            </w:r>
            <w:r>
              <w:rPr>
                <w:rFonts w:hint="eastAsia"/>
              </w:rPr>
              <w:t>桐乡市崇福镇杭福路1336号20幢1号</w:t>
            </w:r>
            <w:r>
              <w:t>。本项目厂区周围环境概况如下：</w:t>
            </w:r>
          </w:p>
          <w:p>
            <w:pPr>
              <w:ind w:firstLine="480"/>
            </w:pPr>
            <w:r>
              <w:t>东面：为中节能（桐乡）环保产业园19幢闲置厂房；</w:t>
            </w:r>
          </w:p>
          <w:p>
            <w:pPr>
              <w:ind w:firstLine="480"/>
            </w:pPr>
            <w:r>
              <w:t>南面：为中节能（桐乡）环保产业园17幢闲置厂房和18幢厂房（桐乡市东瑞过滤材料有限公司）；</w:t>
            </w:r>
          </w:p>
          <w:p>
            <w:pPr>
              <w:ind w:firstLine="480"/>
            </w:pPr>
            <w:r>
              <w:t>西面：紧邻中节能（桐乡）环保产业园20幢2号闲置厂房；</w:t>
            </w:r>
          </w:p>
          <w:p>
            <w:pPr>
              <w:ind w:firstLine="480"/>
            </w:pPr>
            <w:r>
              <w:t>北面：为中节能（桐乡）环保产业园22幢闲置厂房</w:t>
            </w:r>
            <w:r>
              <w:rPr>
                <w:rFonts w:hint="eastAsia"/>
              </w:rPr>
              <w:t>。</w:t>
            </w:r>
          </w:p>
          <w:p>
            <w:pPr>
              <w:ind w:firstLine="480"/>
            </w:pPr>
            <w:r>
              <w:t>本项目周围环境概况见图2-1，具体位置及周边环境照片见附图1、附图</w:t>
            </w:r>
            <w:r>
              <w:rPr>
                <w:rFonts w:hint="eastAsia"/>
              </w:rPr>
              <w:t>9</w:t>
            </w:r>
            <w:r>
              <w:t>。</w:t>
            </w:r>
          </w:p>
          <w:p>
            <w:pPr>
              <w:pStyle w:val="6"/>
            </w:pPr>
            <w:bookmarkStart w:id="69" w:name="_Toc29388543"/>
            <w:bookmarkStart w:id="70" w:name="_Toc29380592"/>
            <w:r>
              <w:t>2.1.3地形地貌</w:t>
            </w:r>
            <w:bookmarkEnd w:id="69"/>
            <w:bookmarkEnd w:id="70"/>
          </w:p>
          <w:p>
            <w:pPr>
              <w:ind w:firstLine="480"/>
            </w:pPr>
            <w:r>
              <w:t>桐乡市所处的杭嘉湖平原在区域构造上属华夏系第二隆起带、钱塘江拗陷区、杭嘉湖平原拗陷带。由于沉隆区基底为第四系沉积物掩盖，形成杭嘉湖平原。</w:t>
            </w:r>
          </w:p>
          <w:p>
            <w:pPr>
              <w:ind w:firstLine="480"/>
            </w:pPr>
            <w:r>
              <w:t>境内基底构造由一系列规模巨大的并东向断裂带切割，形成中生代隆起与拗陷带相同，主要为下舍桐乡拗陷带沉积白垩纪地层。桐乡为长江三角洲冲积平原的一部分，境内地势平坦，无一山丘，大致呈东南高、西北低，略向太湖倾斜，平均海拔5.3米。从微地形看，由于开挖运河，疏竣河道，挑土栽桑，对土地施行了强烈的人力切割，形成了许多低洼封闭的圩田和高隆的桑埂地，两者高差可达2米左右，地势可谓“大平小不平”，为杭嘉湖平原中部特有的桑基圩田人工地貌。</w:t>
            </w:r>
          </w:p>
          <w:p>
            <w:pPr>
              <w:pStyle w:val="6"/>
            </w:pPr>
            <w:bookmarkStart w:id="71" w:name="_Toc29388544"/>
            <w:bookmarkStart w:id="72" w:name="_Toc29380593"/>
            <w:r>
              <w:t>2.1.4气候特征</w:t>
            </w:r>
            <w:bookmarkEnd w:id="71"/>
            <w:bookmarkEnd w:id="72"/>
          </w:p>
          <w:p>
            <w:pPr>
              <w:ind w:firstLine="480"/>
            </w:pPr>
            <w:r>
              <w:t>桐乡隶属于嘉兴市范围，嘉兴地处北亚热带南缘，气候温和，雨量充沛，日照充足，四季分明，是典型的亚热带季风气候。</w:t>
            </w:r>
          </w:p>
          <w:p>
            <w:pPr>
              <w:ind w:firstLine="480"/>
            </w:pPr>
            <w:r>
              <w:t>嘉兴市全年盛行风向以东(E)─东南(SE)风向为主，次多风向为西北(NW)。风向随季节变化明显，全市3～8月盛行东南风，11～12月以西北风为主。全年平均风速2.8m/s。</w:t>
            </w:r>
          </w:p>
          <w:p>
            <w:pPr>
              <w:ind w:firstLine="480"/>
            </w:pPr>
            <w:r>
              <w:t>另外，据浙江省气象档案馆提供的资料，嘉兴市近30年来的气象要素如下：</w:t>
            </w:r>
          </w:p>
          <w:p>
            <w:pPr>
              <w:ind w:firstLine="480"/>
            </w:pPr>
            <w:r>
              <w:t>平均气压(百帕)：1016.4</w:t>
            </w:r>
          </w:p>
          <w:p>
            <w:pPr>
              <w:ind w:firstLine="480"/>
            </w:pPr>
            <w:r>
              <w:t>平均气温(度)：15.9</w:t>
            </w:r>
          </w:p>
          <w:p>
            <w:pPr>
              <w:ind w:firstLine="480"/>
            </w:pPr>
            <w:r>
              <w:t>相对湿度(%)：81</w:t>
            </w:r>
          </w:p>
          <w:p>
            <w:pPr>
              <w:ind w:firstLine="480"/>
            </w:pPr>
            <w:r>
              <w:t>降水量(mm)：1185.2</w:t>
            </w:r>
          </w:p>
          <w:p>
            <w:pPr>
              <w:ind w:firstLine="480"/>
            </w:pPr>
            <w:r>
              <w:t>蒸发量(mm)：1371.5</w:t>
            </w:r>
          </w:p>
          <w:p>
            <w:pPr>
              <w:ind w:firstLine="480"/>
            </w:pPr>
            <w:r>
              <w:t>日照时数(小时)：1954.2</w:t>
            </w:r>
          </w:p>
          <w:p>
            <w:pPr>
              <w:ind w:firstLine="480"/>
            </w:pPr>
            <w:r>
              <w:t>日照率(%)：44</w:t>
            </w:r>
          </w:p>
          <w:p>
            <w:pPr>
              <w:ind w:firstLine="480"/>
            </w:pPr>
            <w:r>
              <w:t>降水日数(天)：137.9</w:t>
            </w:r>
          </w:p>
          <w:p>
            <w:pPr>
              <w:ind w:firstLine="480"/>
            </w:pPr>
            <w:r>
              <w:t>雷暴日数(天)：</w:t>
            </w:r>
            <w:r>
              <w:tab/>
            </w:r>
            <w:r>
              <w:t>29.5</w:t>
            </w:r>
          </w:p>
          <w:p>
            <w:pPr>
              <w:ind w:firstLine="480"/>
            </w:pPr>
            <w:r>
              <w:t>大风日数(天)：</w:t>
            </w:r>
            <w:r>
              <w:tab/>
            </w:r>
            <w:r>
              <w:t>5.6</w:t>
            </w:r>
          </w:p>
          <w:p>
            <w:pPr>
              <w:ind w:firstLine="480"/>
            </w:pPr>
            <w:r>
              <w:t>各级降水日数(天)：</w:t>
            </w:r>
          </w:p>
          <w:p>
            <w:pPr>
              <w:ind w:firstLine="480"/>
            </w:pPr>
            <w:r>
              <w:t>0.1≤</w:t>
            </w:r>
            <w:r>
              <w:rPr>
                <w:rFonts w:hint="eastAsia"/>
              </w:rPr>
              <w:t xml:space="preserve"> </w:t>
            </w:r>
            <w:r>
              <w:t>r</w:t>
            </w:r>
            <w:r>
              <w:rPr>
                <w:rFonts w:hint="eastAsia"/>
              </w:rPr>
              <w:t xml:space="preserve"> </w:t>
            </w:r>
            <w:r>
              <w:t>&lt;10.0</w:t>
            </w:r>
            <w:r>
              <w:tab/>
            </w:r>
            <w:r>
              <w:t xml:space="preserve">    100.1</w:t>
            </w:r>
          </w:p>
          <w:p>
            <w:pPr>
              <w:ind w:firstLine="480"/>
            </w:pPr>
            <w:r>
              <w:t>10.0≤</w:t>
            </w:r>
            <w:r>
              <w:rPr>
                <w:rFonts w:hint="eastAsia"/>
              </w:rPr>
              <w:t xml:space="preserve"> </w:t>
            </w:r>
            <w:r>
              <w:t>r</w:t>
            </w:r>
            <w:r>
              <w:rPr>
                <w:rFonts w:hint="eastAsia"/>
              </w:rPr>
              <w:t xml:space="preserve"> </w:t>
            </w:r>
            <w:r>
              <w:t xml:space="preserve">&lt;25.0 </w:t>
            </w:r>
            <w:r>
              <w:tab/>
            </w:r>
            <w:r>
              <w:t xml:space="preserve"> 25.6</w:t>
            </w:r>
          </w:p>
          <w:p>
            <w:pPr>
              <w:ind w:firstLine="480"/>
            </w:pPr>
            <w:r>
              <w:t>25.0≤</w:t>
            </w:r>
            <w:r>
              <w:rPr>
                <w:rFonts w:hint="eastAsia"/>
              </w:rPr>
              <w:t xml:space="preserve"> </w:t>
            </w:r>
            <w:r>
              <w:t>r</w:t>
            </w:r>
            <w:r>
              <w:rPr>
                <w:rFonts w:hint="eastAsia"/>
              </w:rPr>
              <w:t xml:space="preserve"> </w:t>
            </w:r>
            <w:r>
              <w:t xml:space="preserve">&lt;50.0  </w:t>
            </w:r>
            <w:r>
              <w:tab/>
            </w:r>
            <w:r>
              <w:t xml:space="preserve"> 9.3</w:t>
            </w:r>
          </w:p>
          <w:p>
            <w:pPr>
              <w:ind w:firstLine="480"/>
            </w:pPr>
            <w:r>
              <w:t>50.0≤</w:t>
            </w:r>
            <w:r>
              <w:rPr>
                <w:rFonts w:hint="eastAsia"/>
              </w:rPr>
              <w:t xml:space="preserve"> </w:t>
            </w:r>
            <w:r>
              <w:t>r         2.9</w:t>
            </w:r>
          </w:p>
          <w:p>
            <w:pPr>
              <w:ind w:firstLine="480"/>
            </w:pPr>
            <w:r>
              <w:t>年平均风向、风速玫瑰图具体见图2-2和图2-3。</w:t>
            </w:r>
          </w:p>
          <w:p>
            <w:pPr>
              <w:spacing w:line="440" w:lineRule="exact"/>
              <w:ind w:firstLine="960" w:firstLineChars="400"/>
            </w:pPr>
            <w:r>
              <w:drawing>
                <wp:anchor distT="0" distB="0" distL="114300" distR="114300" simplePos="0" relativeHeight="251572224" behindDoc="0" locked="0" layoutInCell="1" allowOverlap="1">
                  <wp:simplePos x="0" y="0"/>
                  <wp:positionH relativeFrom="column">
                    <wp:posOffset>2796540</wp:posOffset>
                  </wp:positionH>
                  <wp:positionV relativeFrom="paragraph">
                    <wp:posOffset>83820</wp:posOffset>
                  </wp:positionV>
                  <wp:extent cx="2091055" cy="2263775"/>
                  <wp:effectExtent l="0" t="0" r="0" b="0"/>
                  <wp:wrapSquare wrapText="bothSides"/>
                  <wp:docPr id="70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图片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091055" cy="2263775"/>
                          </a:xfrm>
                          <a:prstGeom prst="rect">
                            <a:avLst/>
                          </a:prstGeom>
                          <a:noFill/>
                          <a:ln>
                            <a:noFill/>
                          </a:ln>
                          <a:effectLst/>
                        </pic:spPr>
                      </pic:pic>
                    </a:graphicData>
                  </a:graphic>
                </wp:anchor>
              </w:drawing>
            </w:r>
            <w:r>
              <w:drawing>
                <wp:anchor distT="0" distB="0" distL="114300" distR="114300" simplePos="0" relativeHeight="251571200" behindDoc="0" locked="0" layoutInCell="1" allowOverlap="1">
                  <wp:simplePos x="0" y="0"/>
                  <wp:positionH relativeFrom="column">
                    <wp:posOffset>241935</wp:posOffset>
                  </wp:positionH>
                  <wp:positionV relativeFrom="paragraph">
                    <wp:posOffset>106045</wp:posOffset>
                  </wp:positionV>
                  <wp:extent cx="2093595" cy="2252980"/>
                  <wp:effectExtent l="0" t="0" r="0" b="0"/>
                  <wp:wrapSquare wrapText="bothSides"/>
                  <wp:docPr id="70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图片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093595" cy="2252980"/>
                          </a:xfrm>
                          <a:prstGeom prst="rect">
                            <a:avLst/>
                          </a:prstGeom>
                          <a:noFill/>
                          <a:ln>
                            <a:noFill/>
                          </a:ln>
                        </pic:spPr>
                      </pic:pic>
                    </a:graphicData>
                  </a:graphic>
                </wp:anchor>
              </w:drawing>
            </w:r>
          </w:p>
          <w:p>
            <w:pPr>
              <w:spacing w:line="440" w:lineRule="exact"/>
              <w:ind w:firstLine="960" w:firstLineChars="400"/>
            </w:pPr>
          </w:p>
          <w:p>
            <w:pPr>
              <w:spacing w:line="440" w:lineRule="exact"/>
              <w:ind w:firstLine="960" w:firstLineChars="400"/>
            </w:pPr>
          </w:p>
          <w:p>
            <w:pPr>
              <w:spacing w:line="440" w:lineRule="exact"/>
              <w:ind w:firstLine="960" w:firstLineChars="400"/>
            </w:pPr>
          </w:p>
          <w:p>
            <w:pPr>
              <w:spacing w:line="440" w:lineRule="exact"/>
              <w:ind w:firstLine="960" w:firstLineChars="400"/>
            </w:pPr>
          </w:p>
          <w:p>
            <w:pPr>
              <w:spacing w:line="440" w:lineRule="exact"/>
              <w:ind w:firstLine="960" w:firstLineChars="400"/>
            </w:pPr>
          </w:p>
          <w:p>
            <w:pPr>
              <w:spacing w:line="440" w:lineRule="exact"/>
              <w:ind w:firstLine="960" w:firstLineChars="400"/>
            </w:pPr>
          </w:p>
          <w:p>
            <w:pPr>
              <w:spacing w:line="440" w:lineRule="exact"/>
              <w:ind w:firstLine="960" w:firstLineChars="400"/>
            </w:pPr>
          </w:p>
          <w:p>
            <w:pPr>
              <w:pStyle w:val="46"/>
            </w:pPr>
          </w:p>
          <w:p>
            <w:pPr>
              <w:pStyle w:val="46"/>
            </w:pPr>
            <w:r>
              <w:t>图2-2 年平均风向玫瑰图(每圈=4%)      图2-3 年平均风速玫瑰图(每圈=1m/s)</w:t>
            </w:r>
          </w:p>
          <w:p>
            <w:pPr>
              <w:pStyle w:val="6"/>
            </w:pPr>
            <w:bookmarkStart w:id="73" w:name="_Toc29388545"/>
            <w:bookmarkStart w:id="74" w:name="_Toc29380594"/>
            <w:r>
              <w:t>2.1.5水文特征</w:t>
            </w:r>
            <w:bookmarkEnd w:id="73"/>
            <w:bookmarkEnd w:id="74"/>
          </w:p>
          <w:p>
            <w:pPr>
              <w:ind w:firstLine="480"/>
            </w:pPr>
            <w:r>
              <w:t>桐乡市属长江流域太湖区的运河水系，境内河道纵横密布，河道总长2398.3千米。京杭大运河横贯全境，是该市水利、水运的大动脉，境内河长41.77千米，其它骨干河道有康泾塘、金牛塘、白马塘、长安塘和长山河等。桐乡市水系也是杭嘉湖平原排水走廊，境外山洪主要从西部余杭、德清、湖洲市郊区方向入境，海宁上塘河也有少量水溢入。洪水向北经乌镇市河澜溪塘排泄；向南经长山河排入杭州湾。干旱时引太湖水补充河水不足。</w:t>
            </w:r>
          </w:p>
          <w:p>
            <w:pPr>
              <w:ind w:firstLine="480"/>
            </w:pPr>
            <w:r>
              <w:t>桐乡市河网的主要特点是：</w:t>
            </w:r>
          </w:p>
          <w:p>
            <w:pPr>
              <w:ind w:firstLine="480"/>
            </w:pPr>
            <w:r>
              <w:t>1、河道底坡平缓、流量小、流速低。</w:t>
            </w:r>
          </w:p>
          <w:p>
            <w:pPr>
              <w:ind w:firstLine="480"/>
            </w:pPr>
            <w:r>
              <w:t>2、河水流向、流量多变，受自然因素（如降雨、潮汛和风生流等）和人为因素（如闸门、泵站等）的影响，流向变化不定，一般可分为顺流、滞流和逆流三种，同一河网，不同流向组合成多种流型，水质随河流流向及流量变化而变化。</w:t>
            </w:r>
          </w:p>
          <w:p>
            <w:pPr>
              <w:ind w:firstLine="480"/>
            </w:pPr>
            <w:r>
              <w:t>3、水环境容量小，尤其在较长时间滞流条件下，“污水团”往往在某一范围内回荡，河道自净能力越低，累积污染时间越长，污染范围也越大，故水环境污染控制难度很大。</w:t>
            </w:r>
          </w:p>
          <w:p>
            <w:pPr>
              <w:pStyle w:val="6"/>
            </w:pPr>
            <w:bookmarkStart w:id="75" w:name="_Toc29380595"/>
            <w:bookmarkStart w:id="76" w:name="_Toc29388546"/>
            <w:r>
              <w:t>2.1.6生态环境</w:t>
            </w:r>
            <w:bookmarkEnd w:id="75"/>
            <w:bookmarkEnd w:id="76"/>
          </w:p>
          <w:p>
            <w:pPr>
              <w:ind w:firstLine="480"/>
            </w:pPr>
            <w:r>
              <w:t>桐乡市属华中、华东湖沼平原，常绿夏绿混交林区长江三角洲亚区，本区域平原或为大江冲积或为湖泊所淤积而成，山区只成为丘陵低山。桐乡地处北亚热带南缘的常绿阔叶林植被带，全市天然植被的主要类型有阔叶林和针阔混交林、针叶林、灌木草本植被和水生植被四种，人工植被有作物植被和防护林植被二种。</w:t>
            </w:r>
          </w:p>
          <w:p>
            <w:pPr>
              <w:ind w:firstLine="480"/>
            </w:pPr>
            <w:r>
              <w:t>根据浙江省林业区划，桐乡地区属浙北平原绿化农田防护林区。由于开发和人类活动频繁，原生植被早已被人工植被和次生林所取代。区域内平原网旁常见植被有桑、果、竹园，以及柳、乌桕、泡桐、杨等，还营造了不少以水杉、池杉、落羽杉为主的农田防护林。但防护林发展不平衡，树种单一，未成体系，破网断带现象普遍，防护功能不高。区域内的野生动物主要有田鼠、蝙蝠、水蛇、花蛇等，刺猬、野兔等已很少见，没发现珍稀动物。</w:t>
            </w:r>
          </w:p>
          <w:p>
            <w:pPr>
              <w:pStyle w:val="5"/>
            </w:pPr>
            <w:r>
              <w:t>2.2</w:t>
            </w:r>
            <w:r>
              <w:rPr>
                <w:rFonts w:hint="eastAsia"/>
              </w:rPr>
              <w:t>崇福镇城镇总体规划</w:t>
            </w:r>
          </w:p>
          <w:p>
            <w:pPr>
              <w:ind w:firstLine="480"/>
            </w:pPr>
            <w:r>
              <w:rPr>
                <w:rFonts w:hint="eastAsia"/>
              </w:rPr>
              <w:t>根据《桐乡市崇福镇城镇总体规划(2012-2030)》，崇福镇城镇性质为：桐乡市域西南中心，以皮草为特色的现代工贸城市。在强化中心镇功能基础上，注重皮草市场建设与皮草工业培育，着力打造“中国皮草之都”。</w:t>
            </w:r>
          </w:p>
          <w:p>
            <w:pPr>
              <w:ind w:firstLine="480"/>
            </w:pPr>
            <w:r>
              <w:rPr>
                <w:rFonts w:hint="eastAsia"/>
              </w:rPr>
              <w:t>1、城镇用地发展方向</w:t>
            </w:r>
          </w:p>
          <w:p>
            <w:pPr>
              <w:ind w:firstLine="480"/>
            </w:pPr>
            <w:r>
              <w:rPr>
                <w:rFonts w:hint="eastAsia"/>
              </w:rPr>
              <w:t>近期：以向北、向西发展为主。向北主要选择北沙渚塘沿线用地进行开发，重点拓展东北部工业园区周边用地；向西主要选择崇新公路沿线用地进行开发，重点拓展西南部皮草市场周边用地。</w:t>
            </w:r>
          </w:p>
          <w:p>
            <w:pPr>
              <w:ind w:firstLine="480"/>
            </w:pPr>
            <w:r>
              <w:rPr>
                <w:rFonts w:hint="eastAsia"/>
              </w:rPr>
              <w:t>远期：在完善镇北部和镇西部前提下，重点引导城镇跨越G320公路向东南侧发展，特别是长安塘、南沙诸塘、中沙渚塘两侧的用地。</w:t>
            </w:r>
          </w:p>
          <w:p>
            <w:pPr>
              <w:ind w:firstLine="480"/>
            </w:pPr>
            <w:r>
              <w:rPr>
                <w:rFonts w:hint="eastAsia"/>
              </w:rPr>
              <w:t>远景：在镇西北部拾遗补缺基础上，主要引导城镇继续向东南部发展，其次结合工业园区和老G320公路，适当引导城镇向东发展。</w:t>
            </w:r>
          </w:p>
          <w:p>
            <w:pPr>
              <w:ind w:firstLine="480"/>
            </w:pPr>
            <w:r>
              <w:rPr>
                <w:rFonts w:hint="eastAsia"/>
              </w:rPr>
              <w:t>2、城镇用地形态</w:t>
            </w:r>
          </w:p>
          <w:p>
            <w:pPr>
              <w:ind w:firstLine="480"/>
            </w:pPr>
            <w:r>
              <w:rPr>
                <w:rFonts w:hint="eastAsia"/>
              </w:rPr>
              <w:t>崇福镇的用地形态形态组织为：以京杭运河和长安塘为轴，以连贯四方向公路交通的环城路为边，以区内纵横街道为经纬的“矩形”用地形态。</w:t>
            </w:r>
          </w:p>
          <w:p>
            <w:pPr>
              <w:ind w:firstLine="480"/>
            </w:pPr>
            <w:r>
              <w:rPr>
                <w:rFonts w:hint="eastAsia"/>
              </w:rPr>
              <w:t>近期城镇用地形态由现状的“三角形”形态向“梯形”用地形态过度，满足城镇向西、向北和向东发展的客观需要。远期则重点引导城镇建设用地向东南方向发展，形成形态与结构更趋紧凑、合理的“矩形”用地形态。</w:t>
            </w:r>
          </w:p>
          <w:p>
            <w:pPr>
              <w:ind w:firstLine="480"/>
            </w:pPr>
            <w:r>
              <w:rPr>
                <w:rFonts w:hint="eastAsia"/>
              </w:rPr>
              <w:t>3、城镇用地布局结构</w:t>
            </w:r>
          </w:p>
          <w:p>
            <w:pPr>
              <w:ind w:firstLine="480"/>
            </w:pPr>
            <w:r>
              <w:rPr>
                <w:rFonts w:hint="eastAsia"/>
              </w:rPr>
              <w:t>（1）布局原则</w:t>
            </w:r>
          </w:p>
          <w:p>
            <w:pPr>
              <w:ind w:firstLine="480"/>
            </w:pPr>
            <w:r>
              <w:rPr>
                <w:rFonts w:hint="eastAsia"/>
              </w:rPr>
              <w:t>城镇用地布局结构主要遵循“无限框架、有限布局”原则进行组织，使城镇用地框架的构建保持一定的弹性，为今后成城镇用地的进一步拓展留有余地，具体建设用地的安排则注重紧凑合理、有序推进和节约土地。</w:t>
            </w:r>
          </w:p>
          <w:p>
            <w:pPr>
              <w:ind w:firstLine="480"/>
            </w:pPr>
            <w:r>
              <w:rPr>
                <w:rFonts w:hint="eastAsia"/>
              </w:rPr>
              <w:t>（2）布局结构</w:t>
            </w:r>
          </w:p>
          <w:p>
            <w:pPr>
              <w:ind w:firstLine="480"/>
            </w:pPr>
            <w:r>
              <w:rPr>
                <w:rFonts w:hint="eastAsia"/>
              </w:rPr>
              <w:t>城镇用地布局结构在充分利用古运河、京杭运河、行申运河崇福段以及北沙渚塘、长安塘、南沙渚塘和中沙渚塘基础上，形成 5 大框架结构：</w:t>
            </w:r>
          </w:p>
          <w:p>
            <w:pPr>
              <w:ind w:firstLine="480"/>
            </w:pPr>
            <w:r>
              <w:rPr>
                <w:rFonts w:hint="eastAsia"/>
              </w:rPr>
              <w:t>A.城镇居住用地形成六个居住片区；</w:t>
            </w:r>
          </w:p>
          <w:p>
            <w:pPr>
              <w:ind w:firstLine="480"/>
            </w:pPr>
            <w:r>
              <w:rPr>
                <w:rFonts w:hint="eastAsia"/>
              </w:rPr>
              <w:t>B.城镇公共设施用地设置为“二心二轴一区”；</w:t>
            </w:r>
          </w:p>
          <w:p>
            <w:pPr>
              <w:ind w:firstLine="480"/>
            </w:pPr>
            <w:r>
              <w:rPr>
                <w:rFonts w:hint="eastAsia"/>
              </w:rPr>
              <w:t>C.城镇工业与仓储用地安排为“三区二点”；</w:t>
            </w:r>
          </w:p>
          <w:p>
            <w:pPr>
              <w:ind w:firstLine="480"/>
            </w:pPr>
            <w:r>
              <w:rPr>
                <w:rFonts w:hint="eastAsia"/>
              </w:rPr>
              <w:t>D.城镇道路交通构筑成“三横四纵一环”的主框架系统；</w:t>
            </w:r>
          </w:p>
          <w:p>
            <w:pPr>
              <w:ind w:firstLine="480"/>
            </w:pPr>
            <w:r>
              <w:rPr>
                <w:rFonts w:hint="eastAsia"/>
              </w:rPr>
              <w:t>E.城镇绿地系统组织为“一横一纵多联”。</w:t>
            </w:r>
          </w:p>
          <w:p>
            <w:pPr>
              <w:ind w:firstLine="480"/>
            </w:pPr>
            <w:r>
              <w:rPr>
                <w:rFonts w:hint="eastAsia"/>
              </w:rPr>
              <w:t>本项目选址于桐乡市崇福镇杭福路1336号20幢1号，位于崇福镇工业区内，</w:t>
            </w:r>
            <w:r>
              <w:t>主要</w:t>
            </w:r>
            <w:r>
              <w:rPr>
                <w:rFonts w:hint="eastAsia"/>
              </w:rPr>
              <w:t>从事精密配件、后倾离心风机的生产，属于二类工业项目，符合工业园区功能定位，因此本项目建设符合崇福镇城镇总体规划要求。</w:t>
            </w:r>
          </w:p>
          <w:p>
            <w:pPr>
              <w:pStyle w:val="5"/>
            </w:pPr>
            <w:r>
              <w:t>2.3</w:t>
            </w:r>
            <w:r>
              <w:rPr>
                <w:rFonts w:hint="eastAsia"/>
              </w:rPr>
              <w:t>桐乡市崇福工业区四期控制性详细规划</w:t>
            </w:r>
            <w:r>
              <w:t>及规划环评概况</w:t>
            </w:r>
          </w:p>
          <w:p>
            <w:pPr>
              <w:pStyle w:val="6"/>
            </w:pPr>
            <w:r>
              <w:t>2.3.1</w:t>
            </w:r>
            <w:r>
              <w:rPr>
                <w:rFonts w:hint="eastAsia"/>
              </w:rPr>
              <w:t>桐乡市崇福工业区四期控制</w:t>
            </w:r>
            <w:r>
              <w:t>性详细规划概况</w:t>
            </w:r>
          </w:p>
          <w:p>
            <w:pPr>
              <w:widowControl/>
              <w:ind w:firstLine="480"/>
              <w:jc w:val="left"/>
            </w:pPr>
            <w:r>
              <w:t>崇福工业园区的前身是桐乡市工业园区崇福分区，最初成立于1996年10月，2001年1月市委市政府批准设立桐乡市崇福镇工业园区。</w:t>
            </w:r>
            <w:r>
              <w:rPr>
                <w:rFonts w:hint="eastAsia"/>
              </w:rPr>
              <w:t>2</w:t>
            </w:r>
            <w:r>
              <w:t>012</w:t>
            </w:r>
            <w:r>
              <w:rPr>
                <w:rFonts w:hint="eastAsia"/>
              </w:rPr>
              <w:t>年</w:t>
            </w:r>
            <w:r>
              <w:t>崇福镇人民政府委托桐乡市城乡规划设计院编制了《桐乡市崇福工业区四期控制性详细规划》</w:t>
            </w:r>
            <w:r>
              <w:rPr>
                <w:rFonts w:hint="eastAsia"/>
              </w:rPr>
              <w:t>，并</w:t>
            </w:r>
            <w:r>
              <w:t>于2013年10月通过桐乡市环保局审查</w:t>
            </w:r>
            <w:r>
              <w:rPr>
                <w:rFonts w:hint="eastAsia"/>
              </w:rPr>
              <w:t>（</w:t>
            </w:r>
            <w:r>
              <w:t>函件文号：14-0010</w:t>
            </w:r>
            <w:r>
              <w:rPr>
                <w:rFonts w:hint="eastAsia"/>
              </w:rPr>
              <w:t>），主要内容如下：</w:t>
            </w:r>
          </w:p>
          <w:p>
            <w:pPr>
              <w:widowControl/>
              <w:ind w:firstLine="480"/>
              <w:jc w:val="left"/>
            </w:pPr>
            <w:r>
              <w:t xml:space="preserve">1、规划范围 </w:t>
            </w:r>
          </w:p>
          <w:p>
            <w:pPr>
              <w:widowControl/>
              <w:ind w:firstLine="480"/>
              <w:jc w:val="left"/>
            </w:pPr>
            <w:r>
              <w:t>规划范围</w:t>
            </w:r>
            <w:r>
              <w:rPr>
                <w:rFonts w:hint="eastAsia"/>
              </w:rPr>
              <w:t>：</w:t>
            </w:r>
            <w:r>
              <w:t>本规划适用于崇福工业区四期，东至规划景卫大道延伸线，西至京杭古运河，南至320国道和杭福路，北至店街塘港。</w:t>
            </w:r>
            <w:r>
              <w:rPr>
                <w:rFonts w:hint="eastAsia"/>
              </w:rPr>
              <w:t>规划区总面积1</w:t>
            </w:r>
            <w:r>
              <w:t>97.97公顷</w:t>
            </w:r>
            <w:r>
              <w:rPr>
                <w:rFonts w:hint="eastAsia"/>
              </w:rPr>
              <w:t>。</w:t>
            </w:r>
            <w:r>
              <w:t xml:space="preserve"> </w:t>
            </w:r>
          </w:p>
          <w:p>
            <w:pPr>
              <w:widowControl/>
              <w:ind w:firstLine="480"/>
              <w:jc w:val="left"/>
            </w:pPr>
            <w:r>
              <w:t xml:space="preserve">2、规划概况 </w:t>
            </w:r>
          </w:p>
          <w:p>
            <w:pPr>
              <w:widowControl/>
              <w:ind w:firstLine="480"/>
              <w:jc w:val="left"/>
            </w:pPr>
            <w:r>
              <w:rPr>
                <w:rFonts w:hint="eastAsia"/>
              </w:rPr>
              <w:t>（1）功能定位</w:t>
            </w:r>
          </w:p>
          <w:p>
            <w:pPr>
              <w:widowControl/>
              <w:ind w:firstLine="480"/>
              <w:jc w:val="left"/>
            </w:pPr>
            <w:r>
              <w:rPr>
                <w:rFonts w:hint="eastAsia"/>
              </w:rPr>
              <w:t>以皮革、皮草和轻纺工业为主的现代化工业区。</w:t>
            </w:r>
          </w:p>
          <w:p>
            <w:pPr>
              <w:widowControl/>
              <w:ind w:firstLine="480"/>
              <w:jc w:val="left"/>
            </w:pPr>
            <w:r>
              <w:rPr>
                <w:rFonts w:hint="eastAsia"/>
              </w:rPr>
              <w:t>（2）建设规模</w:t>
            </w:r>
          </w:p>
          <w:p>
            <w:pPr>
              <w:widowControl/>
              <w:ind w:firstLine="480"/>
              <w:jc w:val="left"/>
            </w:pPr>
            <w:r>
              <w:rPr>
                <w:rFonts w:hint="eastAsia"/>
              </w:rPr>
              <w:t>规划范围总面积197.97公顷，其中城市建设用地191.58公顷。</w:t>
            </w:r>
          </w:p>
          <w:p>
            <w:pPr>
              <w:widowControl/>
              <w:ind w:firstLine="480"/>
              <w:jc w:val="left"/>
            </w:pPr>
            <w:r>
              <w:rPr>
                <w:rFonts w:hint="eastAsia"/>
              </w:rPr>
              <w:t>（3）规划布局结构</w:t>
            </w:r>
          </w:p>
          <w:p>
            <w:pPr>
              <w:widowControl/>
              <w:ind w:firstLine="480"/>
              <w:jc w:val="left"/>
            </w:pPr>
            <w:r>
              <w:rPr>
                <w:rFonts w:hint="eastAsia"/>
              </w:rPr>
              <w:t xml:space="preserve">规划以功能为基础，以道路为骨架，结合自然地貌条件，形成了“一心、一组团”的总体格局。                                                     </w:t>
            </w:r>
          </w:p>
          <w:p>
            <w:pPr>
              <w:widowControl/>
              <w:ind w:firstLine="480"/>
              <w:jc w:val="left"/>
            </w:pPr>
            <w:r>
              <w:rPr>
                <w:rFonts w:hint="eastAsia"/>
              </w:rPr>
              <w:t>“一心”：是指经四路与杭福路、中山路所围合形成的公共服务中心。</w:t>
            </w:r>
          </w:p>
          <w:p>
            <w:pPr>
              <w:widowControl/>
              <w:ind w:firstLine="480"/>
              <w:jc w:val="left"/>
            </w:pPr>
            <w:r>
              <w:rPr>
                <w:rFonts w:hint="eastAsia"/>
              </w:rPr>
              <w:t>“一组团”：是指一个工业组团。</w:t>
            </w:r>
          </w:p>
          <w:p>
            <w:pPr>
              <w:widowControl/>
              <w:ind w:firstLine="480"/>
              <w:jc w:val="left"/>
            </w:pPr>
            <w:r>
              <w:t>本项目位于</w:t>
            </w:r>
            <w:r>
              <w:rPr>
                <w:rFonts w:hint="eastAsia"/>
              </w:rPr>
              <w:t>桐乡市崇福镇杭福路1336号20幢1号</w:t>
            </w:r>
            <w:r>
              <w:t>，属于</w:t>
            </w:r>
            <w:r>
              <w:rPr>
                <w:rFonts w:hint="eastAsia"/>
              </w:rPr>
              <w:t>桐乡市</w:t>
            </w:r>
            <w:r>
              <w:t>崇福工业</w:t>
            </w:r>
            <w:r>
              <w:rPr>
                <w:rFonts w:hint="eastAsia"/>
              </w:rPr>
              <w:t>区四</w:t>
            </w:r>
            <w:r>
              <w:t>期</w:t>
            </w:r>
            <w:r>
              <w:rPr>
                <w:rFonts w:hint="eastAsia"/>
              </w:rPr>
              <w:t xml:space="preserve"> “工业组团”</w:t>
            </w:r>
            <w:r>
              <w:t>规划范围内，</w:t>
            </w:r>
            <w:r>
              <w:rPr>
                <w:rFonts w:hint="eastAsia"/>
              </w:rPr>
              <w:t>用地性质为工业用地，本项目</w:t>
            </w:r>
            <w:r>
              <w:t>主要</w:t>
            </w:r>
            <w:r>
              <w:rPr>
                <w:rFonts w:hint="eastAsia"/>
              </w:rPr>
              <w:t>从事精密配件、后倾离心风机的生产，属于二类工业项目，</w:t>
            </w:r>
            <w:r>
              <w:t>符合工业园区功能定位</w:t>
            </w:r>
            <w:r>
              <w:rPr>
                <w:rFonts w:hint="eastAsia"/>
              </w:rPr>
              <w:t>，</w:t>
            </w:r>
            <w:r>
              <w:t>因此本项目符合</w:t>
            </w:r>
            <w:r>
              <w:rPr>
                <w:rFonts w:hint="eastAsia"/>
              </w:rPr>
              <w:t>崇福镇工业区四期规划</w:t>
            </w:r>
            <w:r>
              <w:t>。</w:t>
            </w:r>
          </w:p>
          <w:p>
            <w:pPr>
              <w:pStyle w:val="6"/>
            </w:pPr>
            <w:r>
              <w:t>2.3.2桐乡市</w:t>
            </w:r>
            <w:r>
              <w:rPr>
                <w:rFonts w:hint="eastAsia"/>
              </w:rPr>
              <w:t>崇福工业区四期控制性详细规划</w:t>
            </w:r>
            <w:r>
              <w:t>环评概况</w:t>
            </w:r>
          </w:p>
          <w:p>
            <w:pPr>
              <w:widowControl/>
              <w:ind w:firstLine="480"/>
              <w:jc w:val="left"/>
            </w:pPr>
            <w:r>
              <w:t>2019年崇福镇人民政府委托环评单位编制了《桐乡市崇福工业区四期控制性详细规划环境影响报告书》，并</w:t>
            </w:r>
            <w:r>
              <w:rPr>
                <w:rFonts w:hint="eastAsia"/>
              </w:rPr>
              <w:t>于</w:t>
            </w:r>
            <w:r>
              <w:t>2020年6月5日取得了嘉兴市生态环境局桐乡分局出具的《关于&lt;桐乡市崇福工业区四期控制性详细规划环境影响报告书&gt;的函》（嘉环桐建函[2020]第0028号）。</w:t>
            </w:r>
          </w:p>
          <w:p>
            <w:pPr>
              <w:widowControl/>
              <w:ind w:firstLine="480"/>
              <w:jc w:val="left"/>
            </w:pPr>
            <w:r>
              <w:t xml:space="preserve"> 本项目选址于《</w:t>
            </w:r>
            <w:r>
              <w:rPr>
                <w:rFonts w:hint="eastAsia"/>
              </w:rPr>
              <w:t>桐乡市崇福工业区四期控制性详细规划环境影响报告书</w:t>
            </w:r>
            <w:r>
              <w:t>》中的</w:t>
            </w:r>
            <w:r>
              <w:rPr>
                <w:rFonts w:hint="eastAsia"/>
              </w:rPr>
              <w:t>工业组团一区</w:t>
            </w:r>
            <w:r>
              <w:t>，项目属于通用设备制造业，本环评摘录了《桐乡市崇福工业区四期控制性详细规划环境影响报告书》中</w:t>
            </w:r>
            <w:r>
              <w:rPr>
                <w:rFonts w:hint="eastAsia"/>
              </w:rPr>
              <w:t>“</w:t>
            </w:r>
            <w:r>
              <w:t>工业组团</w:t>
            </w:r>
            <w:r>
              <w:rPr>
                <w:rFonts w:hint="eastAsia"/>
              </w:rPr>
              <w:t>”本项目所属区域环境准入条件清单</w:t>
            </w:r>
            <w:r>
              <w:t>中的通用设备制造业</w:t>
            </w:r>
            <w:r>
              <w:rPr>
                <w:rFonts w:hint="eastAsia"/>
              </w:rPr>
              <w:t>相关要求</w:t>
            </w:r>
            <w:r>
              <w:t xml:space="preserve">，详见表2-1。 </w:t>
            </w:r>
          </w:p>
          <w:p>
            <w:pPr>
              <w:pStyle w:val="46"/>
            </w:pPr>
            <w:r>
              <w:t xml:space="preserve">表2-1 </w:t>
            </w:r>
            <w:r>
              <w:rPr>
                <w:rFonts w:hint="eastAsia"/>
              </w:rPr>
              <w:t>“</w:t>
            </w:r>
            <w:r>
              <w:t>工业组团</w:t>
            </w:r>
            <w:r>
              <w:rPr>
                <w:rFonts w:hint="eastAsia"/>
              </w:rPr>
              <w:t>”本项目所属区域</w:t>
            </w:r>
            <w:r>
              <w:t>环境准入条件清单</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764"/>
              <w:gridCol w:w="685"/>
              <w:gridCol w:w="902"/>
              <w:gridCol w:w="1732"/>
              <w:gridCol w:w="1584"/>
              <w:gridCol w:w="1718"/>
              <w:gridCol w:w="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pct"/>
                  <w:vMerge w:val="restart"/>
                  <w:vAlign w:val="center"/>
                </w:tcPr>
                <w:p>
                  <w:pPr>
                    <w:pStyle w:val="46"/>
                  </w:pPr>
                  <w:r>
                    <w:t>类别</w:t>
                  </w:r>
                </w:p>
              </w:tc>
              <w:tc>
                <w:tcPr>
                  <w:tcW w:w="1348" w:type="pct"/>
                  <w:gridSpan w:val="3"/>
                  <w:vAlign w:val="center"/>
                </w:tcPr>
                <w:p>
                  <w:pPr>
                    <w:pStyle w:val="46"/>
                  </w:pPr>
                  <w:r>
                    <w:t>国民经济分类C制造业</w:t>
                  </w:r>
                </w:p>
              </w:tc>
              <w:tc>
                <w:tcPr>
                  <w:tcW w:w="993" w:type="pct"/>
                  <w:vMerge w:val="restart"/>
                  <w:vAlign w:val="center"/>
                </w:tcPr>
                <w:p>
                  <w:pPr>
                    <w:pStyle w:val="46"/>
                  </w:pPr>
                  <w:r>
                    <w:t>行业清单</w:t>
                  </w:r>
                </w:p>
              </w:tc>
              <w:tc>
                <w:tcPr>
                  <w:tcW w:w="908" w:type="pct"/>
                  <w:vMerge w:val="restart"/>
                  <w:vAlign w:val="center"/>
                </w:tcPr>
                <w:p>
                  <w:pPr>
                    <w:pStyle w:val="46"/>
                  </w:pPr>
                  <w:r>
                    <w:t>工艺清单</w:t>
                  </w:r>
                </w:p>
              </w:tc>
              <w:tc>
                <w:tcPr>
                  <w:tcW w:w="985" w:type="pct"/>
                  <w:vMerge w:val="restart"/>
                  <w:vAlign w:val="center"/>
                </w:tcPr>
                <w:p>
                  <w:pPr>
                    <w:pStyle w:val="46"/>
                  </w:pPr>
                  <w:r>
                    <w:t>产品清单</w:t>
                  </w:r>
                </w:p>
              </w:tc>
              <w:tc>
                <w:tcPr>
                  <w:tcW w:w="387" w:type="pct"/>
                  <w:vMerge w:val="restart"/>
                  <w:vAlign w:val="center"/>
                </w:tcPr>
                <w:p>
                  <w:pPr>
                    <w:pStyle w:val="46"/>
                  </w:pPr>
                  <w:r>
                    <w:t>制定依据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pct"/>
                  <w:vMerge w:val="continue"/>
                  <w:vAlign w:val="center"/>
                </w:tcPr>
                <w:p>
                  <w:pPr>
                    <w:pStyle w:val="47"/>
                    <w:rPr>
                      <w:szCs w:val="21"/>
                    </w:rPr>
                  </w:pPr>
                </w:p>
              </w:tc>
              <w:tc>
                <w:tcPr>
                  <w:tcW w:w="438" w:type="pct"/>
                  <w:vAlign w:val="center"/>
                </w:tcPr>
                <w:p>
                  <w:pPr>
                    <w:pStyle w:val="46"/>
                  </w:pPr>
                  <w:r>
                    <w:t>大类</w:t>
                  </w:r>
                </w:p>
              </w:tc>
              <w:tc>
                <w:tcPr>
                  <w:tcW w:w="393" w:type="pct"/>
                  <w:vAlign w:val="center"/>
                </w:tcPr>
                <w:p>
                  <w:pPr>
                    <w:pStyle w:val="46"/>
                  </w:pPr>
                  <w:r>
                    <w:t>中类</w:t>
                  </w:r>
                </w:p>
              </w:tc>
              <w:tc>
                <w:tcPr>
                  <w:tcW w:w="516" w:type="pct"/>
                  <w:vAlign w:val="center"/>
                </w:tcPr>
                <w:p>
                  <w:pPr>
                    <w:pStyle w:val="46"/>
                  </w:pPr>
                  <w:r>
                    <w:t>小类</w:t>
                  </w:r>
                </w:p>
              </w:tc>
              <w:tc>
                <w:tcPr>
                  <w:tcW w:w="993" w:type="pct"/>
                  <w:vMerge w:val="continue"/>
                  <w:vAlign w:val="center"/>
                </w:tcPr>
                <w:p>
                  <w:pPr>
                    <w:pStyle w:val="47"/>
                    <w:rPr>
                      <w:szCs w:val="21"/>
                    </w:rPr>
                  </w:pPr>
                </w:p>
              </w:tc>
              <w:tc>
                <w:tcPr>
                  <w:tcW w:w="908" w:type="pct"/>
                  <w:vMerge w:val="continue"/>
                  <w:vAlign w:val="center"/>
                </w:tcPr>
                <w:p>
                  <w:pPr>
                    <w:pStyle w:val="47"/>
                    <w:rPr>
                      <w:szCs w:val="21"/>
                    </w:rPr>
                  </w:pPr>
                </w:p>
              </w:tc>
              <w:tc>
                <w:tcPr>
                  <w:tcW w:w="985" w:type="pct"/>
                  <w:vMerge w:val="continue"/>
                  <w:vAlign w:val="center"/>
                </w:tcPr>
                <w:p>
                  <w:pPr>
                    <w:pStyle w:val="47"/>
                    <w:rPr>
                      <w:szCs w:val="21"/>
                    </w:rPr>
                  </w:pPr>
                </w:p>
              </w:tc>
              <w:tc>
                <w:tcPr>
                  <w:tcW w:w="387" w:type="pct"/>
                  <w:vMerge w:val="continue"/>
                  <w:vAlign w:val="center"/>
                </w:tcPr>
                <w:p>
                  <w:pPr>
                    <w:pStyle w:val="47"/>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pct"/>
                  <w:vMerge w:val="restart"/>
                  <w:vAlign w:val="center"/>
                </w:tcPr>
                <w:p>
                  <w:pPr>
                    <w:pStyle w:val="47"/>
                    <w:rPr>
                      <w:szCs w:val="21"/>
                    </w:rPr>
                  </w:pPr>
                  <w:r>
                    <w:rPr>
                      <w:szCs w:val="21"/>
                    </w:rPr>
                    <w:t>禁止准入</w:t>
                  </w:r>
                  <w:r>
                    <w:rPr>
                      <w:rFonts w:hint="eastAsia"/>
                      <w:szCs w:val="21"/>
                    </w:rPr>
                    <w:t>产业</w:t>
                  </w:r>
                </w:p>
              </w:tc>
              <w:tc>
                <w:tcPr>
                  <w:tcW w:w="438" w:type="pct"/>
                  <w:vMerge w:val="restart"/>
                  <w:vAlign w:val="center"/>
                </w:tcPr>
                <w:p>
                  <w:pPr>
                    <w:pStyle w:val="47"/>
                    <w:rPr>
                      <w:szCs w:val="21"/>
                    </w:rPr>
                  </w:pPr>
                  <w:r>
                    <w:rPr>
                      <w:szCs w:val="21"/>
                    </w:rPr>
                    <w:t>34通用设备制造业</w:t>
                  </w:r>
                </w:p>
              </w:tc>
              <w:tc>
                <w:tcPr>
                  <w:tcW w:w="393" w:type="pct"/>
                  <w:vAlign w:val="center"/>
                </w:tcPr>
                <w:p>
                  <w:pPr>
                    <w:pStyle w:val="47"/>
                    <w:rPr>
                      <w:szCs w:val="21"/>
                    </w:rPr>
                  </w:pPr>
                  <w:r>
                    <w:rPr>
                      <w:rFonts w:hint="eastAsia"/>
                      <w:szCs w:val="21"/>
                    </w:rPr>
                    <w:t>341</w:t>
                  </w:r>
                </w:p>
              </w:tc>
              <w:tc>
                <w:tcPr>
                  <w:tcW w:w="516" w:type="pct"/>
                  <w:vAlign w:val="center"/>
                </w:tcPr>
                <w:p>
                  <w:pPr>
                    <w:pStyle w:val="47"/>
                    <w:rPr>
                      <w:szCs w:val="21"/>
                    </w:rPr>
                  </w:pPr>
                  <w:r>
                    <w:rPr>
                      <w:rFonts w:hint="eastAsia"/>
                      <w:szCs w:val="21"/>
                    </w:rPr>
                    <w:t>3411</w:t>
                  </w:r>
                </w:p>
              </w:tc>
              <w:tc>
                <w:tcPr>
                  <w:tcW w:w="993" w:type="pct"/>
                  <w:vAlign w:val="center"/>
                </w:tcPr>
                <w:p>
                  <w:pPr>
                    <w:pStyle w:val="47"/>
                    <w:rPr>
                      <w:szCs w:val="21"/>
                    </w:rPr>
                  </w:pPr>
                  <w:r>
                    <w:rPr>
                      <w:rFonts w:hint="eastAsia"/>
                      <w:szCs w:val="21"/>
                    </w:rPr>
                    <w:t>锅炉及辅助设备制造</w:t>
                  </w:r>
                </w:p>
              </w:tc>
              <w:tc>
                <w:tcPr>
                  <w:tcW w:w="908" w:type="pct"/>
                  <w:vAlign w:val="center"/>
                </w:tcPr>
                <w:p>
                  <w:pPr>
                    <w:pStyle w:val="47"/>
                    <w:rPr>
                      <w:szCs w:val="21"/>
                    </w:rPr>
                  </w:pPr>
                  <w:r>
                    <w:rPr>
                      <w:rFonts w:hint="eastAsia"/>
                      <w:szCs w:val="21"/>
                    </w:rPr>
                    <w:t>/</w:t>
                  </w:r>
                </w:p>
              </w:tc>
              <w:tc>
                <w:tcPr>
                  <w:tcW w:w="985" w:type="pct"/>
                  <w:vAlign w:val="center"/>
                </w:tcPr>
                <w:p>
                  <w:pPr>
                    <w:pStyle w:val="47"/>
                    <w:rPr>
                      <w:szCs w:val="21"/>
                    </w:rPr>
                  </w:pPr>
                  <w:r>
                    <w:rPr>
                      <w:szCs w:val="21"/>
                    </w:rPr>
                    <w:t>普通工业锅炉</w:t>
                  </w:r>
                </w:p>
              </w:tc>
              <w:tc>
                <w:tcPr>
                  <w:tcW w:w="387" w:type="pct"/>
                  <w:vMerge w:val="restart"/>
                  <w:vAlign w:val="center"/>
                </w:tcPr>
                <w:p>
                  <w:pPr>
                    <w:pStyle w:val="47"/>
                    <w:rPr>
                      <w:szCs w:val="21"/>
                    </w:rPr>
                  </w:pPr>
                  <w:r>
                    <w:rPr>
                      <w:szCs w:val="21"/>
                    </w:rPr>
                    <w:t>桐乡市企业投资项目负面清单乙类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pct"/>
                  <w:vMerge w:val="continue"/>
                  <w:vAlign w:val="center"/>
                </w:tcPr>
                <w:p>
                  <w:pPr>
                    <w:pStyle w:val="47"/>
                    <w:rPr>
                      <w:szCs w:val="21"/>
                    </w:rPr>
                  </w:pPr>
                </w:p>
              </w:tc>
              <w:tc>
                <w:tcPr>
                  <w:tcW w:w="438" w:type="pct"/>
                  <w:vMerge w:val="continue"/>
                  <w:vAlign w:val="center"/>
                </w:tcPr>
                <w:p>
                  <w:pPr>
                    <w:pStyle w:val="47"/>
                    <w:rPr>
                      <w:szCs w:val="21"/>
                    </w:rPr>
                  </w:pPr>
                </w:p>
              </w:tc>
              <w:tc>
                <w:tcPr>
                  <w:tcW w:w="393" w:type="pct"/>
                  <w:vAlign w:val="center"/>
                </w:tcPr>
                <w:p>
                  <w:pPr>
                    <w:pStyle w:val="47"/>
                    <w:rPr>
                      <w:szCs w:val="21"/>
                    </w:rPr>
                  </w:pPr>
                  <w:r>
                    <w:rPr>
                      <w:rFonts w:hint="eastAsia"/>
                      <w:szCs w:val="21"/>
                    </w:rPr>
                    <w:t>342</w:t>
                  </w:r>
                </w:p>
              </w:tc>
              <w:tc>
                <w:tcPr>
                  <w:tcW w:w="516" w:type="pct"/>
                  <w:vAlign w:val="center"/>
                </w:tcPr>
                <w:p>
                  <w:pPr>
                    <w:pStyle w:val="47"/>
                    <w:rPr>
                      <w:szCs w:val="21"/>
                    </w:rPr>
                  </w:pPr>
                  <w:r>
                    <w:rPr>
                      <w:rFonts w:hint="eastAsia"/>
                      <w:szCs w:val="21"/>
                    </w:rPr>
                    <w:t>3425</w:t>
                  </w:r>
                </w:p>
              </w:tc>
              <w:tc>
                <w:tcPr>
                  <w:tcW w:w="993" w:type="pct"/>
                  <w:vAlign w:val="center"/>
                </w:tcPr>
                <w:p>
                  <w:pPr>
                    <w:pStyle w:val="47"/>
                    <w:rPr>
                      <w:szCs w:val="21"/>
                    </w:rPr>
                  </w:pPr>
                  <w:r>
                    <w:rPr>
                      <w:rFonts w:hint="eastAsia"/>
                      <w:szCs w:val="21"/>
                    </w:rPr>
                    <w:t>机床功能部件及附件制造</w:t>
                  </w:r>
                </w:p>
              </w:tc>
              <w:tc>
                <w:tcPr>
                  <w:tcW w:w="908" w:type="pct"/>
                  <w:vAlign w:val="center"/>
                </w:tcPr>
                <w:p>
                  <w:pPr>
                    <w:pStyle w:val="47"/>
                    <w:rPr>
                      <w:szCs w:val="21"/>
                    </w:rPr>
                  </w:pPr>
                  <w:r>
                    <w:rPr>
                      <w:rFonts w:hint="eastAsia"/>
                      <w:szCs w:val="21"/>
                    </w:rPr>
                    <w:t>/</w:t>
                  </w:r>
                </w:p>
              </w:tc>
              <w:tc>
                <w:tcPr>
                  <w:tcW w:w="985" w:type="pct"/>
                  <w:vAlign w:val="center"/>
                </w:tcPr>
                <w:p>
                  <w:pPr>
                    <w:pStyle w:val="47"/>
                    <w:rPr>
                      <w:szCs w:val="21"/>
                    </w:rPr>
                  </w:pPr>
                  <w:r>
                    <w:rPr>
                      <w:szCs w:val="21"/>
                    </w:rPr>
                    <w:t>砂轮及人造金刚石切割锯片</w:t>
                  </w:r>
                </w:p>
              </w:tc>
              <w:tc>
                <w:tcPr>
                  <w:tcW w:w="387" w:type="pct"/>
                  <w:vMerge w:val="continue"/>
                  <w:vAlign w:val="center"/>
                </w:tcPr>
                <w:p>
                  <w:pPr>
                    <w:pStyle w:val="47"/>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pct"/>
                  <w:vMerge w:val="continue"/>
                  <w:vAlign w:val="center"/>
                </w:tcPr>
                <w:p>
                  <w:pPr>
                    <w:pStyle w:val="47"/>
                    <w:rPr>
                      <w:szCs w:val="21"/>
                    </w:rPr>
                  </w:pPr>
                </w:p>
              </w:tc>
              <w:tc>
                <w:tcPr>
                  <w:tcW w:w="438" w:type="pct"/>
                  <w:vMerge w:val="continue"/>
                  <w:vAlign w:val="center"/>
                </w:tcPr>
                <w:p>
                  <w:pPr>
                    <w:pStyle w:val="47"/>
                    <w:rPr>
                      <w:szCs w:val="21"/>
                    </w:rPr>
                  </w:pPr>
                </w:p>
              </w:tc>
              <w:tc>
                <w:tcPr>
                  <w:tcW w:w="393" w:type="pct"/>
                  <w:vAlign w:val="center"/>
                </w:tcPr>
                <w:p>
                  <w:pPr>
                    <w:pStyle w:val="47"/>
                    <w:rPr>
                      <w:szCs w:val="21"/>
                    </w:rPr>
                  </w:pPr>
                  <w:r>
                    <w:rPr>
                      <w:rFonts w:hint="eastAsia"/>
                      <w:szCs w:val="21"/>
                    </w:rPr>
                    <w:t>346</w:t>
                  </w:r>
                </w:p>
              </w:tc>
              <w:tc>
                <w:tcPr>
                  <w:tcW w:w="516" w:type="pct"/>
                  <w:vAlign w:val="center"/>
                </w:tcPr>
                <w:p>
                  <w:pPr>
                    <w:pStyle w:val="47"/>
                    <w:rPr>
                      <w:szCs w:val="21"/>
                    </w:rPr>
                  </w:pPr>
                  <w:r>
                    <w:rPr>
                      <w:rFonts w:hint="eastAsia"/>
                      <w:szCs w:val="21"/>
                    </w:rPr>
                    <w:t>3464</w:t>
                  </w:r>
                </w:p>
              </w:tc>
              <w:tc>
                <w:tcPr>
                  <w:tcW w:w="993" w:type="pct"/>
                  <w:vAlign w:val="center"/>
                </w:tcPr>
                <w:p>
                  <w:pPr>
                    <w:pStyle w:val="47"/>
                    <w:rPr>
                      <w:szCs w:val="21"/>
                    </w:rPr>
                  </w:pPr>
                  <w:r>
                    <w:rPr>
                      <w:rFonts w:hint="eastAsia"/>
                      <w:szCs w:val="21"/>
                    </w:rPr>
                    <w:t>制冷、空调设备制</w:t>
                  </w:r>
                </w:p>
              </w:tc>
              <w:tc>
                <w:tcPr>
                  <w:tcW w:w="908" w:type="pct"/>
                  <w:vAlign w:val="center"/>
                </w:tcPr>
                <w:p>
                  <w:pPr>
                    <w:pStyle w:val="47"/>
                    <w:rPr>
                      <w:szCs w:val="21"/>
                    </w:rPr>
                  </w:pPr>
                  <w:r>
                    <w:rPr>
                      <w:rFonts w:hint="eastAsia"/>
                      <w:szCs w:val="21"/>
                    </w:rPr>
                    <w:t>/</w:t>
                  </w:r>
                </w:p>
              </w:tc>
              <w:tc>
                <w:tcPr>
                  <w:tcW w:w="985" w:type="pct"/>
                  <w:vAlign w:val="center"/>
                </w:tcPr>
                <w:p>
                  <w:pPr>
                    <w:pStyle w:val="47"/>
                    <w:rPr>
                      <w:szCs w:val="21"/>
                    </w:rPr>
                  </w:pPr>
                  <w:r>
                    <w:rPr>
                      <w:rFonts w:hint="eastAsia"/>
                      <w:szCs w:val="21"/>
                    </w:rPr>
                    <w:t>新建冷藏、冷冻箱生产线</w:t>
                  </w:r>
                </w:p>
                <w:p>
                  <w:pPr>
                    <w:pStyle w:val="47"/>
                    <w:rPr>
                      <w:szCs w:val="21"/>
                    </w:rPr>
                  </w:pPr>
                  <w:r>
                    <w:rPr>
                      <w:rFonts w:hint="eastAsia"/>
                      <w:szCs w:val="21"/>
                    </w:rPr>
                    <w:t>（环保型除外）</w:t>
                  </w:r>
                </w:p>
              </w:tc>
              <w:tc>
                <w:tcPr>
                  <w:tcW w:w="387" w:type="pct"/>
                  <w:vMerge w:val="continue"/>
                  <w:vAlign w:val="center"/>
                </w:tcPr>
                <w:p>
                  <w:pPr>
                    <w:pStyle w:val="47"/>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pct"/>
                  <w:vMerge w:val="continue"/>
                  <w:vAlign w:val="center"/>
                </w:tcPr>
                <w:p>
                  <w:pPr>
                    <w:pStyle w:val="47"/>
                    <w:rPr>
                      <w:szCs w:val="21"/>
                    </w:rPr>
                  </w:pPr>
                </w:p>
              </w:tc>
              <w:tc>
                <w:tcPr>
                  <w:tcW w:w="438" w:type="pct"/>
                  <w:vMerge w:val="continue"/>
                  <w:vAlign w:val="center"/>
                </w:tcPr>
                <w:p>
                  <w:pPr>
                    <w:pStyle w:val="47"/>
                    <w:rPr>
                      <w:szCs w:val="21"/>
                    </w:rPr>
                  </w:pPr>
                </w:p>
              </w:tc>
              <w:tc>
                <w:tcPr>
                  <w:tcW w:w="393" w:type="pct"/>
                  <w:vMerge w:val="restart"/>
                  <w:vAlign w:val="center"/>
                </w:tcPr>
                <w:p>
                  <w:pPr>
                    <w:pStyle w:val="47"/>
                    <w:rPr>
                      <w:szCs w:val="21"/>
                    </w:rPr>
                  </w:pPr>
                  <w:r>
                    <w:rPr>
                      <w:rFonts w:hint="eastAsia"/>
                      <w:szCs w:val="21"/>
                    </w:rPr>
                    <w:t>348</w:t>
                  </w:r>
                </w:p>
              </w:tc>
              <w:tc>
                <w:tcPr>
                  <w:tcW w:w="516" w:type="pct"/>
                  <w:vAlign w:val="center"/>
                </w:tcPr>
                <w:p>
                  <w:pPr>
                    <w:pStyle w:val="47"/>
                    <w:rPr>
                      <w:szCs w:val="21"/>
                    </w:rPr>
                  </w:pPr>
                  <w:r>
                    <w:rPr>
                      <w:rFonts w:hint="eastAsia"/>
                      <w:szCs w:val="21"/>
                    </w:rPr>
                    <w:t>3482</w:t>
                  </w:r>
                </w:p>
              </w:tc>
              <w:tc>
                <w:tcPr>
                  <w:tcW w:w="993" w:type="pct"/>
                  <w:vAlign w:val="center"/>
                </w:tcPr>
                <w:p>
                  <w:pPr>
                    <w:pStyle w:val="47"/>
                    <w:rPr>
                      <w:szCs w:val="21"/>
                    </w:rPr>
                  </w:pPr>
                  <w:r>
                    <w:rPr>
                      <w:rFonts w:hint="eastAsia"/>
                      <w:szCs w:val="21"/>
                    </w:rPr>
                    <w:t>紧固件制造</w:t>
                  </w:r>
                </w:p>
              </w:tc>
              <w:tc>
                <w:tcPr>
                  <w:tcW w:w="908" w:type="pct"/>
                  <w:vAlign w:val="center"/>
                </w:tcPr>
                <w:p>
                  <w:pPr>
                    <w:pStyle w:val="47"/>
                    <w:rPr>
                      <w:szCs w:val="21"/>
                    </w:rPr>
                  </w:pPr>
                  <w:r>
                    <w:rPr>
                      <w:rFonts w:hint="eastAsia"/>
                      <w:szCs w:val="21"/>
                    </w:rPr>
                    <w:t>/</w:t>
                  </w:r>
                </w:p>
              </w:tc>
              <w:tc>
                <w:tcPr>
                  <w:tcW w:w="985" w:type="pct"/>
                  <w:vAlign w:val="center"/>
                </w:tcPr>
                <w:p>
                  <w:pPr>
                    <w:pStyle w:val="47"/>
                    <w:rPr>
                      <w:szCs w:val="21"/>
                    </w:rPr>
                  </w:pPr>
                  <w:r>
                    <w:rPr>
                      <w:rFonts w:hint="eastAsia"/>
                      <w:szCs w:val="21"/>
                    </w:rPr>
                    <w:t>普通紧固件</w:t>
                  </w:r>
                </w:p>
              </w:tc>
              <w:tc>
                <w:tcPr>
                  <w:tcW w:w="387" w:type="pct"/>
                  <w:vMerge w:val="continue"/>
                  <w:vAlign w:val="center"/>
                </w:tcPr>
                <w:p>
                  <w:pPr>
                    <w:pStyle w:val="47"/>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pct"/>
                  <w:vMerge w:val="continue"/>
                  <w:vAlign w:val="center"/>
                </w:tcPr>
                <w:p>
                  <w:pPr>
                    <w:pStyle w:val="47"/>
                    <w:rPr>
                      <w:szCs w:val="21"/>
                    </w:rPr>
                  </w:pPr>
                </w:p>
              </w:tc>
              <w:tc>
                <w:tcPr>
                  <w:tcW w:w="438" w:type="pct"/>
                  <w:vMerge w:val="continue"/>
                  <w:vAlign w:val="center"/>
                </w:tcPr>
                <w:p>
                  <w:pPr>
                    <w:pStyle w:val="47"/>
                    <w:rPr>
                      <w:szCs w:val="21"/>
                    </w:rPr>
                  </w:pPr>
                </w:p>
              </w:tc>
              <w:tc>
                <w:tcPr>
                  <w:tcW w:w="393" w:type="pct"/>
                  <w:vMerge w:val="continue"/>
                  <w:vAlign w:val="center"/>
                </w:tcPr>
                <w:p>
                  <w:pPr>
                    <w:pStyle w:val="47"/>
                    <w:rPr>
                      <w:szCs w:val="21"/>
                    </w:rPr>
                  </w:pPr>
                </w:p>
              </w:tc>
              <w:tc>
                <w:tcPr>
                  <w:tcW w:w="516" w:type="pct"/>
                  <w:vAlign w:val="center"/>
                </w:tcPr>
                <w:p>
                  <w:pPr>
                    <w:pStyle w:val="47"/>
                    <w:rPr>
                      <w:szCs w:val="21"/>
                    </w:rPr>
                  </w:pPr>
                  <w:r>
                    <w:rPr>
                      <w:rFonts w:hint="eastAsia"/>
                      <w:szCs w:val="21"/>
                    </w:rPr>
                    <w:t>3489</w:t>
                  </w:r>
                </w:p>
              </w:tc>
              <w:tc>
                <w:tcPr>
                  <w:tcW w:w="993" w:type="pct"/>
                  <w:vAlign w:val="center"/>
                </w:tcPr>
                <w:p>
                  <w:pPr>
                    <w:pStyle w:val="47"/>
                    <w:rPr>
                      <w:szCs w:val="21"/>
                    </w:rPr>
                  </w:pPr>
                  <w:r>
                    <w:rPr>
                      <w:rFonts w:hint="eastAsia"/>
                      <w:szCs w:val="21"/>
                    </w:rPr>
                    <w:t>其他通用零部件制造</w:t>
                  </w:r>
                </w:p>
              </w:tc>
              <w:tc>
                <w:tcPr>
                  <w:tcW w:w="908" w:type="pct"/>
                  <w:vAlign w:val="center"/>
                </w:tcPr>
                <w:p>
                  <w:pPr>
                    <w:pStyle w:val="47"/>
                    <w:rPr>
                      <w:szCs w:val="21"/>
                    </w:rPr>
                  </w:pPr>
                  <w:r>
                    <w:rPr>
                      <w:rFonts w:hint="eastAsia"/>
                      <w:szCs w:val="21"/>
                    </w:rPr>
                    <w:t>/</w:t>
                  </w:r>
                </w:p>
              </w:tc>
              <w:tc>
                <w:tcPr>
                  <w:tcW w:w="985" w:type="pct"/>
                  <w:vAlign w:val="center"/>
                </w:tcPr>
                <w:p>
                  <w:pPr>
                    <w:pStyle w:val="47"/>
                    <w:rPr>
                      <w:szCs w:val="21"/>
                    </w:rPr>
                  </w:pPr>
                  <w:r>
                    <w:rPr>
                      <w:rFonts w:hint="eastAsia"/>
                      <w:szCs w:val="21"/>
                    </w:rPr>
                    <w:t>电焊条</w:t>
                  </w:r>
                </w:p>
              </w:tc>
              <w:tc>
                <w:tcPr>
                  <w:tcW w:w="387" w:type="pct"/>
                  <w:vMerge w:val="continue"/>
                  <w:vAlign w:val="center"/>
                </w:tcPr>
                <w:p>
                  <w:pPr>
                    <w:pStyle w:val="47"/>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pct"/>
                  <w:vMerge w:val="restart"/>
                  <w:vAlign w:val="center"/>
                </w:tcPr>
                <w:p>
                  <w:pPr>
                    <w:pStyle w:val="47"/>
                    <w:rPr>
                      <w:szCs w:val="21"/>
                    </w:rPr>
                  </w:pPr>
                  <w:r>
                    <w:rPr>
                      <w:szCs w:val="21"/>
                    </w:rPr>
                    <w:t>限制准入产业</w:t>
                  </w:r>
                </w:p>
              </w:tc>
              <w:tc>
                <w:tcPr>
                  <w:tcW w:w="438" w:type="pct"/>
                  <w:vMerge w:val="restart"/>
                  <w:vAlign w:val="center"/>
                </w:tcPr>
                <w:p>
                  <w:pPr>
                    <w:pStyle w:val="47"/>
                    <w:rPr>
                      <w:szCs w:val="21"/>
                    </w:rPr>
                  </w:pPr>
                  <w:r>
                    <w:rPr>
                      <w:szCs w:val="21"/>
                    </w:rPr>
                    <w:t>34通用设备制造业</w:t>
                  </w:r>
                </w:p>
              </w:tc>
              <w:tc>
                <w:tcPr>
                  <w:tcW w:w="393" w:type="pct"/>
                  <w:vAlign w:val="center"/>
                </w:tcPr>
                <w:p>
                  <w:pPr>
                    <w:pStyle w:val="47"/>
                    <w:rPr>
                      <w:szCs w:val="21"/>
                    </w:rPr>
                  </w:pPr>
                  <w:r>
                    <w:rPr>
                      <w:rFonts w:hint="eastAsia"/>
                      <w:szCs w:val="21"/>
                    </w:rPr>
                    <w:t>342</w:t>
                  </w:r>
                </w:p>
              </w:tc>
              <w:tc>
                <w:tcPr>
                  <w:tcW w:w="516" w:type="pct"/>
                  <w:vAlign w:val="center"/>
                </w:tcPr>
                <w:p>
                  <w:pPr>
                    <w:pStyle w:val="47"/>
                    <w:rPr>
                      <w:szCs w:val="21"/>
                    </w:rPr>
                  </w:pPr>
                  <w:r>
                    <w:rPr>
                      <w:rFonts w:hint="eastAsia"/>
                      <w:szCs w:val="21"/>
                    </w:rPr>
                    <w:t>3421</w:t>
                  </w:r>
                </w:p>
              </w:tc>
              <w:tc>
                <w:tcPr>
                  <w:tcW w:w="993" w:type="pct"/>
                  <w:vAlign w:val="center"/>
                </w:tcPr>
                <w:p>
                  <w:pPr>
                    <w:pStyle w:val="47"/>
                    <w:rPr>
                      <w:szCs w:val="21"/>
                    </w:rPr>
                  </w:pPr>
                  <w:r>
                    <w:rPr>
                      <w:rFonts w:hint="eastAsia"/>
                      <w:szCs w:val="21"/>
                    </w:rPr>
                    <w:t>金属切削机床制造</w:t>
                  </w:r>
                </w:p>
              </w:tc>
              <w:tc>
                <w:tcPr>
                  <w:tcW w:w="908" w:type="pct"/>
                  <w:vAlign w:val="center"/>
                </w:tcPr>
                <w:p>
                  <w:pPr>
                    <w:pStyle w:val="47"/>
                    <w:rPr>
                      <w:szCs w:val="21"/>
                    </w:rPr>
                  </w:pPr>
                  <w:r>
                    <w:rPr>
                      <w:rFonts w:hint="eastAsia"/>
                      <w:szCs w:val="21"/>
                    </w:rPr>
                    <w:t>普通切削机床制造项目（数控机床除外）、普通微小型轴承制造项目</w:t>
                  </w:r>
                </w:p>
              </w:tc>
              <w:tc>
                <w:tcPr>
                  <w:tcW w:w="985" w:type="pct"/>
                  <w:vAlign w:val="center"/>
                </w:tcPr>
                <w:p>
                  <w:pPr>
                    <w:pStyle w:val="47"/>
                    <w:rPr>
                      <w:szCs w:val="21"/>
                    </w:rPr>
                  </w:pPr>
                  <w:r>
                    <w:rPr>
                      <w:rFonts w:hint="eastAsia"/>
                      <w:szCs w:val="21"/>
                    </w:rPr>
                    <w:t>/</w:t>
                  </w:r>
                </w:p>
              </w:tc>
              <w:tc>
                <w:tcPr>
                  <w:tcW w:w="387" w:type="pct"/>
                  <w:vMerge w:val="restart"/>
                  <w:vAlign w:val="center"/>
                </w:tcPr>
                <w:p>
                  <w:pPr>
                    <w:pStyle w:val="47"/>
                    <w:rPr>
                      <w:szCs w:val="21"/>
                    </w:rPr>
                  </w:pPr>
                  <w:r>
                    <w:rPr>
                      <w:szCs w:val="21"/>
                    </w:rPr>
                    <w:t>桐乡市企业投资项目负面清单甲类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pct"/>
                  <w:vMerge w:val="continue"/>
                  <w:vAlign w:val="center"/>
                </w:tcPr>
                <w:p>
                  <w:pPr>
                    <w:pStyle w:val="47"/>
                    <w:rPr>
                      <w:szCs w:val="21"/>
                    </w:rPr>
                  </w:pPr>
                </w:p>
              </w:tc>
              <w:tc>
                <w:tcPr>
                  <w:tcW w:w="438" w:type="pct"/>
                  <w:vMerge w:val="continue"/>
                  <w:vAlign w:val="center"/>
                </w:tcPr>
                <w:p>
                  <w:pPr>
                    <w:pStyle w:val="47"/>
                    <w:rPr>
                      <w:szCs w:val="21"/>
                    </w:rPr>
                  </w:pPr>
                </w:p>
              </w:tc>
              <w:tc>
                <w:tcPr>
                  <w:tcW w:w="393" w:type="pct"/>
                  <w:vAlign w:val="center"/>
                </w:tcPr>
                <w:p>
                  <w:pPr>
                    <w:pStyle w:val="47"/>
                    <w:rPr>
                      <w:szCs w:val="21"/>
                    </w:rPr>
                  </w:pPr>
                  <w:r>
                    <w:rPr>
                      <w:rFonts w:hint="eastAsia"/>
                      <w:szCs w:val="21"/>
                    </w:rPr>
                    <w:t>344</w:t>
                  </w:r>
                </w:p>
              </w:tc>
              <w:tc>
                <w:tcPr>
                  <w:tcW w:w="516" w:type="pct"/>
                  <w:vAlign w:val="center"/>
                </w:tcPr>
                <w:p>
                  <w:pPr>
                    <w:pStyle w:val="47"/>
                    <w:rPr>
                      <w:szCs w:val="21"/>
                    </w:rPr>
                  </w:pPr>
                  <w:r>
                    <w:rPr>
                      <w:rFonts w:hint="eastAsia"/>
                      <w:szCs w:val="21"/>
                    </w:rPr>
                    <w:t>3443</w:t>
                  </w:r>
                </w:p>
              </w:tc>
              <w:tc>
                <w:tcPr>
                  <w:tcW w:w="993" w:type="pct"/>
                  <w:vAlign w:val="center"/>
                </w:tcPr>
                <w:p>
                  <w:pPr>
                    <w:pStyle w:val="47"/>
                    <w:rPr>
                      <w:szCs w:val="21"/>
                    </w:rPr>
                  </w:pPr>
                  <w:r>
                    <w:rPr>
                      <w:rFonts w:hint="eastAsia"/>
                      <w:szCs w:val="21"/>
                    </w:rPr>
                    <w:t>阀门和旋塞制造</w:t>
                  </w:r>
                </w:p>
              </w:tc>
              <w:tc>
                <w:tcPr>
                  <w:tcW w:w="908" w:type="pct"/>
                  <w:vAlign w:val="center"/>
                </w:tcPr>
                <w:p>
                  <w:pPr>
                    <w:pStyle w:val="47"/>
                    <w:rPr>
                      <w:szCs w:val="21"/>
                    </w:rPr>
                  </w:pPr>
                  <w:r>
                    <w:rPr>
                      <w:rFonts w:hint="eastAsia"/>
                      <w:szCs w:val="21"/>
                    </w:rPr>
                    <w:t>中低压碳钢阀门制造项目</w:t>
                  </w:r>
                </w:p>
              </w:tc>
              <w:tc>
                <w:tcPr>
                  <w:tcW w:w="985" w:type="pct"/>
                  <w:vAlign w:val="center"/>
                </w:tcPr>
                <w:p>
                  <w:pPr>
                    <w:pStyle w:val="47"/>
                    <w:rPr>
                      <w:szCs w:val="21"/>
                    </w:rPr>
                  </w:pPr>
                  <w:r>
                    <w:rPr>
                      <w:rFonts w:hint="eastAsia"/>
                      <w:szCs w:val="21"/>
                    </w:rPr>
                    <w:t>防火阀门包括防火阀、排烟阀、排烟防火阀</w:t>
                  </w:r>
                </w:p>
              </w:tc>
              <w:tc>
                <w:tcPr>
                  <w:tcW w:w="387" w:type="pct"/>
                  <w:vMerge w:val="continue"/>
                  <w:vAlign w:val="center"/>
                </w:tcPr>
                <w:p>
                  <w:pPr>
                    <w:pStyle w:val="47"/>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pct"/>
                  <w:vMerge w:val="continue"/>
                  <w:vAlign w:val="center"/>
                </w:tcPr>
                <w:p>
                  <w:pPr>
                    <w:pStyle w:val="47"/>
                    <w:rPr>
                      <w:szCs w:val="21"/>
                    </w:rPr>
                  </w:pPr>
                </w:p>
              </w:tc>
              <w:tc>
                <w:tcPr>
                  <w:tcW w:w="438" w:type="pct"/>
                  <w:vMerge w:val="continue"/>
                  <w:vAlign w:val="center"/>
                </w:tcPr>
                <w:p>
                  <w:pPr>
                    <w:pStyle w:val="47"/>
                    <w:rPr>
                      <w:szCs w:val="21"/>
                    </w:rPr>
                  </w:pPr>
                </w:p>
              </w:tc>
              <w:tc>
                <w:tcPr>
                  <w:tcW w:w="393" w:type="pct"/>
                  <w:vAlign w:val="center"/>
                </w:tcPr>
                <w:p>
                  <w:pPr>
                    <w:pStyle w:val="47"/>
                    <w:rPr>
                      <w:szCs w:val="21"/>
                    </w:rPr>
                  </w:pPr>
                  <w:r>
                    <w:rPr>
                      <w:rFonts w:hint="eastAsia"/>
                      <w:szCs w:val="21"/>
                    </w:rPr>
                    <w:t>345</w:t>
                  </w:r>
                </w:p>
              </w:tc>
              <w:tc>
                <w:tcPr>
                  <w:tcW w:w="516" w:type="pct"/>
                  <w:vAlign w:val="center"/>
                </w:tcPr>
                <w:p>
                  <w:pPr>
                    <w:pStyle w:val="47"/>
                    <w:rPr>
                      <w:szCs w:val="21"/>
                    </w:rPr>
                  </w:pPr>
                  <w:r>
                    <w:rPr>
                      <w:rFonts w:hint="eastAsia"/>
                      <w:szCs w:val="21"/>
                    </w:rPr>
                    <w:t>全部</w:t>
                  </w:r>
                </w:p>
              </w:tc>
              <w:tc>
                <w:tcPr>
                  <w:tcW w:w="993" w:type="pct"/>
                  <w:vAlign w:val="center"/>
                </w:tcPr>
                <w:p>
                  <w:pPr>
                    <w:pStyle w:val="47"/>
                    <w:rPr>
                      <w:szCs w:val="21"/>
                    </w:rPr>
                  </w:pPr>
                  <w:r>
                    <w:rPr>
                      <w:rFonts w:hint="eastAsia"/>
                      <w:szCs w:val="21"/>
                    </w:rPr>
                    <w:t>轴承、齿轮和传动部件制造</w:t>
                  </w:r>
                </w:p>
              </w:tc>
              <w:tc>
                <w:tcPr>
                  <w:tcW w:w="908" w:type="pct"/>
                  <w:vAlign w:val="center"/>
                </w:tcPr>
                <w:p>
                  <w:pPr>
                    <w:pStyle w:val="47"/>
                    <w:rPr>
                      <w:szCs w:val="21"/>
                    </w:rPr>
                  </w:pPr>
                  <w:r>
                    <w:rPr>
                      <w:rFonts w:hint="eastAsia"/>
                      <w:szCs w:val="21"/>
                    </w:rPr>
                    <w:t>普通微小型轴承制造项目</w:t>
                  </w:r>
                </w:p>
              </w:tc>
              <w:tc>
                <w:tcPr>
                  <w:tcW w:w="985" w:type="pct"/>
                  <w:vAlign w:val="center"/>
                </w:tcPr>
                <w:p>
                  <w:pPr>
                    <w:pStyle w:val="47"/>
                    <w:rPr>
                      <w:szCs w:val="21"/>
                    </w:rPr>
                  </w:pPr>
                  <w:r>
                    <w:rPr>
                      <w:rFonts w:hint="eastAsia"/>
                      <w:szCs w:val="21"/>
                    </w:rPr>
                    <w:t>/</w:t>
                  </w:r>
                </w:p>
              </w:tc>
              <w:tc>
                <w:tcPr>
                  <w:tcW w:w="387" w:type="pct"/>
                  <w:vMerge w:val="continue"/>
                  <w:vAlign w:val="center"/>
                </w:tcPr>
                <w:p>
                  <w:pPr>
                    <w:pStyle w:val="47"/>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pct"/>
                  <w:vMerge w:val="continue"/>
                  <w:vAlign w:val="center"/>
                </w:tcPr>
                <w:p>
                  <w:pPr>
                    <w:pStyle w:val="47"/>
                    <w:rPr>
                      <w:szCs w:val="21"/>
                    </w:rPr>
                  </w:pPr>
                </w:p>
              </w:tc>
              <w:tc>
                <w:tcPr>
                  <w:tcW w:w="438" w:type="pct"/>
                  <w:vMerge w:val="continue"/>
                  <w:vAlign w:val="center"/>
                </w:tcPr>
                <w:p>
                  <w:pPr>
                    <w:pStyle w:val="47"/>
                    <w:rPr>
                      <w:szCs w:val="21"/>
                    </w:rPr>
                  </w:pPr>
                </w:p>
              </w:tc>
              <w:tc>
                <w:tcPr>
                  <w:tcW w:w="393" w:type="pct"/>
                  <w:vAlign w:val="center"/>
                </w:tcPr>
                <w:p>
                  <w:pPr>
                    <w:pStyle w:val="47"/>
                    <w:rPr>
                      <w:szCs w:val="21"/>
                    </w:rPr>
                  </w:pPr>
                  <w:r>
                    <w:rPr>
                      <w:rFonts w:hint="eastAsia"/>
                      <w:szCs w:val="21"/>
                    </w:rPr>
                    <w:t>3</w:t>
                  </w:r>
                  <w:r>
                    <w:rPr>
                      <w:szCs w:val="21"/>
                    </w:rPr>
                    <w:t>48</w:t>
                  </w:r>
                </w:p>
              </w:tc>
              <w:tc>
                <w:tcPr>
                  <w:tcW w:w="516" w:type="pct"/>
                  <w:vAlign w:val="center"/>
                </w:tcPr>
                <w:p>
                  <w:pPr>
                    <w:pStyle w:val="47"/>
                    <w:rPr>
                      <w:szCs w:val="21"/>
                    </w:rPr>
                  </w:pPr>
                  <w:r>
                    <w:rPr>
                      <w:rFonts w:hint="eastAsia"/>
                      <w:szCs w:val="21"/>
                    </w:rPr>
                    <w:t>全部</w:t>
                  </w:r>
                </w:p>
              </w:tc>
              <w:tc>
                <w:tcPr>
                  <w:tcW w:w="993" w:type="pct"/>
                  <w:vAlign w:val="center"/>
                </w:tcPr>
                <w:p>
                  <w:pPr>
                    <w:pStyle w:val="47"/>
                    <w:rPr>
                      <w:szCs w:val="21"/>
                    </w:rPr>
                  </w:pPr>
                  <w:r>
                    <w:rPr>
                      <w:rFonts w:hint="eastAsia"/>
                      <w:szCs w:val="21"/>
                    </w:rPr>
                    <w:t>通用零部件制造</w:t>
                  </w:r>
                </w:p>
              </w:tc>
              <w:tc>
                <w:tcPr>
                  <w:tcW w:w="908" w:type="pct"/>
                  <w:vAlign w:val="center"/>
                </w:tcPr>
                <w:p>
                  <w:pPr>
                    <w:pStyle w:val="47"/>
                    <w:rPr>
                      <w:szCs w:val="21"/>
                    </w:rPr>
                  </w:pPr>
                  <w:r>
                    <w:rPr>
                      <w:rFonts w:hint="eastAsia"/>
                      <w:szCs w:val="21"/>
                    </w:rPr>
                    <w:t>/</w:t>
                  </w:r>
                </w:p>
              </w:tc>
              <w:tc>
                <w:tcPr>
                  <w:tcW w:w="985" w:type="pct"/>
                  <w:vAlign w:val="center"/>
                </w:tcPr>
                <w:p>
                  <w:pPr>
                    <w:pStyle w:val="47"/>
                    <w:rPr>
                      <w:szCs w:val="21"/>
                    </w:rPr>
                  </w:pPr>
                  <w:r>
                    <w:rPr>
                      <w:rFonts w:hint="eastAsia"/>
                      <w:szCs w:val="21"/>
                    </w:rPr>
                    <w:t>一般普通标准件</w:t>
                  </w:r>
                </w:p>
              </w:tc>
              <w:tc>
                <w:tcPr>
                  <w:tcW w:w="387" w:type="pct"/>
                  <w:vMerge w:val="continue"/>
                  <w:vAlign w:val="center"/>
                </w:tcPr>
                <w:p>
                  <w:pPr>
                    <w:pStyle w:val="47"/>
                    <w:rPr>
                      <w:szCs w:val="21"/>
                    </w:rPr>
                  </w:pPr>
                </w:p>
              </w:tc>
            </w:tr>
          </w:tbl>
          <w:p>
            <w:pPr>
              <w:widowControl/>
              <w:spacing w:before="120" w:beforeLines="50"/>
              <w:ind w:firstLine="480"/>
              <w:jc w:val="left"/>
            </w:pPr>
            <w:r>
              <w:t>本项目</w:t>
            </w:r>
            <w:r>
              <w:rPr>
                <w:rFonts w:hint="eastAsia"/>
              </w:rPr>
              <w:t>选址于桐乡市崇福镇杭福路1336号20幢1号，属于桐乡市崇福工业区四期 “工业组团”规划范围内，本项目</w:t>
            </w:r>
            <w:r>
              <w:t>主要</w:t>
            </w:r>
            <w:r>
              <w:rPr>
                <w:rFonts w:hint="eastAsia"/>
              </w:rPr>
              <w:t>从事精密配件、后倾离心风机的生产</w:t>
            </w:r>
            <w:r>
              <w:t>，</w:t>
            </w:r>
            <w:r>
              <w:rPr>
                <w:rFonts w:hint="eastAsia"/>
              </w:rPr>
              <w:t>属于“</w:t>
            </w:r>
            <w:r>
              <w:t xml:space="preserve">C346 </w:t>
            </w:r>
            <w:r>
              <w:rPr>
                <w:rFonts w:hint="eastAsia"/>
              </w:rPr>
              <w:t>烘炉、风机、包装等设备制造”，为二类工业项目</w:t>
            </w:r>
            <w:r>
              <w:t>，经对照不属于</w:t>
            </w:r>
            <w:r>
              <w:rPr>
                <w:rFonts w:hint="eastAsia"/>
              </w:rPr>
              <w:t>桐乡市崇福工业区环境准入条件清单中的</w:t>
            </w:r>
            <w:r>
              <w:t>禁止和限制准入产业</w:t>
            </w:r>
            <w:r>
              <w:rPr>
                <w:rFonts w:hint="eastAsia"/>
              </w:rPr>
              <w:t>；项目废水、废气和噪声均能达标排放，固废加强管理按要求做到零排放；废气污染物和废水污染物排放总量较少。因此，本项目的建设</w:t>
            </w:r>
            <w:r>
              <w:t>符合该区规划环评的要求。</w:t>
            </w:r>
          </w:p>
          <w:p>
            <w:pPr>
              <w:pStyle w:val="5"/>
            </w:pPr>
            <w:r>
              <w:rPr>
                <w:rFonts w:hint="eastAsia"/>
              </w:rPr>
              <w:t>2.4桐乡市“三线一单”生态环境分区管控方案符合性分析</w:t>
            </w:r>
          </w:p>
          <w:p>
            <w:pPr>
              <w:ind w:firstLine="480"/>
            </w:pPr>
            <w:r>
              <w:t>本项目位于</w:t>
            </w:r>
            <w:r>
              <w:rPr>
                <w:rFonts w:hint="eastAsia"/>
              </w:rPr>
              <w:t>桐乡市崇福镇杭福路1336号20幢1号</w:t>
            </w:r>
            <w:r>
              <w:t>，</w:t>
            </w:r>
            <w:r>
              <w:rPr>
                <w:rFonts w:hint="eastAsia"/>
              </w:rPr>
              <w:t>根据《桐乡市人民政府关于印发桐乡市</w:t>
            </w:r>
            <w:r>
              <w:t>“</w:t>
            </w:r>
            <w:r>
              <w:rPr>
                <w:rFonts w:hint="eastAsia"/>
              </w:rPr>
              <w:t>三线一单</w:t>
            </w:r>
            <w:r>
              <w:t>”</w:t>
            </w:r>
            <w:r>
              <w:rPr>
                <w:rFonts w:hint="eastAsia"/>
              </w:rPr>
              <w:t>生态环境分区管控方案的通知》（桐政发[</w:t>
            </w:r>
            <w:r>
              <w:t>2020</w:t>
            </w:r>
            <w:r>
              <w:rPr>
                <w:rFonts w:hint="eastAsia"/>
              </w:rPr>
              <w:t>]</w:t>
            </w:r>
            <w:r>
              <w:t>22</w:t>
            </w:r>
            <w:r>
              <w:rPr>
                <w:rFonts w:hint="eastAsia"/>
              </w:rPr>
              <w:t>号）及《桐乡市</w:t>
            </w:r>
            <w:r>
              <w:t>“</w:t>
            </w:r>
            <w:r>
              <w:rPr>
                <w:rFonts w:hint="eastAsia"/>
              </w:rPr>
              <w:t>三线一单</w:t>
            </w:r>
            <w:r>
              <w:t>”</w:t>
            </w:r>
            <w:r>
              <w:rPr>
                <w:rFonts w:hint="eastAsia"/>
              </w:rPr>
              <w:t>生态环境分区管控方案》，本项目位于桐乡市崇福镇产业集聚重点管控单元（ZH33048320001），属于产业集聚重点管控单元，单元面积1</w:t>
            </w:r>
            <w:r>
              <w:t>2.04</w:t>
            </w:r>
            <w:r>
              <w:rPr>
                <w:rFonts w:hint="eastAsia"/>
              </w:rPr>
              <w:t>km²。</w:t>
            </w:r>
          </w:p>
          <w:p>
            <w:pPr>
              <w:ind w:firstLine="480"/>
            </w:pPr>
            <w:r>
              <w:rPr>
                <w:rFonts w:hint="eastAsia"/>
              </w:rPr>
              <w:t>1、</w:t>
            </w:r>
            <w:r>
              <w:t xml:space="preserve">生态保护红线符合性分析 </w:t>
            </w:r>
          </w:p>
          <w:p>
            <w:pPr>
              <w:ind w:firstLine="480"/>
            </w:pPr>
            <w:r>
              <w:t>本项目位于</w:t>
            </w:r>
            <w:r>
              <w:rPr>
                <w:rFonts w:hint="eastAsia"/>
              </w:rPr>
              <w:t>桐乡市崇福镇杭福路1336号20幢1号</w:t>
            </w:r>
            <w:r>
              <w:t>，</w:t>
            </w:r>
            <w:r>
              <w:rPr>
                <w:rFonts w:hint="eastAsia"/>
              </w:rPr>
              <w:t>依据《嘉兴市区生态红线划定文本》（2018.8.8）、《桐乡市生态保护红线分布图》，周边无自然保护区、饮用水源保护区等生态保护目标，不在生态红线保护范围内，符合生态保护红线要求。</w:t>
            </w:r>
          </w:p>
          <w:p>
            <w:pPr>
              <w:ind w:firstLine="480"/>
            </w:pPr>
            <w:r>
              <w:rPr>
                <w:rFonts w:hint="eastAsia"/>
              </w:rPr>
              <w:t>2、</w:t>
            </w:r>
            <w:r>
              <w:t>环境质量底线</w:t>
            </w:r>
            <w:r>
              <w:rPr>
                <w:rFonts w:hint="eastAsia"/>
              </w:rPr>
              <w:t>符合性</w:t>
            </w:r>
            <w:r>
              <w:t xml:space="preserve">分析 </w:t>
            </w:r>
          </w:p>
          <w:p>
            <w:pPr>
              <w:ind w:firstLine="480"/>
            </w:pPr>
            <w:r>
              <w:t>（1）大气环境质量底线目标</w:t>
            </w:r>
          </w:p>
          <w:p>
            <w:pPr>
              <w:adjustRightInd w:val="0"/>
              <w:snapToGrid w:val="0"/>
              <w:ind w:firstLine="480"/>
            </w:pPr>
            <w:r>
              <w:rPr>
                <w:rFonts w:hint="eastAsia"/>
              </w:rPr>
              <w:t>以改善环境空气质量、保障人民群众人体健康为基本出发点，结合嘉兴市大气环境治理相关工作部署，分阶段确定嘉兴市大气环境质量底线目标：</w:t>
            </w:r>
          </w:p>
          <w:p>
            <w:pPr>
              <w:adjustRightInd w:val="0"/>
              <w:snapToGrid w:val="0"/>
              <w:ind w:firstLine="480"/>
            </w:pPr>
            <w:r>
              <w:rPr>
                <w:rFonts w:hint="eastAsia"/>
              </w:rPr>
              <w:t>到</w:t>
            </w:r>
            <w:r>
              <w:t>2020</w:t>
            </w:r>
            <w:r>
              <w:rPr>
                <w:rFonts w:hint="eastAsia"/>
              </w:rPr>
              <w:t>年，</w:t>
            </w:r>
            <w:r>
              <w:t>PM</w:t>
            </w:r>
            <w:r>
              <w:rPr>
                <w:vertAlign w:val="subscript"/>
              </w:rPr>
              <w:t>2.5</w:t>
            </w:r>
            <w:r>
              <w:rPr>
                <w:rFonts w:hint="eastAsia"/>
              </w:rPr>
              <w:t>年均浓度达到</w:t>
            </w:r>
            <w:r>
              <w:t>37µg/m</w:t>
            </w:r>
            <w:r>
              <w:rPr>
                <w:vertAlign w:val="superscript"/>
              </w:rPr>
              <w:t>3</w:t>
            </w:r>
            <w:r>
              <w:rPr>
                <w:rFonts w:hint="eastAsia"/>
              </w:rPr>
              <w:t>及以下，</w:t>
            </w:r>
            <w:r>
              <w:t>O</w:t>
            </w:r>
            <w:r>
              <w:rPr>
                <w:vertAlign w:val="subscript"/>
              </w:rPr>
              <w:t>3</w:t>
            </w:r>
            <w:r>
              <w:rPr>
                <w:rFonts w:hint="eastAsia"/>
              </w:rPr>
              <w:t>污染恶化趋势基本得到遏制，其他污染物稳定达标，空气质量优良天数比例达到</w:t>
            </w:r>
            <w:r>
              <w:t>80%</w:t>
            </w:r>
            <w:r>
              <w:rPr>
                <w:rFonts w:hint="eastAsia"/>
              </w:rPr>
              <w:t>。</w:t>
            </w:r>
          </w:p>
          <w:p>
            <w:pPr>
              <w:adjustRightInd w:val="0"/>
              <w:snapToGrid w:val="0"/>
              <w:ind w:firstLine="480"/>
            </w:pPr>
            <w:r>
              <w:rPr>
                <w:rFonts w:hint="eastAsia"/>
              </w:rPr>
              <w:t>到</w:t>
            </w:r>
            <w:r>
              <w:t>2022</w:t>
            </w:r>
            <w:r>
              <w:rPr>
                <w:rFonts w:hint="eastAsia"/>
              </w:rPr>
              <w:t>年，环境空气质量持续改善，</w:t>
            </w:r>
            <w:r>
              <w:t>PM</w:t>
            </w:r>
            <w:r>
              <w:rPr>
                <w:vertAlign w:val="subscript"/>
              </w:rPr>
              <w:t>2.5</w:t>
            </w:r>
            <w:r>
              <w:rPr>
                <w:rFonts w:hint="eastAsia"/>
              </w:rPr>
              <w:t>年均浓度达到</w:t>
            </w:r>
            <w:r>
              <w:t>35µg/m</w:t>
            </w:r>
            <w:r>
              <w:rPr>
                <w:vertAlign w:val="superscript"/>
              </w:rPr>
              <w:t>3</w:t>
            </w:r>
            <w:r>
              <w:rPr>
                <w:rFonts w:hint="eastAsia"/>
              </w:rPr>
              <w:t>及以下，</w:t>
            </w:r>
            <w:r>
              <w:t>O</w:t>
            </w:r>
            <w:r>
              <w:rPr>
                <w:vertAlign w:val="subscript"/>
              </w:rPr>
              <w:t>3</w:t>
            </w:r>
            <w:r>
              <w:rPr>
                <w:rFonts w:hint="eastAsia"/>
              </w:rPr>
              <w:t>浓度达到拐点，其他污染物浓度持续改善。</w:t>
            </w:r>
          </w:p>
          <w:p>
            <w:pPr>
              <w:widowControl/>
              <w:ind w:firstLine="480"/>
              <w:jc w:val="left"/>
            </w:pPr>
            <w:r>
              <w:rPr>
                <w:rFonts w:hint="eastAsia"/>
              </w:rPr>
              <w:t>到</w:t>
            </w:r>
            <w:r>
              <w:t>2030</w:t>
            </w:r>
            <w:r>
              <w:rPr>
                <w:rFonts w:hint="eastAsia"/>
              </w:rPr>
              <w:t>年，</w:t>
            </w:r>
            <w:r>
              <w:t>PM</w:t>
            </w:r>
            <w:r>
              <w:rPr>
                <w:vertAlign w:val="subscript"/>
              </w:rPr>
              <w:t>2.5</w:t>
            </w:r>
            <w:r>
              <w:rPr>
                <w:rFonts w:hint="eastAsia"/>
              </w:rPr>
              <w:t>年均浓度达到</w:t>
            </w:r>
            <w:r>
              <w:t>30µg/m</w:t>
            </w:r>
            <w:r>
              <w:rPr>
                <w:vertAlign w:val="superscript"/>
              </w:rPr>
              <w:t>3</w:t>
            </w:r>
            <w:r>
              <w:rPr>
                <w:rFonts w:hint="eastAsia"/>
              </w:rPr>
              <w:t>左右，</w:t>
            </w:r>
            <w:r>
              <w:t>O</w:t>
            </w:r>
            <w:r>
              <w:rPr>
                <w:vertAlign w:val="subscript"/>
              </w:rPr>
              <w:t>3</w:t>
            </w:r>
            <w:r>
              <w:rPr>
                <w:rFonts w:hint="eastAsia"/>
              </w:rPr>
              <w:t>浓度达到国家环境空气质量二级标准，其他污染物浓度持续改善，环境空气质量实现根本好转。</w:t>
            </w:r>
          </w:p>
          <w:p>
            <w:pPr>
              <w:widowControl/>
              <w:ind w:firstLine="480"/>
              <w:jc w:val="left"/>
            </w:pPr>
            <w:r>
              <w:t>本项目废气</w:t>
            </w:r>
            <w:r>
              <w:rPr>
                <w:rFonts w:hint="eastAsia"/>
              </w:rPr>
              <w:t>主要为烟尘和有机废气，</w:t>
            </w:r>
            <w:r>
              <w:t>废气经处理后能做到达标排放，排放量较少，新增的污染物排放量通过区域削减替代，符合大气环境质量底线要求。</w:t>
            </w:r>
          </w:p>
          <w:p>
            <w:pPr>
              <w:ind w:firstLine="480"/>
            </w:pPr>
            <w:r>
              <w:t>（</w:t>
            </w:r>
            <w:r>
              <w:rPr>
                <w:rFonts w:hint="eastAsia"/>
              </w:rPr>
              <w:t>2</w:t>
            </w:r>
            <w:r>
              <w:t>）</w:t>
            </w:r>
            <w:r>
              <w:rPr>
                <w:rFonts w:hint="eastAsia"/>
              </w:rPr>
              <w:t>水</w:t>
            </w:r>
            <w:r>
              <w:t>环境质量底线目标</w:t>
            </w:r>
          </w:p>
          <w:p>
            <w:pPr>
              <w:adjustRightInd w:val="0"/>
              <w:snapToGrid w:val="0"/>
              <w:ind w:firstLine="480"/>
            </w:pPr>
            <w:r>
              <w:t>按照水环境质量“只能更好，不能变坏”的原则，基于水环境主导功能、上下游传输关系、水源涵养需求、需要重点改善的优先控制单元等内容，衔接水环境功能区划等既有要求，考虑水环境质量改善潜力，确定水环境质量底线。</w:t>
            </w:r>
          </w:p>
          <w:p>
            <w:pPr>
              <w:adjustRightInd w:val="0"/>
              <w:snapToGrid w:val="0"/>
              <w:ind w:firstLine="480"/>
            </w:pPr>
            <w:r>
              <w:t>到2020年，全市水环境质量进一步改善，在上游来水水质稳定改善的基础上，全面消除县控以上（含）Ⅴ类及劣Ⅴ类水质断面；市控以上（含）断面水质好于Ⅲ类（含）的比例达到65%以上，水质满足功能区要求的断面比例达到70%以上。</w:t>
            </w:r>
          </w:p>
          <w:p>
            <w:pPr>
              <w:adjustRightInd w:val="0"/>
              <w:snapToGrid w:val="0"/>
              <w:ind w:firstLine="480"/>
            </w:pPr>
            <w:r>
              <w:t>到2025年，全市水环境质量持续改善，在上游来水水质稳定改善的基础上，切实保障Ⅴ类及劣Ⅴ类水质断面消除成效，市控以上（含）断面水质好于Ⅲ类（含）的比例达到85%以上，水质满足功能区要求的断面比例达到90%以上，县级以上饮用水水源地水质和跨行政区域河流交接断面水质力争实现100%达标。</w:t>
            </w:r>
          </w:p>
          <w:p>
            <w:pPr>
              <w:adjustRightInd w:val="0"/>
              <w:snapToGrid w:val="0"/>
              <w:ind w:firstLine="480"/>
            </w:pPr>
            <w:r>
              <w:t>到2035年，全市水环境质量总体改善，重点河流水生态系统实现良性循环，水质基本满足水环境功能要求。</w:t>
            </w:r>
          </w:p>
          <w:p>
            <w:pPr>
              <w:ind w:firstLine="480"/>
            </w:pPr>
            <w:r>
              <w:rPr>
                <w:rFonts w:hint="eastAsia"/>
              </w:rPr>
              <w:t>本项目仅排放</w:t>
            </w:r>
            <w:r>
              <w:t>生活污水</w:t>
            </w:r>
            <w:r>
              <w:rPr>
                <w:rFonts w:hint="eastAsia"/>
              </w:rPr>
              <w:t>，</w:t>
            </w:r>
            <w:r>
              <w:t>经预处理达到入网标准后排入区域污水收集管网，最终经桐乡市城市污水处理有限责任公司崇福污水处理厂处理后达标排入钱塘江，</w:t>
            </w:r>
            <w:r>
              <w:rPr>
                <w:rFonts w:hint="eastAsia"/>
              </w:rPr>
              <w:t>对地表水体基本没有影响，符合水环境质量底线要求。</w:t>
            </w:r>
          </w:p>
          <w:p>
            <w:pPr>
              <w:adjustRightInd w:val="0"/>
              <w:snapToGrid w:val="0"/>
              <w:ind w:firstLine="480"/>
            </w:pPr>
            <w:r>
              <w:rPr>
                <w:rFonts w:hint="eastAsia"/>
              </w:rPr>
              <w:t>（3）土壤环境风险防控底线目标</w:t>
            </w:r>
          </w:p>
          <w:p>
            <w:pPr>
              <w:adjustRightInd w:val="0"/>
              <w:snapToGrid w:val="0"/>
              <w:ind w:firstLine="480"/>
            </w:pPr>
            <w:r>
              <w:rPr>
                <w:rFonts w:hint="eastAsia"/>
              </w:rPr>
              <w:t>按照土壤环境质量“只能更好、不能变坏”原则，结合嘉兴市土壤污染防治工作方案要求，设置土壤环境风险防控底线目标：到</w:t>
            </w:r>
            <w:r>
              <w:t>2020</w:t>
            </w:r>
            <w:r>
              <w:rPr>
                <w:rFonts w:hint="eastAsia"/>
              </w:rPr>
              <w:t>年，全市土壤污染加重趋势得到初步遏制，农用地和建设用地土壤环境安全得到基本保障，土壤环境风险得到基本管控，受污染耕地安全利用率达到</w:t>
            </w:r>
            <w:r>
              <w:t>92%</w:t>
            </w:r>
            <w:r>
              <w:rPr>
                <w:rFonts w:hint="eastAsia"/>
              </w:rPr>
              <w:t>左右，污染地块安全利用率不低于</w:t>
            </w:r>
            <w:r>
              <w:t>92%</w:t>
            </w:r>
            <w:r>
              <w:rPr>
                <w:rFonts w:hint="eastAsia"/>
              </w:rPr>
              <w:t>。到</w:t>
            </w:r>
            <w:r>
              <w:t>2030</w:t>
            </w:r>
            <w:r>
              <w:rPr>
                <w:rFonts w:hint="eastAsia"/>
              </w:rPr>
              <w:t>年，土壤环境质量稳中向好，受污染耕地安全利用率、污染地块安全利用率均达到</w:t>
            </w:r>
            <w:r>
              <w:t>95%</w:t>
            </w:r>
            <w:r>
              <w:rPr>
                <w:rFonts w:hint="eastAsia"/>
              </w:rPr>
              <w:t>以上。</w:t>
            </w:r>
          </w:p>
          <w:p>
            <w:pPr>
              <w:adjustRightInd w:val="0"/>
              <w:snapToGrid w:val="0"/>
              <w:ind w:firstLine="480"/>
            </w:pPr>
            <w:r>
              <w:rPr>
                <w:rFonts w:hint="eastAsia"/>
              </w:rPr>
              <w:t>本项目主要从事精密配件、后倾离心风机的生产，属于二类工业项目，对土壤环境影响较小，符合土壤环境质量底线要求。</w:t>
            </w:r>
          </w:p>
          <w:p>
            <w:pPr>
              <w:ind w:firstLine="480"/>
            </w:pPr>
            <w:r>
              <w:rPr>
                <w:rFonts w:hint="eastAsia"/>
              </w:rPr>
              <w:t>3、</w:t>
            </w:r>
            <w:r>
              <w:t>资源利用上线</w:t>
            </w:r>
            <w:r>
              <w:rPr>
                <w:rFonts w:hint="eastAsia"/>
              </w:rPr>
              <w:t>符合性</w:t>
            </w:r>
            <w:r>
              <w:t xml:space="preserve">分析 </w:t>
            </w:r>
          </w:p>
          <w:p>
            <w:pPr>
              <w:adjustRightInd w:val="0"/>
              <w:snapToGrid w:val="0"/>
              <w:ind w:firstLine="480"/>
            </w:pPr>
            <w:r>
              <w:rPr>
                <w:rFonts w:hint="eastAsia"/>
              </w:rPr>
              <w:t>（</w:t>
            </w:r>
            <w:r>
              <w:t>1</w:t>
            </w:r>
            <w:r>
              <w:rPr>
                <w:rFonts w:hint="eastAsia"/>
              </w:rPr>
              <w:t>）能源（煤炭）资源利用上线目标</w:t>
            </w:r>
          </w:p>
          <w:p>
            <w:pPr>
              <w:adjustRightInd w:val="0"/>
              <w:snapToGrid w:val="0"/>
              <w:ind w:firstLine="480"/>
            </w:pPr>
            <w:r>
              <w:rPr>
                <w:rFonts w:hint="eastAsia"/>
              </w:rPr>
              <w:t>根据《中共中央国务院关于全面加强生态环境保护坚决打好污染防治攻坚战的意见》</w:t>
            </w:r>
            <w:r>
              <w:t>(</w:t>
            </w:r>
            <w:r>
              <w:rPr>
                <w:rFonts w:hint="eastAsia"/>
              </w:rPr>
              <w:t>中发〔</w:t>
            </w:r>
            <w:r>
              <w:t>2018) 17</w:t>
            </w:r>
            <w:r>
              <w:rPr>
                <w:rFonts w:hint="eastAsia"/>
              </w:rPr>
              <w:t>号</w:t>
            </w:r>
            <w:r>
              <w:t>)</w:t>
            </w:r>
            <w:r>
              <w:rPr>
                <w:rFonts w:hint="eastAsia"/>
              </w:rPr>
              <w:t>、《国务院关于印发打赢蓝天保卫战三年行动计划的通知》</w:t>
            </w:r>
            <w:r>
              <w:t>(</w:t>
            </w:r>
            <w:r>
              <w:rPr>
                <w:rFonts w:hint="eastAsia"/>
              </w:rPr>
              <w:t>国发</w:t>
            </w:r>
            <w:r>
              <w:t>C2018) 22</w:t>
            </w:r>
            <w:r>
              <w:rPr>
                <w:rFonts w:hint="eastAsia"/>
              </w:rPr>
              <w:t>号</w:t>
            </w:r>
            <w:r>
              <w:t>)</w:t>
            </w:r>
            <w:r>
              <w:rPr>
                <w:rFonts w:hint="eastAsia"/>
              </w:rPr>
              <w:t>、《浙江省人民政府关于印发浙江省“十三五”节能减排综合工作方案的通知》</w:t>
            </w:r>
            <w:r>
              <w:t>(</w:t>
            </w:r>
            <w:r>
              <w:rPr>
                <w:rFonts w:hint="eastAsia"/>
              </w:rPr>
              <w:t>浙政发〔</w:t>
            </w:r>
            <w:r>
              <w:t>2017) 19</w:t>
            </w:r>
            <w:r>
              <w:rPr>
                <w:rFonts w:hint="eastAsia"/>
              </w:rPr>
              <w:t>号</w:t>
            </w:r>
            <w:r>
              <w:t>)</w:t>
            </w:r>
            <w:r>
              <w:rPr>
                <w:rFonts w:hint="eastAsia"/>
              </w:rPr>
              <w:t>要求，</w:t>
            </w:r>
            <w:r>
              <w:t>)</w:t>
            </w:r>
            <w:r>
              <w:rPr>
                <w:rFonts w:hint="eastAsia"/>
              </w:rPr>
              <w:t>和《嘉兴市能源发展“十三五”规划》要求，确定能源利用上线：到</w:t>
            </w:r>
            <w:r>
              <w:t>2020</w:t>
            </w:r>
            <w:r>
              <w:rPr>
                <w:rFonts w:hint="eastAsia"/>
              </w:rPr>
              <w:t>年，全市累计腾出用能空间</w:t>
            </w:r>
            <w:r>
              <w:t>85</w:t>
            </w:r>
            <w:r>
              <w:rPr>
                <w:rFonts w:hint="eastAsia"/>
              </w:rPr>
              <w:t>万吨标准煤以上；能源消费总量达到</w:t>
            </w:r>
            <w:r>
              <w:t>2187</w:t>
            </w:r>
            <w:r>
              <w:rPr>
                <w:rFonts w:hint="eastAsia"/>
              </w:rPr>
              <w:t>万吨标准煤，非化石能源、天然气和本地煤炭占能源消费比重分别达到</w:t>
            </w:r>
            <w:r>
              <w:t>18.5%</w:t>
            </w:r>
            <w:r>
              <w:rPr>
                <w:rFonts w:hint="eastAsia"/>
              </w:rPr>
              <w:t>、</w:t>
            </w:r>
            <w:r>
              <w:t>8.6%</w:t>
            </w:r>
            <w:r>
              <w:rPr>
                <w:rFonts w:hint="eastAsia"/>
              </w:rPr>
              <w:t>和</w:t>
            </w:r>
            <w:r>
              <w:t>27.8%</w:t>
            </w:r>
            <w:r>
              <w:rPr>
                <w:rFonts w:hint="eastAsia"/>
              </w:rPr>
              <w:t>。</w:t>
            </w:r>
          </w:p>
          <w:p>
            <w:pPr>
              <w:adjustRightInd w:val="0"/>
              <w:snapToGrid w:val="0"/>
              <w:ind w:firstLine="480"/>
            </w:pPr>
            <w:r>
              <w:rPr>
                <w:rFonts w:hint="eastAsia"/>
              </w:rPr>
              <w:t>本项目所用能源为电能，不涉及煤炭，符合能源（煤炭）资源利用上线要求。</w:t>
            </w:r>
          </w:p>
          <w:p>
            <w:pPr>
              <w:adjustRightInd w:val="0"/>
              <w:snapToGrid w:val="0"/>
              <w:ind w:firstLine="480"/>
            </w:pPr>
            <w:r>
              <w:rPr>
                <w:rFonts w:hint="eastAsia"/>
              </w:rPr>
              <w:t>（</w:t>
            </w:r>
            <w:r>
              <w:t>2</w:t>
            </w:r>
            <w:r>
              <w:rPr>
                <w:rFonts w:hint="eastAsia"/>
              </w:rPr>
              <w:t>）水资源利用上线目标</w:t>
            </w:r>
          </w:p>
          <w:p>
            <w:pPr>
              <w:adjustRightInd w:val="0"/>
              <w:snapToGrid w:val="0"/>
              <w:ind w:firstLine="480"/>
            </w:pPr>
            <w:r>
              <w:rPr>
                <w:rFonts w:hint="eastAsia"/>
              </w:rPr>
              <w:t>根据《浙江省实行水资源消耗总量和强度双控行动加快推进节水型社会建设实施方案》、《嘉兴市实行水资源消耗总量和强度双控行动加快推进节水型社会建设实施方案》和《嘉兴市水利局关于下达</w:t>
            </w:r>
            <w:r>
              <w:t>2020</w:t>
            </w:r>
            <w:r>
              <w:rPr>
                <w:rFonts w:hint="eastAsia"/>
              </w:rPr>
              <w:t>年实行最严格水资源管理制度考核指标的通知》等文件要求：到</w:t>
            </w:r>
            <w:r>
              <w:t>2020</w:t>
            </w:r>
            <w:r>
              <w:rPr>
                <w:rFonts w:hint="eastAsia"/>
              </w:rPr>
              <w:t>年，嘉兴市全市用水总量、工业和生活用水总量分别控制在</w:t>
            </w:r>
            <w:r>
              <w:t>21.90</w:t>
            </w:r>
            <w:r>
              <w:rPr>
                <w:rFonts w:hint="eastAsia"/>
              </w:rPr>
              <w:t>亿立方米和</w:t>
            </w:r>
            <w:r>
              <w:t>9.20</w:t>
            </w:r>
            <w:r>
              <w:rPr>
                <w:rFonts w:hint="eastAsia"/>
              </w:rPr>
              <w:t>亿立方米以内，万元</w:t>
            </w:r>
            <w:r>
              <w:t>GDP</w:t>
            </w:r>
            <w:r>
              <w:rPr>
                <w:rFonts w:hint="eastAsia"/>
              </w:rPr>
              <w:t>用水量、万元工业增加值用水量分别比</w:t>
            </w:r>
            <w:r>
              <w:t>2015</w:t>
            </w:r>
            <w:r>
              <w:rPr>
                <w:rFonts w:hint="eastAsia"/>
              </w:rPr>
              <w:t>年降低</w:t>
            </w:r>
            <w:r>
              <w:t>23%</w:t>
            </w:r>
            <w:r>
              <w:rPr>
                <w:rFonts w:hint="eastAsia"/>
              </w:rPr>
              <w:t>和</w:t>
            </w:r>
            <w:r>
              <w:t>18%</w:t>
            </w:r>
            <w:r>
              <w:rPr>
                <w:rFonts w:hint="eastAsia"/>
              </w:rPr>
              <w:t>以上（即分别低于</w:t>
            </w:r>
            <w:r>
              <w:t>41.50</w:t>
            </w:r>
            <w:r>
              <w:rPr>
                <w:rFonts w:hint="eastAsia"/>
              </w:rPr>
              <w:t>立方米</w:t>
            </w:r>
            <w:r>
              <w:t>/</w:t>
            </w:r>
            <w:r>
              <w:rPr>
                <w:rFonts w:hint="eastAsia"/>
              </w:rPr>
              <w:t>万元和</w:t>
            </w:r>
            <w:r>
              <w:t>21.07</w:t>
            </w:r>
            <w:r>
              <w:rPr>
                <w:rFonts w:hint="eastAsia"/>
              </w:rPr>
              <w:t>立方米</w:t>
            </w:r>
            <w:r>
              <w:t>/</w:t>
            </w:r>
            <w:r>
              <w:rPr>
                <w:rFonts w:hint="eastAsia"/>
              </w:rPr>
              <w:t>万元），农田灌溉水有效利用系数提高至</w:t>
            </w:r>
            <w:r>
              <w:t>0.659</w:t>
            </w:r>
            <w:r>
              <w:rPr>
                <w:rFonts w:hint="eastAsia"/>
              </w:rPr>
              <w:t>以上。</w:t>
            </w:r>
          </w:p>
          <w:p>
            <w:pPr>
              <w:adjustRightInd w:val="0"/>
              <w:snapToGrid w:val="0"/>
              <w:ind w:firstLine="480"/>
            </w:pPr>
            <w:r>
              <w:rPr>
                <w:rFonts w:hint="eastAsia"/>
              </w:rPr>
              <w:t>本项目用水量较少，年</w:t>
            </w:r>
            <w:r>
              <w:t>用水量为</w:t>
            </w:r>
            <w:r>
              <w:rPr>
                <w:rFonts w:hint="eastAsia"/>
              </w:rPr>
              <w:t>451</w:t>
            </w:r>
            <w:r>
              <w:t>吨，符</w:t>
            </w:r>
            <w:r>
              <w:rPr>
                <w:rFonts w:hint="eastAsia"/>
              </w:rPr>
              <w:t>合水资源利用上线要求。</w:t>
            </w:r>
          </w:p>
          <w:p>
            <w:pPr>
              <w:adjustRightInd w:val="0"/>
              <w:snapToGrid w:val="0"/>
              <w:ind w:firstLine="480"/>
            </w:pPr>
            <w:r>
              <w:rPr>
                <w:rFonts w:hint="eastAsia"/>
              </w:rPr>
              <w:t>（</w:t>
            </w:r>
            <w:r>
              <w:t>3</w:t>
            </w:r>
            <w:r>
              <w:rPr>
                <w:rFonts w:hint="eastAsia"/>
              </w:rPr>
              <w:t>）土地资源利用上线目标</w:t>
            </w:r>
          </w:p>
          <w:p>
            <w:pPr>
              <w:ind w:firstLine="480"/>
            </w:pPr>
            <w:r>
              <w:rPr>
                <w:rFonts w:hint="eastAsia"/>
              </w:rPr>
              <w:t>衔接自然资源管理部门对土地资源开发利用总量及强度的管控要求，包括基本农田保护面积、城乡建设用地规模、人均城镇工矿用地等因素，作为土地资源利用上线要求。经衔接，到</w:t>
            </w:r>
            <w:r>
              <w:t>2020</w:t>
            </w:r>
            <w:r>
              <w:rPr>
                <w:rFonts w:hint="eastAsia"/>
              </w:rPr>
              <w:t>年，嘉兴市耕地保有量不少于</w:t>
            </w:r>
            <w:r>
              <w:t>298.19</w:t>
            </w:r>
            <w:r>
              <w:rPr>
                <w:rFonts w:hint="eastAsia"/>
              </w:rPr>
              <w:t>万亩，基本农田保护面积</w:t>
            </w:r>
            <w:r>
              <w:t>259.50</w:t>
            </w:r>
            <w:r>
              <w:rPr>
                <w:rFonts w:hint="eastAsia"/>
              </w:rPr>
              <w:t>万亩。</w:t>
            </w:r>
            <w:r>
              <w:t>2020</w:t>
            </w:r>
            <w:r>
              <w:rPr>
                <w:rFonts w:hint="eastAsia"/>
              </w:rPr>
              <w:t>年嘉兴市建设用地总规模控制在</w:t>
            </w:r>
            <w:r>
              <w:t>179.41</w:t>
            </w:r>
            <w:r>
              <w:rPr>
                <w:rFonts w:hint="eastAsia"/>
              </w:rPr>
              <w:t>万亩以内，土地开发强度控制在</w:t>
            </w:r>
            <w:r>
              <w:t>29.5%</w:t>
            </w:r>
            <w:r>
              <w:rPr>
                <w:rFonts w:hint="eastAsia"/>
              </w:rPr>
              <w:t>以内，城乡建设用地规模控制在</w:t>
            </w:r>
            <w:r>
              <w:t>153.50</w:t>
            </w:r>
            <w:r>
              <w:rPr>
                <w:rFonts w:hint="eastAsia"/>
              </w:rPr>
              <w:t>万亩以内。到</w:t>
            </w:r>
            <w:r>
              <w:t>2020</w:t>
            </w:r>
            <w:r>
              <w:rPr>
                <w:rFonts w:hint="eastAsia"/>
              </w:rPr>
              <w:t>年，嘉兴市人均城乡建设用地控制在</w:t>
            </w:r>
            <w:r>
              <w:t>200</w:t>
            </w:r>
            <w:r>
              <w:rPr>
                <w:rFonts w:hint="eastAsia"/>
              </w:rPr>
              <w:t>平方米，人均城镇工矿用地控制在</w:t>
            </w:r>
            <w:r>
              <w:t>130</w:t>
            </w:r>
            <w:r>
              <w:rPr>
                <w:rFonts w:hint="eastAsia"/>
              </w:rPr>
              <w:t>平方米，万元二三产业</w:t>
            </w:r>
            <w:r>
              <w:t>GDP</w:t>
            </w:r>
            <w:r>
              <w:rPr>
                <w:rFonts w:hint="eastAsia"/>
              </w:rPr>
              <w:t>用地量控制在</w:t>
            </w:r>
            <w:r>
              <w:t>25.7</w:t>
            </w:r>
            <w:r>
              <w:rPr>
                <w:rFonts w:hint="eastAsia"/>
              </w:rPr>
              <w:t>平方米以内。</w:t>
            </w:r>
          </w:p>
          <w:p>
            <w:pPr>
              <w:ind w:firstLine="480"/>
            </w:pPr>
            <w:r>
              <w:rPr>
                <w:rFonts w:hint="eastAsia"/>
              </w:rPr>
              <w:t>本项目不新增土地，购置</w:t>
            </w:r>
            <w:r>
              <w:t>中节能（桐乡）环保科技有限公司位于</w:t>
            </w:r>
            <w:r>
              <w:rPr>
                <w:rFonts w:hint="eastAsia"/>
              </w:rPr>
              <w:t>桐乡市崇福镇杭福路1336号20幢1号面积为</w:t>
            </w:r>
            <w:r>
              <w:t>1542.56平方米</w:t>
            </w:r>
            <w:r>
              <w:rPr>
                <w:rFonts w:hint="eastAsia"/>
              </w:rPr>
              <w:t>的工业厂房进行生产，符合土地资源利用上线要求。</w:t>
            </w:r>
          </w:p>
          <w:p>
            <w:pPr>
              <w:ind w:firstLine="480"/>
            </w:pPr>
            <w:r>
              <w:rPr>
                <w:rFonts w:hint="eastAsia"/>
              </w:rPr>
              <w:t>4、生态环境准入清单符合性分析</w:t>
            </w:r>
          </w:p>
          <w:p>
            <w:pPr>
              <w:ind w:firstLine="480"/>
            </w:pPr>
            <w:r>
              <w:t>本项目所属生态环境管控单元概况及生态环境准入清单见表2-2</w:t>
            </w:r>
            <w:r>
              <w:rPr>
                <w:rFonts w:hint="eastAsia"/>
              </w:rPr>
              <w:t>。</w:t>
            </w:r>
          </w:p>
          <w:p>
            <w:pPr>
              <w:pStyle w:val="46"/>
            </w:pPr>
          </w:p>
          <w:p>
            <w:pPr>
              <w:pStyle w:val="46"/>
            </w:pPr>
          </w:p>
          <w:p>
            <w:pPr>
              <w:pStyle w:val="46"/>
            </w:pPr>
          </w:p>
          <w:p>
            <w:pPr>
              <w:pStyle w:val="46"/>
            </w:pPr>
          </w:p>
          <w:p>
            <w:pPr>
              <w:pStyle w:val="46"/>
            </w:pPr>
          </w:p>
          <w:p>
            <w:pPr>
              <w:pStyle w:val="46"/>
              <w:rPr>
                <w:rFonts w:hint="eastAsia"/>
              </w:rPr>
            </w:pPr>
          </w:p>
          <w:p>
            <w:pPr>
              <w:pStyle w:val="46"/>
              <w:rPr>
                <w:rFonts w:hint="eastAsia"/>
              </w:rPr>
            </w:pPr>
          </w:p>
          <w:p>
            <w:pPr>
              <w:pStyle w:val="46"/>
            </w:pPr>
            <w:r>
              <w:t xml:space="preserve">表2-2  </w:t>
            </w:r>
            <w:r>
              <w:rPr>
                <w:rFonts w:hint="eastAsia"/>
              </w:rPr>
              <w:t>桐乡市崇福镇产业集聚重点管控单元（ZH33048320001）</w:t>
            </w:r>
            <w:r>
              <w:t>概况</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3183"/>
              <w:gridCol w:w="1859"/>
              <w:gridCol w:w="1409"/>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9" w:type="pct"/>
                  <w:tcBorders>
                    <w:top w:val="single" w:color="auto" w:sz="4" w:space="0"/>
                    <w:left w:val="single" w:color="auto" w:sz="4" w:space="0"/>
                    <w:bottom w:val="single" w:color="auto" w:sz="4" w:space="0"/>
                    <w:right w:val="single" w:color="auto" w:sz="4" w:space="0"/>
                  </w:tcBorders>
                  <w:vAlign w:val="center"/>
                </w:tcPr>
                <w:p>
                  <w:pPr>
                    <w:pStyle w:val="47"/>
                    <w:rPr>
                      <w:b/>
                      <w:bCs/>
                      <w:szCs w:val="21"/>
                    </w:rPr>
                  </w:pPr>
                  <w:r>
                    <w:rPr>
                      <w:b/>
                      <w:bCs/>
                      <w:szCs w:val="21"/>
                    </w:rPr>
                    <w:t>名称及编号</w:t>
                  </w:r>
                </w:p>
              </w:tc>
              <w:tc>
                <w:tcPr>
                  <w:tcW w:w="1824" w:type="pct"/>
                  <w:tcBorders>
                    <w:top w:val="single" w:color="auto" w:sz="4" w:space="0"/>
                    <w:left w:val="single" w:color="auto" w:sz="4" w:space="0"/>
                    <w:bottom w:val="single" w:color="auto" w:sz="4" w:space="0"/>
                    <w:right w:val="single" w:color="auto" w:sz="4" w:space="0"/>
                  </w:tcBorders>
                  <w:vAlign w:val="center"/>
                </w:tcPr>
                <w:p>
                  <w:pPr>
                    <w:pStyle w:val="47"/>
                    <w:rPr>
                      <w:b/>
                      <w:bCs/>
                      <w:szCs w:val="21"/>
                    </w:rPr>
                  </w:pPr>
                  <w:r>
                    <w:rPr>
                      <w:b/>
                      <w:bCs/>
                      <w:szCs w:val="21"/>
                    </w:rPr>
                    <w:t>空间布局约束</w:t>
                  </w:r>
                </w:p>
              </w:tc>
              <w:tc>
                <w:tcPr>
                  <w:tcW w:w="1065" w:type="pct"/>
                  <w:tcBorders>
                    <w:top w:val="single" w:color="auto" w:sz="4" w:space="0"/>
                    <w:left w:val="single" w:color="auto" w:sz="4" w:space="0"/>
                    <w:bottom w:val="single" w:color="auto" w:sz="4" w:space="0"/>
                    <w:right w:val="single" w:color="auto" w:sz="4" w:space="0"/>
                  </w:tcBorders>
                  <w:vAlign w:val="center"/>
                </w:tcPr>
                <w:p>
                  <w:pPr>
                    <w:pStyle w:val="47"/>
                    <w:rPr>
                      <w:b/>
                      <w:bCs/>
                      <w:szCs w:val="21"/>
                    </w:rPr>
                  </w:pPr>
                  <w:r>
                    <w:rPr>
                      <w:b/>
                      <w:bCs/>
                      <w:szCs w:val="21"/>
                    </w:rPr>
                    <w:t>污染物排放管控</w:t>
                  </w:r>
                </w:p>
              </w:tc>
              <w:tc>
                <w:tcPr>
                  <w:tcW w:w="807" w:type="pct"/>
                  <w:tcBorders>
                    <w:top w:val="single" w:color="auto" w:sz="4" w:space="0"/>
                    <w:left w:val="single" w:color="auto" w:sz="4" w:space="0"/>
                    <w:bottom w:val="single" w:color="auto" w:sz="4" w:space="0"/>
                    <w:right w:val="single" w:color="auto" w:sz="4" w:space="0"/>
                  </w:tcBorders>
                  <w:vAlign w:val="center"/>
                </w:tcPr>
                <w:p>
                  <w:pPr>
                    <w:pStyle w:val="47"/>
                    <w:rPr>
                      <w:b/>
                      <w:bCs/>
                      <w:szCs w:val="21"/>
                    </w:rPr>
                  </w:pPr>
                  <w:r>
                    <w:rPr>
                      <w:b/>
                      <w:bCs/>
                      <w:szCs w:val="21"/>
                    </w:rPr>
                    <w:t>环境风险防控</w:t>
                  </w:r>
                </w:p>
              </w:tc>
              <w:tc>
                <w:tcPr>
                  <w:tcW w:w="611" w:type="pct"/>
                  <w:tcBorders>
                    <w:top w:val="single" w:color="auto" w:sz="4" w:space="0"/>
                    <w:left w:val="single" w:color="auto" w:sz="4" w:space="0"/>
                    <w:bottom w:val="single" w:color="auto" w:sz="4" w:space="0"/>
                    <w:right w:val="single" w:color="auto" w:sz="4" w:space="0"/>
                  </w:tcBorders>
                  <w:vAlign w:val="center"/>
                </w:tcPr>
                <w:p>
                  <w:pPr>
                    <w:pStyle w:val="47"/>
                    <w:rPr>
                      <w:b/>
                      <w:bCs/>
                      <w:szCs w:val="21"/>
                    </w:rPr>
                  </w:pPr>
                  <w:r>
                    <w:rPr>
                      <w:b/>
                      <w:bCs/>
                      <w:szCs w:val="21"/>
                    </w:rPr>
                    <w:t>资源开发效率要求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9" w:type="pct"/>
                  <w:tcBorders>
                    <w:top w:val="single" w:color="auto" w:sz="4" w:space="0"/>
                    <w:left w:val="single" w:color="auto" w:sz="4" w:space="0"/>
                    <w:bottom w:val="single" w:color="auto" w:sz="4" w:space="0"/>
                    <w:right w:val="single" w:color="auto" w:sz="4" w:space="0"/>
                  </w:tcBorders>
                  <w:vAlign w:val="center"/>
                </w:tcPr>
                <w:p>
                  <w:pPr>
                    <w:pStyle w:val="47"/>
                    <w:jc w:val="both"/>
                    <w:rPr>
                      <w:szCs w:val="21"/>
                    </w:rPr>
                  </w:pPr>
                  <w:r>
                    <w:rPr>
                      <w:rFonts w:hint="eastAsia"/>
                      <w:szCs w:val="21"/>
                    </w:rPr>
                    <w:t>桐乡市崇福镇产业集聚重点管控单元（ZH33048320001）</w:t>
                  </w:r>
                </w:p>
              </w:tc>
              <w:tc>
                <w:tcPr>
                  <w:tcW w:w="1824" w:type="pct"/>
                  <w:tcBorders>
                    <w:top w:val="single" w:color="auto" w:sz="4" w:space="0"/>
                    <w:left w:val="single" w:color="auto" w:sz="4" w:space="0"/>
                    <w:bottom w:val="single" w:color="auto" w:sz="4" w:space="0"/>
                    <w:right w:val="single" w:color="auto" w:sz="4" w:space="0"/>
                  </w:tcBorders>
                  <w:vAlign w:val="center"/>
                </w:tcPr>
                <w:p>
                  <w:pPr>
                    <w:pStyle w:val="47"/>
                    <w:jc w:val="both"/>
                    <w:rPr>
                      <w:szCs w:val="21"/>
                    </w:rPr>
                  </w:pPr>
                  <w:r>
                    <w:rPr>
                      <w:szCs w:val="21"/>
                    </w:rPr>
                    <w:t>1、优化产业布局和结构，实施分区差别化的产业准入条件。</w:t>
                  </w:r>
                </w:p>
                <w:p>
                  <w:pPr>
                    <w:pStyle w:val="47"/>
                    <w:jc w:val="both"/>
                    <w:rPr>
                      <w:szCs w:val="21"/>
                    </w:rPr>
                  </w:pPr>
                  <w:r>
                    <w:rPr>
                      <w:szCs w:val="21"/>
                    </w:rPr>
                    <w:t>2、合理规划布局三类工业项目，控制三类工业项目布局范围和总体规模，对不符合桐乡市重点支持产业导向的三类工业项目禁止准入，鼓励对现有三类工业项目进行淘汰和提升。</w:t>
                  </w:r>
                </w:p>
                <w:p>
                  <w:pPr>
                    <w:pStyle w:val="47"/>
                    <w:jc w:val="both"/>
                    <w:rPr>
                      <w:szCs w:val="21"/>
                    </w:rPr>
                  </w:pPr>
                  <w:r>
                    <w:rPr>
                      <w:szCs w:val="21"/>
                    </w:rPr>
                    <w:t>3、提高电力、化工、印染、造纸、化纤等重点行业环保准入门槛，控制新增污染物排放量。</w:t>
                  </w:r>
                </w:p>
                <w:p>
                  <w:pPr>
                    <w:pStyle w:val="47"/>
                    <w:jc w:val="both"/>
                    <w:rPr>
                      <w:szCs w:val="21"/>
                    </w:rPr>
                  </w:pPr>
                  <w:r>
                    <w:rPr>
                      <w:szCs w:val="21"/>
                    </w:rPr>
                    <w:t>4、新建涉VOCs排放的工业企业全部进入工业功能区，严格执行相关污染物排放量削减替代管理要求。</w:t>
                  </w:r>
                </w:p>
                <w:p>
                  <w:pPr>
                    <w:pStyle w:val="47"/>
                    <w:jc w:val="both"/>
                    <w:rPr>
                      <w:szCs w:val="21"/>
                    </w:rPr>
                  </w:pPr>
                  <w:r>
                    <w:rPr>
                      <w:szCs w:val="21"/>
                    </w:rPr>
                    <w:t>5、除热电行业外，禁止新建、改建、扩建使用高污染燃料的项目。</w:t>
                  </w:r>
                </w:p>
                <w:p>
                  <w:pPr>
                    <w:pStyle w:val="47"/>
                    <w:jc w:val="both"/>
                    <w:rPr>
                      <w:szCs w:val="21"/>
                    </w:rPr>
                  </w:pPr>
                  <w:r>
                    <w:rPr>
                      <w:szCs w:val="21"/>
                    </w:rPr>
                    <w:t>6、合理规划居住区与工业功能区，在居住区和工业区、工业企业之间设置防护绿地、生态绿地等隔离带。</w:t>
                  </w:r>
                </w:p>
              </w:tc>
              <w:tc>
                <w:tcPr>
                  <w:tcW w:w="1065" w:type="pct"/>
                  <w:tcBorders>
                    <w:top w:val="single" w:color="auto" w:sz="4" w:space="0"/>
                    <w:left w:val="single" w:color="auto" w:sz="4" w:space="0"/>
                    <w:bottom w:val="single" w:color="auto" w:sz="4" w:space="0"/>
                    <w:right w:val="single" w:color="auto" w:sz="4" w:space="0"/>
                  </w:tcBorders>
                  <w:vAlign w:val="center"/>
                </w:tcPr>
                <w:p>
                  <w:pPr>
                    <w:pStyle w:val="47"/>
                    <w:jc w:val="both"/>
                    <w:rPr>
                      <w:szCs w:val="21"/>
                    </w:rPr>
                  </w:pPr>
                  <w:r>
                    <w:rPr>
                      <w:szCs w:val="21"/>
                    </w:rPr>
                    <w:t>1、严格实施污染物总量控制制度，根据区域环境质量改善目标，削减污染物排放总量。</w:t>
                  </w:r>
                </w:p>
                <w:p>
                  <w:pPr>
                    <w:pStyle w:val="47"/>
                    <w:jc w:val="both"/>
                    <w:rPr>
                      <w:szCs w:val="21"/>
                    </w:rPr>
                  </w:pPr>
                  <w:r>
                    <w:rPr>
                      <w:szCs w:val="21"/>
                    </w:rPr>
                    <w:t>2、新建二类、三类工业项目污染物排放水平要达到同行业国内先进水平。</w:t>
                  </w:r>
                </w:p>
                <w:p>
                  <w:pPr>
                    <w:pStyle w:val="47"/>
                    <w:jc w:val="both"/>
                    <w:rPr>
                      <w:szCs w:val="21"/>
                    </w:rPr>
                  </w:pPr>
                  <w:r>
                    <w:rPr>
                      <w:szCs w:val="21"/>
                    </w:rPr>
                    <w:t>3、加快落实污水处理厂建设及提升改造项目，推进工业园区（工业企业）“污水零直排区”建设，所有企业实现雨污分流。</w:t>
                  </w:r>
                </w:p>
                <w:p>
                  <w:pPr>
                    <w:pStyle w:val="47"/>
                    <w:jc w:val="both"/>
                    <w:rPr>
                      <w:szCs w:val="21"/>
                    </w:rPr>
                  </w:pPr>
                  <w:r>
                    <w:rPr>
                      <w:szCs w:val="21"/>
                    </w:rPr>
                    <w:t>4、加强土壤和地下水污染防治与修复。</w:t>
                  </w:r>
                </w:p>
              </w:tc>
              <w:tc>
                <w:tcPr>
                  <w:tcW w:w="807" w:type="pct"/>
                  <w:tcBorders>
                    <w:top w:val="single" w:color="auto" w:sz="4" w:space="0"/>
                    <w:left w:val="single" w:color="auto" w:sz="4" w:space="0"/>
                    <w:bottom w:val="single" w:color="auto" w:sz="4" w:space="0"/>
                    <w:right w:val="single" w:color="auto" w:sz="4" w:space="0"/>
                  </w:tcBorders>
                  <w:vAlign w:val="center"/>
                </w:tcPr>
                <w:p>
                  <w:pPr>
                    <w:pStyle w:val="47"/>
                    <w:jc w:val="both"/>
                    <w:rPr>
                      <w:szCs w:val="21"/>
                    </w:rPr>
                  </w:pPr>
                  <w:r>
                    <w:rPr>
                      <w:szCs w:val="21"/>
                    </w:rPr>
                    <w:t>1、定期评估沿江河湖库工业企业、工业集聚区环境和健康风险。</w:t>
                  </w:r>
                </w:p>
                <w:p>
                  <w:pPr>
                    <w:pStyle w:val="47"/>
                    <w:jc w:val="both"/>
                    <w:rPr>
                      <w:szCs w:val="21"/>
                    </w:rPr>
                  </w:pPr>
                  <w:r>
                    <w:rPr>
                      <w:szCs w:val="21"/>
                    </w:rPr>
                    <w:t>2、强化工业集聚区企业环境风险防范设施设备建设和正常运行监管，加强重点环境风险管控企业应急预案制定，建立常态化的企业隐患排查整治监管机制，加强风险防控体系建设。</w:t>
                  </w:r>
                </w:p>
              </w:tc>
              <w:tc>
                <w:tcPr>
                  <w:tcW w:w="611" w:type="pct"/>
                  <w:tcBorders>
                    <w:top w:val="single" w:color="auto" w:sz="4" w:space="0"/>
                    <w:left w:val="single" w:color="auto" w:sz="4" w:space="0"/>
                    <w:bottom w:val="single" w:color="auto" w:sz="4" w:space="0"/>
                    <w:right w:val="single" w:color="auto" w:sz="4" w:space="0"/>
                  </w:tcBorders>
                  <w:vAlign w:val="center"/>
                </w:tcPr>
                <w:p>
                  <w:pPr>
                    <w:pStyle w:val="47"/>
                    <w:jc w:val="both"/>
                    <w:rPr>
                      <w:szCs w:val="21"/>
                    </w:rPr>
                  </w:pPr>
                  <w:r>
                    <w:rPr>
                      <w:szCs w:val="21"/>
                    </w:rPr>
                    <w:t>推进工业集聚区生态化改造，强化企业清洁生产改造，推进节水型企业、节水型工业园区建设，落实煤炭消费减量替代要求，提高资源能源利用效率。</w:t>
                  </w:r>
                </w:p>
              </w:tc>
            </w:tr>
          </w:tbl>
          <w:p>
            <w:pPr>
              <w:ind w:firstLine="480"/>
            </w:pPr>
            <w:r>
              <w:rPr>
                <w:rFonts w:hint="eastAsia"/>
              </w:rPr>
              <w:t>对照环境管控单元生态环境准入清单，本项目建设</w:t>
            </w:r>
            <w:r>
              <w:t>均符合</w:t>
            </w:r>
            <w:r>
              <w:rPr>
                <w:rFonts w:hint="eastAsia"/>
              </w:rPr>
              <w:t>所属环境管控单元生态环境准入清单</w:t>
            </w:r>
            <w:r>
              <w:t>中</w:t>
            </w:r>
            <w:r>
              <w:rPr>
                <w:rFonts w:hint="eastAsia"/>
              </w:rPr>
              <w:t>各项</w:t>
            </w:r>
            <w:r>
              <w:t>要求</w:t>
            </w:r>
            <w:r>
              <w:rPr>
                <w:rFonts w:hint="eastAsia"/>
              </w:rPr>
              <w:t>，具体对照分析见表2</w:t>
            </w:r>
            <w:r>
              <w:t>-</w:t>
            </w:r>
            <w:r>
              <w:rPr>
                <w:rFonts w:hint="eastAsia"/>
              </w:rPr>
              <w:t>3</w:t>
            </w:r>
            <w:r>
              <w:t>。</w:t>
            </w:r>
          </w:p>
          <w:p>
            <w:pPr>
              <w:pStyle w:val="44"/>
            </w:pPr>
            <w:r>
              <w:t>表2-</w:t>
            </w:r>
            <w:r>
              <w:rPr>
                <w:rFonts w:hint="eastAsia"/>
              </w:rPr>
              <w:t>3</w:t>
            </w:r>
            <w:r>
              <w:t xml:space="preserve">  </w:t>
            </w:r>
            <w:r>
              <w:rPr>
                <w:rFonts w:hint="eastAsia"/>
              </w:rPr>
              <w:t>本项目所属环境管控单元生态环境准入清单符合性分析一览表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3930"/>
              <w:gridCol w:w="3483"/>
              <w:gridCol w:w="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tcBorders>
                    <w:top w:val="single" w:color="auto" w:sz="4" w:space="0"/>
                    <w:left w:val="single" w:color="auto" w:sz="4" w:space="0"/>
                    <w:bottom w:val="single" w:color="auto" w:sz="4" w:space="0"/>
                    <w:right w:val="single" w:color="auto" w:sz="4" w:space="0"/>
                  </w:tcBorders>
                  <w:vAlign w:val="center"/>
                </w:tcPr>
                <w:p>
                  <w:pPr>
                    <w:pStyle w:val="47"/>
                    <w:rPr>
                      <w:b/>
                      <w:bCs/>
                      <w:szCs w:val="21"/>
                    </w:rPr>
                  </w:pPr>
                  <w:r>
                    <w:rPr>
                      <w:rFonts w:hint="eastAsia"/>
                      <w:b/>
                      <w:bCs/>
                      <w:szCs w:val="21"/>
                    </w:rPr>
                    <w:t>序号</w:t>
                  </w:r>
                </w:p>
              </w:tc>
              <w:tc>
                <w:tcPr>
                  <w:tcW w:w="2254" w:type="pct"/>
                  <w:tcBorders>
                    <w:top w:val="single" w:color="auto" w:sz="4" w:space="0"/>
                    <w:left w:val="single" w:color="auto" w:sz="4" w:space="0"/>
                    <w:bottom w:val="single" w:color="auto" w:sz="4" w:space="0"/>
                    <w:right w:val="single" w:color="auto" w:sz="4" w:space="0"/>
                  </w:tcBorders>
                  <w:vAlign w:val="center"/>
                </w:tcPr>
                <w:p>
                  <w:pPr>
                    <w:pStyle w:val="47"/>
                    <w:rPr>
                      <w:b/>
                      <w:bCs/>
                      <w:szCs w:val="21"/>
                    </w:rPr>
                  </w:pPr>
                  <w:r>
                    <w:rPr>
                      <w:rFonts w:hint="eastAsia"/>
                      <w:b/>
                      <w:bCs/>
                      <w:szCs w:val="21"/>
                    </w:rPr>
                    <w:t>生态环境分区管控方案</w:t>
                  </w:r>
                </w:p>
              </w:tc>
              <w:tc>
                <w:tcPr>
                  <w:tcW w:w="1998" w:type="pct"/>
                  <w:tcBorders>
                    <w:top w:val="single" w:color="auto" w:sz="4" w:space="0"/>
                    <w:left w:val="single" w:color="auto" w:sz="4" w:space="0"/>
                    <w:bottom w:val="single" w:color="auto" w:sz="4" w:space="0"/>
                    <w:right w:val="single" w:color="auto" w:sz="4" w:space="0"/>
                  </w:tcBorders>
                  <w:vAlign w:val="center"/>
                </w:tcPr>
                <w:p>
                  <w:pPr>
                    <w:pStyle w:val="47"/>
                    <w:rPr>
                      <w:b/>
                      <w:bCs/>
                      <w:szCs w:val="21"/>
                    </w:rPr>
                  </w:pPr>
                  <w:r>
                    <w:rPr>
                      <w:rFonts w:hint="eastAsia"/>
                      <w:b/>
                      <w:bCs/>
                      <w:szCs w:val="21"/>
                    </w:rPr>
                    <w:t>项目情况</w:t>
                  </w:r>
                </w:p>
              </w:tc>
              <w:tc>
                <w:tcPr>
                  <w:tcW w:w="376" w:type="pct"/>
                  <w:tcBorders>
                    <w:top w:val="single" w:color="auto" w:sz="4" w:space="0"/>
                    <w:left w:val="single" w:color="auto" w:sz="4" w:space="0"/>
                    <w:bottom w:val="single" w:color="auto" w:sz="4" w:space="0"/>
                    <w:right w:val="single" w:color="auto" w:sz="4" w:space="0"/>
                  </w:tcBorders>
                  <w:vAlign w:val="center"/>
                </w:tcPr>
                <w:p>
                  <w:pPr>
                    <w:pStyle w:val="47"/>
                    <w:rPr>
                      <w:b/>
                      <w:bCs/>
                      <w:szCs w:val="21"/>
                    </w:rPr>
                  </w:pPr>
                  <w:r>
                    <w:rPr>
                      <w:rFonts w:hint="eastAsia"/>
                      <w:b/>
                      <w:bCs/>
                      <w:szCs w:val="21"/>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71" w:type="pct"/>
                  <w:vMerge w:val="restart"/>
                  <w:tcBorders>
                    <w:top w:val="single" w:color="auto" w:sz="4" w:space="0"/>
                    <w:left w:val="single" w:color="auto" w:sz="4" w:space="0"/>
                    <w:right w:val="single" w:color="auto" w:sz="4" w:space="0"/>
                  </w:tcBorders>
                  <w:vAlign w:val="center"/>
                </w:tcPr>
                <w:p>
                  <w:pPr>
                    <w:pStyle w:val="47"/>
                    <w:rPr>
                      <w:szCs w:val="21"/>
                    </w:rPr>
                  </w:pPr>
                  <w:r>
                    <w:rPr>
                      <w:rFonts w:hint="eastAsia"/>
                      <w:szCs w:val="21"/>
                    </w:rPr>
                    <w:t>空间布局约束</w:t>
                  </w:r>
                </w:p>
              </w:tc>
              <w:tc>
                <w:tcPr>
                  <w:tcW w:w="2254" w:type="pct"/>
                  <w:tcBorders>
                    <w:top w:val="single" w:color="auto" w:sz="4" w:space="0"/>
                    <w:left w:val="single" w:color="auto" w:sz="4" w:space="0"/>
                    <w:bottom w:val="single" w:color="auto" w:sz="4" w:space="0"/>
                    <w:right w:val="single" w:color="auto" w:sz="4" w:space="0"/>
                  </w:tcBorders>
                  <w:vAlign w:val="center"/>
                </w:tcPr>
                <w:p>
                  <w:pPr>
                    <w:pStyle w:val="47"/>
                    <w:jc w:val="left"/>
                    <w:rPr>
                      <w:szCs w:val="21"/>
                    </w:rPr>
                  </w:pPr>
                  <w:r>
                    <w:rPr>
                      <w:rFonts w:hint="eastAsia"/>
                      <w:szCs w:val="21"/>
                    </w:rPr>
                    <w:t>1、优化产业布局和结构，实施分区差别化的产业准入条件。</w:t>
                  </w:r>
                </w:p>
              </w:tc>
              <w:tc>
                <w:tcPr>
                  <w:tcW w:w="1998" w:type="pct"/>
                  <w:tcBorders>
                    <w:top w:val="single" w:color="auto" w:sz="4" w:space="0"/>
                    <w:left w:val="single" w:color="auto" w:sz="4" w:space="0"/>
                    <w:bottom w:val="single" w:color="auto" w:sz="4" w:space="0"/>
                    <w:right w:val="single" w:color="auto" w:sz="4" w:space="0"/>
                  </w:tcBorders>
                  <w:vAlign w:val="center"/>
                </w:tcPr>
                <w:p>
                  <w:pPr>
                    <w:pStyle w:val="47"/>
                    <w:jc w:val="left"/>
                    <w:rPr>
                      <w:szCs w:val="21"/>
                    </w:rPr>
                  </w:pPr>
                  <w:r>
                    <w:rPr>
                      <w:szCs w:val="21"/>
                    </w:rPr>
                    <w:t>本项目主要</w:t>
                  </w:r>
                  <w:r>
                    <w:rPr>
                      <w:rFonts w:hint="eastAsia"/>
                      <w:szCs w:val="21"/>
                    </w:rPr>
                    <w:t>从事精密配件、后倾离心风机的生产</w:t>
                  </w:r>
                  <w:r>
                    <w:rPr>
                      <w:szCs w:val="21"/>
                    </w:rPr>
                    <w:t>，属于</w:t>
                  </w:r>
                  <w:r>
                    <w:rPr>
                      <w:rFonts w:hint="eastAsia"/>
                      <w:szCs w:val="21"/>
                    </w:rPr>
                    <w:t>二类工业项目，符合产业准入条件。</w:t>
                  </w:r>
                </w:p>
              </w:tc>
              <w:tc>
                <w:tcPr>
                  <w:tcW w:w="376" w:type="pct"/>
                  <w:tcBorders>
                    <w:top w:val="single" w:color="auto" w:sz="4" w:space="0"/>
                    <w:left w:val="single" w:color="auto" w:sz="4" w:space="0"/>
                    <w:right w:val="single" w:color="auto" w:sz="4" w:space="0"/>
                  </w:tcBorders>
                  <w:vAlign w:val="center"/>
                </w:tcPr>
                <w:p>
                  <w:pPr>
                    <w:pStyle w:val="47"/>
                    <w:rPr>
                      <w:szCs w:val="21"/>
                    </w:rPr>
                  </w:pPr>
                  <w:r>
                    <w:rPr>
                      <w:rFonts w:hint="eastAsia"/>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7" w:hRule="atLeast"/>
                <w:jc w:val="center"/>
              </w:trPr>
              <w:tc>
                <w:tcPr>
                  <w:tcW w:w="371" w:type="pct"/>
                  <w:vMerge w:val="continue"/>
                  <w:tcBorders>
                    <w:left w:val="single" w:color="auto" w:sz="4" w:space="0"/>
                    <w:right w:val="single" w:color="auto" w:sz="4" w:space="0"/>
                  </w:tcBorders>
                  <w:vAlign w:val="center"/>
                </w:tcPr>
                <w:p>
                  <w:pPr>
                    <w:pStyle w:val="47"/>
                    <w:rPr>
                      <w:szCs w:val="21"/>
                    </w:rPr>
                  </w:pPr>
                </w:p>
              </w:tc>
              <w:tc>
                <w:tcPr>
                  <w:tcW w:w="2254" w:type="pct"/>
                  <w:tcBorders>
                    <w:top w:val="single" w:color="auto" w:sz="4" w:space="0"/>
                    <w:left w:val="single" w:color="auto" w:sz="4" w:space="0"/>
                    <w:bottom w:val="single" w:color="auto" w:sz="4" w:space="0"/>
                    <w:right w:val="single" w:color="auto" w:sz="4" w:space="0"/>
                  </w:tcBorders>
                  <w:vAlign w:val="center"/>
                </w:tcPr>
                <w:p>
                  <w:pPr>
                    <w:pStyle w:val="47"/>
                    <w:jc w:val="left"/>
                    <w:rPr>
                      <w:szCs w:val="21"/>
                    </w:rPr>
                  </w:pPr>
                  <w:r>
                    <w:rPr>
                      <w:rFonts w:hint="eastAsia"/>
                      <w:szCs w:val="21"/>
                    </w:rPr>
                    <w:t>2、合理规划布局三类工业项目，控制三类工业项目布局范围和总体规模，对不符合桐乡市重点支持产业导向的三类工业项目禁止准入，鼓励对现有三类工业项目进行淘汰和提升。</w:t>
                  </w:r>
                </w:p>
              </w:tc>
              <w:tc>
                <w:tcPr>
                  <w:tcW w:w="1998" w:type="pct"/>
                  <w:tcBorders>
                    <w:top w:val="single" w:color="auto" w:sz="4" w:space="0"/>
                    <w:left w:val="single" w:color="auto" w:sz="4" w:space="0"/>
                    <w:bottom w:val="single" w:color="auto" w:sz="4" w:space="0"/>
                    <w:right w:val="single" w:color="auto" w:sz="4" w:space="0"/>
                  </w:tcBorders>
                  <w:vAlign w:val="center"/>
                </w:tcPr>
                <w:p>
                  <w:pPr>
                    <w:pStyle w:val="47"/>
                    <w:jc w:val="left"/>
                    <w:rPr>
                      <w:szCs w:val="21"/>
                    </w:rPr>
                  </w:pPr>
                  <w:r>
                    <w:rPr>
                      <w:szCs w:val="21"/>
                    </w:rPr>
                    <w:t>本项目主要</w:t>
                  </w:r>
                  <w:r>
                    <w:rPr>
                      <w:rFonts w:hint="eastAsia"/>
                      <w:szCs w:val="21"/>
                    </w:rPr>
                    <w:t>从事精密配件、后倾离心风机的生产</w:t>
                  </w:r>
                  <w:r>
                    <w:rPr>
                      <w:szCs w:val="21"/>
                    </w:rPr>
                    <w:t>，</w:t>
                  </w:r>
                  <w:r>
                    <w:rPr>
                      <w:rFonts w:hint="eastAsia"/>
                      <w:szCs w:val="21"/>
                    </w:rPr>
                    <w:t>属于二类工业项目。</w:t>
                  </w:r>
                </w:p>
              </w:tc>
              <w:tc>
                <w:tcPr>
                  <w:tcW w:w="376" w:type="pct"/>
                  <w:tcBorders>
                    <w:top w:val="single" w:color="auto" w:sz="4" w:space="0"/>
                    <w:left w:val="single" w:color="auto" w:sz="4" w:space="0"/>
                    <w:right w:val="single" w:color="auto" w:sz="4" w:space="0"/>
                  </w:tcBorders>
                  <w:vAlign w:val="center"/>
                </w:tcPr>
                <w:p>
                  <w:pPr>
                    <w:pStyle w:val="47"/>
                    <w:rPr>
                      <w:szCs w:val="21"/>
                    </w:rPr>
                  </w:pPr>
                  <w:r>
                    <w:rPr>
                      <w:rFonts w:hint="eastAsia"/>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8" w:hRule="atLeast"/>
                <w:jc w:val="center"/>
              </w:trPr>
              <w:tc>
                <w:tcPr>
                  <w:tcW w:w="371" w:type="pct"/>
                  <w:vMerge w:val="continue"/>
                  <w:tcBorders>
                    <w:left w:val="single" w:color="auto" w:sz="4" w:space="0"/>
                    <w:bottom w:val="single" w:color="auto" w:sz="4" w:space="0"/>
                    <w:right w:val="single" w:color="auto" w:sz="4" w:space="0"/>
                  </w:tcBorders>
                  <w:vAlign w:val="center"/>
                </w:tcPr>
                <w:p>
                  <w:pPr>
                    <w:pStyle w:val="47"/>
                    <w:rPr>
                      <w:szCs w:val="21"/>
                    </w:rPr>
                  </w:pPr>
                </w:p>
              </w:tc>
              <w:tc>
                <w:tcPr>
                  <w:tcW w:w="2254" w:type="pct"/>
                  <w:tcBorders>
                    <w:top w:val="single" w:color="auto" w:sz="4" w:space="0"/>
                    <w:left w:val="single" w:color="auto" w:sz="4" w:space="0"/>
                    <w:bottom w:val="single" w:color="auto" w:sz="4" w:space="0"/>
                    <w:right w:val="single" w:color="auto" w:sz="4" w:space="0"/>
                  </w:tcBorders>
                  <w:vAlign w:val="center"/>
                </w:tcPr>
                <w:p>
                  <w:pPr>
                    <w:pStyle w:val="47"/>
                    <w:jc w:val="left"/>
                    <w:rPr>
                      <w:szCs w:val="21"/>
                    </w:rPr>
                  </w:pPr>
                  <w:r>
                    <w:rPr>
                      <w:rFonts w:hint="eastAsia"/>
                      <w:szCs w:val="21"/>
                    </w:rPr>
                    <w:t>3、提高电力、化工、印染、造纸、化纤等重点行业环保准入门槛，控制新增污染物排放量。</w:t>
                  </w:r>
                </w:p>
              </w:tc>
              <w:tc>
                <w:tcPr>
                  <w:tcW w:w="1998" w:type="pct"/>
                  <w:tcBorders>
                    <w:top w:val="single" w:color="auto" w:sz="4" w:space="0"/>
                    <w:left w:val="single" w:color="auto" w:sz="4" w:space="0"/>
                    <w:bottom w:val="single" w:color="auto" w:sz="4" w:space="0"/>
                    <w:right w:val="single" w:color="auto" w:sz="4" w:space="0"/>
                  </w:tcBorders>
                  <w:vAlign w:val="center"/>
                </w:tcPr>
                <w:p>
                  <w:pPr>
                    <w:pStyle w:val="47"/>
                    <w:jc w:val="left"/>
                    <w:rPr>
                      <w:szCs w:val="21"/>
                    </w:rPr>
                  </w:pPr>
                  <w:r>
                    <w:rPr>
                      <w:szCs w:val="21"/>
                    </w:rPr>
                    <w:t>本项目主要</w:t>
                  </w:r>
                  <w:r>
                    <w:rPr>
                      <w:rFonts w:hint="eastAsia"/>
                      <w:szCs w:val="21"/>
                    </w:rPr>
                    <w:t>从事精密配件、后倾离心风机的生产</w:t>
                  </w:r>
                  <w:r>
                    <w:rPr>
                      <w:szCs w:val="21"/>
                    </w:rPr>
                    <w:t>，</w:t>
                  </w:r>
                  <w:r>
                    <w:rPr>
                      <w:rFonts w:hint="eastAsia"/>
                      <w:szCs w:val="21"/>
                    </w:rPr>
                    <w:t>不属于上述重点行业。</w:t>
                  </w:r>
                </w:p>
              </w:tc>
              <w:tc>
                <w:tcPr>
                  <w:tcW w:w="376" w:type="pct"/>
                  <w:tcBorders>
                    <w:left w:val="single" w:color="auto" w:sz="4" w:space="0"/>
                    <w:right w:val="single" w:color="auto" w:sz="4" w:space="0"/>
                  </w:tcBorders>
                  <w:vAlign w:val="center"/>
                </w:tcPr>
                <w:p>
                  <w:pPr>
                    <w:pStyle w:val="47"/>
                    <w:rPr>
                      <w:szCs w:val="21"/>
                    </w:rPr>
                  </w:pPr>
                  <w:r>
                    <w:rPr>
                      <w:rFonts w:hint="eastAsia"/>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371" w:type="pct"/>
                  <w:vMerge w:val="continue"/>
                  <w:tcBorders>
                    <w:left w:val="single" w:color="auto" w:sz="4" w:space="0"/>
                    <w:bottom w:val="single" w:color="auto" w:sz="4" w:space="0"/>
                    <w:right w:val="single" w:color="auto" w:sz="4" w:space="0"/>
                  </w:tcBorders>
                  <w:vAlign w:val="center"/>
                </w:tcPr>
                <w:p>
                  <w:pPr>
                    <w:pStyle w:val="47"/>
                    <w:rPr>
                      <w:szCs w:val="21"/>
                    </w:rPr>
                  </w:pPr>
                </w:p>
              </w:tc>
              <w:tc>
                <w:tcPr>
                  <w:tcW w:w="2254" w:type="pct"/>
                  <w:tcBorders>
                    <w:top w:val="single" w:color="auto" w:sz="4" w:space="0"/>
                    <w:left w:val="single" w:color="auto" w:sz="4" w:space="0"/>
                    <w:bottom w:val="single" w:color="auto" w:sz="4" w:space="0"/>
                    <w:right w:val="single" w:color="auto" w:sz="4" w:space="0"/>
                  </w:tcBorders>
                  <w:vAlign w:val="center"/>
                </w:tcPr>
                <w:p>
                  <w:pPr>
                    <w:pStyle w:val="47"/>
                    <w:jc w:val="left"/>
                    <w:rPr>
                      <w:szCs w:val="21"/>
                    </w:rPr>
                  </w:pPr>
                  <w:r>
                    <w:rPr>
                      <w:rFonts w:hint="eastAsia"/>
                      <w:szCs w:val="21"/>
                    </w:rPr>
                    <w:t>4、新建涉VOCs排放的工业企业全部进入工业功能区，严格执行相关污染物排放量削减替代管理要求。</w:t>
                  </w:r>
                </w:p>
              </w:tc>
              <w:tc>
                <w:tcPr>
                  <w:tcW w:w="1998" w:type="pct"/>
                  <w:tcBorders>
                    <w:top w:val="single" w:color="auto" w:sz="4" w:space="0"/>
                    <w:left w:val="single" w:color="auto" w:sz="4" w:space="0"/>
                    <w:bottom w:val="single" w:color="auto" w:sz="4" w:space="0"/>
                    <w:right w:val="single" w:color="auto" w:sz="4" w:space="0"/>
                  </w:tcBorders>
                  <w:vAlign w:val="center"/>
                </w:tcPr>
                <w:p>
                  <w:pPr>
                    <w:pStyle w:val="47"/>
                    <w:jc w:val="left"/>
                    <w:rPr>
                      <w:szCs w:val="21"/>
                    </w:rPr>
                  </w:pPr>
                  <w:r>
                    <w:rPr>
                      <w:rFonts w:hint="eastAsia"/>
                      <w:szCs w:val="21"/>
                    </w:rPr>
                    <w:t>本项目位于桐乡市崇福工业区内，本项目严格执行相关污染物排放量削减替代管理要求，新增颗粒物、VOCs污染物按1</w:t>
                  </w:r>
                  <w:r>
                    <w:rPr>
                      <w:szCs w:val="21"/>
                    </w:rPr>
                    <w:t>:2</w:t>
                  </w:r>
                  <w:r>
                    <w:rPr>
                      <w:rFonts w:hint="eastAsia"/>
                      <w:szCs w:val="21"/>
                    </w:rPr>
                    <w:t>进行区域削减替代。</w:t>
                  </w:r>
                </w:p>
              </w:tc>
              <w:tc>
                <w:tcPr>
                  <w:tcW w:w="376" w:type="pct"/>
                  <w:tcBorders>
                    <w:left w:val="single" w:color="auto" w:sz="4" w:space="0"/>
                    <w:right w:val="single" w:color="auto" w:sz="4" w:space="0"/>
                  </w:tcBorders>
                  <w:vAlign w:val="center"/>
                </w:tcPr>
                <w:p>
                  <w:pPr>
                    <w:pStyle w:val="47"/>
                    <w:rPr>
                      <w:szCs w:val="21"/>
                    </w:rPr>
                  </w:pPr>
                  <w:r>
                    <w:rPr>
                      <w:rFonts w:hint="eastAsia"/>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371" w:type="pct"/>
                  <w:vMerge w:val="continue"/>
                  <w:tcBorders>
                    <w:left w:val="single" w:color="auto" w:sz="4" w:space="0"/>
                    <w:bottom w:val="single" w:color="auto" w:sz="4" w:space="0"/>
                    <w:right w:val="single" w:color="auto" w:sz="4" w:space="0"/>
                  </w:tcBorders>
                  <w:vAlign w:val="center"/>
                </w:tcPr>
                <w:p>
                  <w:pPr>
                    <w:pStyle w:val="47"/>
                    <w:rPr>
                      <w:szCs w:val="21"/>
                    </w:rPr>
                  </w:pPr>
                </w:p>
              </w:tc>
              <w:tc>
                <w:tcPr>
                  <w:tcW w:w="2254" w:type="pct"/>
                  <w:tcBorders>
                    <w:top w:val="single" w:color="auto" w:sz="4" w:space="0"/>
                    <w:left w:val="single" w:color="auto" w:sz="4" w:space="0"/>
                    <w:bottom w:val="single" w:color="auto" w:sz="4" w:space="0"/>
                    <w:right w:val="single" w:color="auto" w:sz="4" w:space="0"/>
                  </w:tcBorders>
                  <w:vAlign w:val="center"/>
                </w:tcPr>
                <w:p>
                  <w:pPr>
                    <w:pStyle w:val="47"/>
                    <w:jc w:val="left"/>
                    <w:rPr>
                      <w:szCs w:val="21"/>
                    </w:rPr>
                  </w:pPr>
                  <w:r>
                    <w:rPr>
                      <w:rFonts w:hint="eastAsia"/>
                      <w:szCs w:val="21"/>
                    </w:rPr>
                    <w:t>5、除热电行业外，禁止新建、改建、扩建使用高污染燃料的项目。</w:t>
                  </w:r>
                </w:p>
              </w:tc>
              <w:tc>
                <w:tcPr>
                  <w:tcW w:w="1998" w:type="pct"/>
                  <w:tcBorders>
                    <w:top w:val="single" w:color="auto" w:sz="4" w:space="0"/>
                    <w:left w:val="single" w:color="auto" w:sz="4" w:space="0"/>
                    <w:bottom w:val="single" w:color="auto" w:sz="4" w:space="0"/>
                    <w:right w:val="single" w:color="auto" w:sz="4" w:space="0"/>
                  </w:tcBorders>
                  <w:vAlign w:val="center"/>
                </w:tcPr>
                <w:p>
                  <w:pPr>
                    <w:pStyle w:val="47"/>
                    <w:jc w:val="left"/>
                    <w:rPr>
                      <w:szCs w:val="21"/>
                    </w:rPr>
                  </w:pPr>
                  <w:r>
                    <w:rPr>
                      <w:szCs w:val="21"/>
                    </w:rPr>
                    <w:t>企业设备主要使用电能，</w:t>
                  </w:r>
                  <w:r>
                    <w:rPr>
                      <w:rFonts w:hint="eastAsia"/>
                      <w:szCs w:val="21"/>
                    </w:rPr>
                    <w:t>不使用高污染燃料。</w:t>
                  </w:r>
                </w:p>
              </w:tc>
              <w:tc>
                <w:tcPr>
                  <w:tcW w:w="376" w:type="pct"/>
                  <w:tcBorders>
                    <w:left w:val="single" w:color="auto" w:sz="4" w:space="0"/>
                    <w:bottom w:val="single" w:color="auto" w:sz="4" w:space="0"/>
                    <w:right w:val="single" w:color="auto" w:sz="4" w:space="0"/>
                  </w:tcBorders>
                  <w:vAlign w:val="center"/>
                </w:tcPr>
                <w:p>
                  <w:pPr>
                    <w:pStyle w:val="47"/>
                    <w:rPr>
                      <w:szCs w:val="21"/>
                    </w:rPr>
                  </w:pPr>
                  <w:r>
                    <w:rPr>
                      <w:rFonts w:hint="eastAsia"/>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1" w:hRule="atLeast"/>
                <w:jc w:val="center"/>
              </w:trPr>
              <w:tc>
                <w:tcPr>
                  <w:tcW w:w="371" w:type="pct"/>
                  <w:vMerge w:val="continue"/>
                  <w:tcBorders>
                    <w:left w:val="single" w:color="auto" w:sz="4" w:space="0"/>
                    <w:bottom w:val="single" w:color="auto" w:sz="4" w:space="0"/>
                    <w:right w:val="single" w:color="auto" w:sz="4" w:space="0"/>
                  </w:tcBorders>
                  <w:vAlign w:val="center"/>
                </w:tcPr>
                <w:p>
                  <w:pPr>
                    <w:pStyle w:val="47"/>
                    <w:rPr>
                      <w:szCs w:val="21"/>
                    </w:rPr>
                  </w:pPr>
                </w:p>
              </w:tc>
              <w:tc>
                <w:tcPr>
                  <w:tcW w:w="2254" w:type="pct"/>
                  <w:tcBorders>
                    <w:top w:val="single" w:color="auto" w:sz="4" w:space="0"/>
                    <w:left w:val="single" w:color="auto" w:sz="4" w:space="0"/>
                    <w:bottom w:val="single" w:color="auto" w:sz="4" w:space="0"/>
                    <w:right w:val="single" w:color="auto" w:sz="4" w:space="0"/>
                  </w:tcBorders>
                  <w:vAlign w:val="center"/>
                </w:tcPr>
                <w:p>
                  <w:pPr>
                    <w:pStyle w:val="47"/>
                    <w:jc w:val="left"/>
                    <w:rPr>
                      <w:szCs w:val="21"/>
                    </w:rPr>
                  </w:pPr>
                  <w:r>
                    <w:rPr>
                      <w:rFonts w:hint="eastAsia"/>
                      <w:szCs w:val="21"/>
                    </w:rPr>
                    <w:t>6、合理规划居住区与工业功能区，在居住区和工业区、工业企业之间设置防护绿地、生态绿地等隔离带。</w:t>
                  </w:r>
                </w:p>
              </w:tc>
              <w:tc>
                <w:tcPr>
                  <w:tcW w:w="1998" w:type="pct"/>
                  <w:tcBorders>
                    <w:top w:val="single" w:color="auto" w:sz="4" w:space="0"/>
                    <w:left w:val="single" w:color="auto" w:sz="4" w:space="0"/>
                    <w:bottom w:val="single" w:color="auto" w:sz="4" w:space="0"/>
                    <w:right w:val="single" w:color="auto" w:sz="4" w:space="0"/>
                  </w:tcBorders>
                  <w:vAlign w:val="center"/>
                </w:tcPr>
                <w:p>
                  <w:pPr>
                    <w:pStyle w:val="47"/>
                    <w:jc w:val="left"/>
                    <w:rPr>
                      <w:szCs w:val="21"/>
                    </w:rPr>
                  </w:pPr>
                  <w:r>
                    <w:rPr>
                      <w:rFonts w:hint="eastAsia"/>
                      <w:szCs w:val="21"/>
                    </w:rPr>
                    <w:t>本项目位于桐乡市崇福工业区内，周边主要为工业企业、道路，周边1</w:t>
                  </w:r>
                  <w:r>
                    <w:rPr>
                      <w:szCs w:val="21"/>
                    </w:rPr>
                    <w:t>00</w:t>
                  </w:r>
                  <w:r>
                    <w:rPr>
                      <w:rFonts w:hint="eastAsia"/>
                      <w:szCs w:val="21"/>
                    </w:rPr>
                    <w:t>米范围内无居民住宅等环境敏感点。</w:t>
                  </w:r>
                </w:p>
              </w:tc>
              <w:tc>
                <w:tcPr>
                  <w:tcW w:w="376" w:type="pct"/>
                  <w:tcBorders>
                    <w:left w:val="single" w:color="auto" w:sz="4" w:space="0"/>
                    <w:bottom w:val="single" w:color="auto" w:sz="4" w:space="0"/>
                    <w:right w:val="single" w:color="auto" w:sz="4" w:space="0"/>
                  </w:tcBorders>
                  <w:vAlign w:val="center"/>
                </w:tcPr>
                <w:p>
                  <w:pPr>
                    <w:pStyle w:val="47"/>
                    <w:rPr>
                      <w:szCs w:val="21"/>
                    </w:rPr>
                  </w:pPr>
                  <w:r>
                    <w:rPr>
                      <w:rFonts w:hint="eastAsia"/>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Merge w:val="restart"/>
                  <w:tcBorders>
                    <w:top w:val="single" w:color="auto" w:sz="4" w:space="0"/>
                    <w:left w:val="single" w:color="auto" w:sz="4" w:space="0"/>
                    <w:right w:val="single" w:color="auto" w:sz="4" w:space="0"/>
                  </w:tcBorders>
                  <w:vAlign w:val="center"/>
                </w:tcPr>
                <w:p>
                  <w:pPr>
                    <w:pStyle w:val="47"/>
                    <w:rPr>
                      <w:szCs w:val="21"/>
                    </w:rPr>
                  </w:pPr>
                  <w:r>
                    <w:rPr>
                      <w:rFonts w:hint="eastAsia"/>
                      <w:szCs w:val="21"/>
                    </w:rPr>
                    <w:t>污染物排放管控</w:t>
                  </w:r>
                </w:p>
              </w:tc>
              <w:tc>
                <w:tcPr>
                  <w:tcW w:w="2254" w:type="pct"/>
                  <w:tcBorders>
                    <w:top w:val="single" w:color="auto" w:sz="4" w:space="0"/>
                    <w:left w:val="single" w:color="auto" w:sz="4" w:space="0"/>
                    <w:bottom w:val="single" w:color="auto" w:sz="4" w:space="0"/>
                    <w:right w:val="single" w:color="auto" w:sz="4" w:space="0"/>
                  </w:tcBorders>
                  <w:vAlign w:val="center"/>
                </w:tcPr>
                <w:p>
                  <w:pPr>
                    <w:pStyle w:val="47"/>
                    <w:jc w:val="left"/>
                    <w:rPr>
                      <w:szCs w:val="21"/>
                    </w:rPr>
                  </w:pPr>
                  <w:r>
                    <w:rPr>
                      <w:rFonts w:hint="eastAsia"/>
                      <w:szCs w:val="21"/>
                    </w:rPr>
                    <w:t>1、严格实施污染物总量控制制度，根据区域环境质量改善目标，削减污染物排放总量。</w:t>
                  </w:r>
                </w:p>
              </w:tc>
              <w:tc>
                <w:tcPr>
                  <w:tcW w:w="1998" w:type="pct"/>
                  <w:tcBorders>
                    <w:top w:val="single" w:color="auto" w:sz="4" w:space="0"/>
                    <w:left w:val="single" w:color="auto" w:sz="4" w:space="0"/>
                    <w:bottom w:val="single" w:color="auto" w:sz="4" w:space="0"/>
                    <w:right w:val="single" w:color="auto" w:sz="4" w:space="0"/>
                  </w:tcBorders>
                  <w:vAlign w:val="center"/>
                </w:tcPr>
                <w:p>
                  <w:pPr>
                    <w:pStyle w:val="47"/>
                    <w:jc w:val="left"/>
                    <w:rPr>
                      <w:szCs w:val="21"/>
                    </w:rPr>
                  </w:pPr>
                  <w:r>
                    <w:rPr>
                      <w:rFonts w:hint="eastAsia"/>
                      <w:szCs w:val="21"/>
                    </w:rPr>
                    <w:t>本项目严格实施污染物总量控制制度，新增污染物排放量按1:</w:t>
                  </w:r>
                  <w:r>
                    <w:rPr>
                      <w:szCs w:val="21"/>
                    </w:rPr>
                    <w:t>2</w:t>
                  </w:r>
                  <w:r>
                    <w:rPr>
                      <w:rFonts w:hint="eastAsia"/>
                      <w:szCs w:val="21"/>
                    </w:rPr>
                    <w:t>进行区域削减替代。</w:t>
                  </w:r>
                </w:p>
              </w:tc>
              <w:tc>
                <w:tcPr>
                  <w:tcW w:w="376"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Merge w:val="continue"/>
                  <w:tcBorders>
                    <w:left w:val="single" w:color="auto" w:sz="4" w:space="0"/>
                    <w:right w:val="single" w:color="auto" w:sz="4" w:space="0"/>
                  </w:tcBorders>
                  <w:vAlign w:val="center"/>
                </w:tcPr>
                <w:p>
                  <w:pPr>
                    <w:pStyle w:val="47"/>
                    <w:rPr>
                      <w:szCs w:val="21"/>
                    </w:rPr>
                  </w:pPr>
                </w:p>
              </w:tc>
              <w:tc>
                <w:tcPr>
                  <w:tcW w:w="2254" w:type="pct"/>
                  <w:tcBorders>
                    <w:top w:val="single" w:color="auto" w:sz="4" w:space="0"/>
                    <w:left w:val="single" w:color="auto" w:sz="4" w:space="0"/>
                    <w:bottom w:val="single" w:color="auto" w:sz="4" w:space="0"/>
                    <w:right w:val="single" w:color="auto" w:sz="4" w:space="0"/>
                  </w:tcBorders>
                  <w:vAlign w:val="center"/>
                </w:tcPr>
                <w:p>
                  <w:pPr>
                    <w:pStyle w:val="47"/>
                    <w:jc w:val="left"/>
                    <w:rPr>
                      <w:szCs w:val="21"/>
                    </w:rPr>
                  </w:pPr>
                  <w:r>
                    <w:rPr>
                      <w:rFonts w:hint="eastAsia"/>
                      <w:szCs w:val="21"/>
                    </w:rPr>
                    <w:t>2、新建二类、三类工业项目污染物排放水平要达到同行业国内先进水平。</w:t>
                  </w:r>
                </w:p>
              </w:tc>
              <w:tc>
                <w:tcPr>
                  <w:tcW w:w="1998" w:type="pct"/>
                  <w:tcBorders>
                    <w:top w:val="single" w:color="auto" w:sz="4" w:space="0"/>
                    <w:left w:val="single" w:color="auto" w:sz="4" w:space="0"/>
                    <w:bottom w:val="single" w:color="auto" w:sz="4" w:space="0"/>
                    <w:right w:val="single" w:color="auto" w:sz="4" w:space="0"/>
                  </w:tcBorders>
                  <w:vAlign w:val="center"/>
                </w:tcPr>
                <w:p>
                  <w:pPr>
                    <w:pStyle w:val="47"/>
                    <w:jc w:val="left"/>
                    <w:rPr>
                      <w:szCs w:val="21"/>
                    </w:rPr>
                  </w:pPr>
                  <w:r>
                    <w:rPr>
                      <w:szCs w:val="21"/>
                    </w:rPr>
                    <w:t>本项目主要</w:t>
                  </w:r>
                  <w:r>
                    <w:rPr>
                      <w:rFonts w:hint="eastAsia"/>
                      <w:szCs w:val="21"/>
                    </w:rPr>
                    <w:t>从事精密配件、后倾离心风机的生产</w:t>
                  </w:r>
                  <w:r>
                    <w:rPr>
                      <w:szCs w:val="21"/>
                    </w:rPr>
                    <w:t>，</w:t>
                  </w:r>
                  <w:r>
                    <w:rPr>
                      <w:rFonts w:hint="eastAsia"/>
                      <w:szCs w:val="21"/>
                    </w:rPr>
                    <w:t>属于二类工业项目，污染物排放水平达到同行业国内先进水平。</w:t>
                  </w:r>
                </w:p>
              </w:tc>
              <w:tc>
                <w:tcPr>
                  <w:tcW w:w="376"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Merge w:val="continue"/>
                  <w:tcBorders>
                    <w:left w:val="single" w:color="auto" w:sz="4" w:space="0"/>
                    <w:right w:val="single" w:color="auto" w:sz="4" w:space="0"/>
                  </w:tcBorders>
                  <w:vAlign w:val="center"/>
                </w:tcPr>
                <w:p>
                  <w:pPr>
                    <w:pStyle w:val="47"/>
                    <w:rPr>
                      <w:szCs w:val="21"/>
                    </w:rPr>
                  </w:pPr>
                </w:p>
              </w:tc>
              <w:tc>
                <w:tcPr>
                  <w:tcW w:w="2254" w:type="pct"/>
                  <w:tcBorders>
                    <w:top w:val="single" w:color="auto" w:sz="4" w:space="0"/>
                    <w:left w:val="single" w:color="auto" w:sz="4" w:space="0"/>
                    <w:bottom w:val="single" w:color="auto" w:sz="4" w:space="0"/>
                    <w:right w:val="single" w:color="auto" w:sz="4" w:space="0"/>
                  </w:tcBorders>
                  <w:vAlign w:val="center"/>
                </w:tcPr>
                <w:p>
                  <w:pPr>
                    <w:pStyle w:val="47"/>
                    <w:jc w:val="left"/>
                    <w:rPr>
                      <w:szCs w:val="21"/>
                    </w:rPr>
                  </w:pPr>
                  <w:r>
                    <w:rPr>
                      <w:rFonts w:hint="eastAsia"/>
                      <w:szCs w:val="21"/>
                    </w:rPr>
                    <w:t>3、加快落实污水处理厂建设及提升改造项目，推进工业园区（工业企业）“污水零直排区”建设，所有企业实现雨污分流。</w:t>
                  </w:r>
                </w:p>
              </w:tc>
              <w:tc>
                <w:tcPr>
                  <w:tcW w:w="1998" w:type="pct"/>
                  <w:tcBorders>
                    <w:top w:val="single" w:color="auto" w:sz="4" w:space="0"/>
                    <w:left w:val="single" w:color="auto" w:sz="4" w:space="0"/>
                    <w:bottom w:val="single" w:color="auto" w:sz="4" w:space="0"/>
                    <w:right w:val="single" w:color="auto" w:sz="4" w:space="0"/>
                  </w:tcBorders>
                  <w:vAlign w:val="center"/>
                </w:tcPr>
                <w:p>
                  <w:pPr>
                    <w:pStyle w:val="47"/>
                    <w:jc w:val="left"/>
                    <w:rPr>
                      <w:szCs w:val="21"/>
                    </w:rPr>
                  </w:pPr>
                  <w:r>
                    <w:rPr>
                      <w:rFonts w:hint="eastAsia"/>
                      <w:szCs w:val="21"/>
                    </w:rPr>
                    <w:t>本项目可实现雨污分流。</w:t>
                  </w:r>
                </w:p>
              </w:tc>
              <w:tc>
                <w:tcPr>
                  <w:tcW w:w="376"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Merge w:val="continue"/>
                  <w:tcBorders>
                    <w:left w:val="single" w:color="auto" w:sz="4" w:space="0"/>
                    <w:right w:val="single" w:color="auto" w:sz="4" w:space="0"/>
                  </w:tcBorders>
                  <w:vAlign w:val="center"/>
                </w:tcPr>
                <w:p>
                  <w:pPr>
                    <w:pStyle w:val="47"/>
                    <w:rPr>
                      <w:szCs w:val="21"/>
                    </w:rPr>
                  </w:pPr>
                </w:p>
              </w:tc>
              <w:tc>
                <w:tcPr>
                  <w:tcW w:w="2254" w:type="pct"/>
                  <w:tcBorders>
                    <w:top w:val="single" w:color="auto" w:sz="4" w:space="0"/>
                    <w:left w:val="single" w:color="auto" w:sz="4" w:space="0"/>
                    <w:bottom w:val="single" w:color="auto" w:sz="4" w:space="0"/>
                    <w:right w:val="single" w:color="auto" w:sz="4" w:space="0"/>
                  </w:tcBorders>
                  <w:vAlign w:val="center"/>
                </w:tcPr>
                <w:p>
                  <w:pPr>
                    <w:pStyle w:val="47"/>
                    <w:jc w:val="left"/>
                    <w:rPr>
                      <w:szCs w:val="21"/>
                    </w:rPr>
                  </w:pPr>
                  <w:r>
                    <w:rPr>
                      <w:rFonts w:hint="eastAsia"/>
                      <w:szCs w:val="21"/>
                    </w:rPr>
                    <w:t>4、加强土壤和地下水污染防治与修复。</w:t>
                  </w:r>
                </w:p>
              </w:tc>
              <w:tc>
                <w:tcPr>
                  <w:tcW w:w="1998" w:type="pct"/>
                  <w:tcBorders>
                    <w:top w:val="single" w:color="auto" w:sz="4" w:space="0"/>
                    <w:left w:val="single" w:color="auto" w:sz="4" w:space="0"/>
                    <w:bottom w:val="single" w:color="auto" w:sz="4" w:space="0"/>
                    <w:right w:val="single" w:color="auto" w:sz="4" w:space="0"/>
                  </w:tcBorders>
                  <w:vAlign w:val="center"/>
                </w:tcPr>
                <w:p>
                  <w:pPr>
                    <w:pStyle w:val="47"/>
                    <w:jc w:val="left"/>
                    <w:rPr>
                      <w:szCs w:val="21"/>
                    </w:rPr>
                  </w:pPr>
                  <w:r>
                    <w:rPr>
                      <w:rFonts w:hint="eastAsia"/>
                      <w:szCs w:val="21"/>
                    </w:rPr>
                    <w:t>要求企业做好土壤和地下水污染防治与修复。</w:t>
                  </w:r>
                </w:p>
              </w:tc>
              <w:tc>
                <w:tcPr>
                  <w:tcW w:w="376"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Merge w:val="restart"/>
                  <w:tcBorders>
                    <w:top w:val="single" w:color="auto" w:sz="4" w:space="0"/>
                    <w:left w:val="single" w:color="auto" w:sz="4" w:space="0"/>
                    <w:right w:val="single" w:color="auto" w:sz="4" w:space="0"/>
                  </w:tcBorders>
                  <w:vAlign w:val="center"/>
                </w:tcPr>
                <w:p>
                  <w:pPr>
                    <w:pStyle w:val="47"/>
                    <w:rPr>
                      <w:szCs w:val="21"/>
                    </w:rPr>
                  </w:pPr>
                  <w:r>
                    <w:rPr>
                      <w:rFonts w:hint="eastAsia"/>
                      <w:szCs w:val="21"/>
                    </w:rPr>
                    <w:t>环境风险防控</w:t>
                  </w:r>
                </w:p>
              </w:tc>
              <w:tc>
                <w:tcPr>
                  <w:tcW w:w="2254" w:type="pct"/>
                  <w:tcBorders>
                    <w:top w:val="single" w:color="auto" w:sz="4" w:space="0"/>
                    <w:left w:val="single" w:color="auto" w:sz="4" w:space="0"/>
                    <w:bottom w:val="single" w:color="auto" w:sz="4" w:space="0"/>
                    <w:right w:val="single" w:color="auto" w:sz="4" w:space="0"/>
                  </w:tcBorders>
                  <w:vAlign w:val="center"/>
                </w:tcPr>
                <w:p>
                  <w:pPr>
                    <w:pStyle w:val="47"/>
                    <w:jc w:val="left"/>
                    <w:rPr>
                      <w:szCs w:val="21"/>
                    </w:rPr>
                  </w:pPr>
                  <w:r>
                    <w:rPr>
                      <w:rFonts w:hint="eastAsia"/>
                      <w:szCs w:val="21"/>
                    </w:rPr>
                    <w:t>1、定期评估沿江河湖库工业企业、工业集聚区环境和健康风险。</w:t>
                  </w:r>
                </w:p>
              </w:tc>
              <w:tc>
                <w:tcPr>
                  <w:tcW w:w="1998" w:type="pct"/>
                  <w:tcBorders>
                    <w:top w:val="single" w:color="auto" w:sz="4" w:space="0"/>
                    <w:left w:val="single" w:color="auto" w:sz="4" w:space="0"/>
                    <w:bottom w:val="single" w:color="auto" w:sz="4" w:space="0"/>
                    <w:right w:val="single" w:color="auto" w:sz="4" w:space="0"/>
                  </w:tcBorders>
                  <w:vAlign w:val="center"/>
                </w:tcPr>
                <w:p>
                  <w:pPr>
                    <w:pStyle w:val="47"/>
                    <w:jc w:val="left"/>
                    <w:rPr>
                      <w:szCs w:val="21"/>
                    </w:rPr>
                  </w:pPr>
                  <w:r>
                    <w:rPr>
                      <w:rFonts w:hint="eastAsia"/>
                      <w:szCs w:val="21"/>
                    </w:rPr>
                    <w:t>要求企业定期评估环境和健康风险。</w:t>
                  </w:r>
                </w:p>
              </w:tc>
              <w:tc>
                <w:tcPr>
                  <w:tcW w:w="376"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Merge w:val="continue"/>
                  <w:tcBorders>
                    <w:left w:val="single" w:color="auto" w:sz="4" w:space="0"/>
                    <w:right w:val="single" w:color="auto" w:sz="4" w:space="0"/>
                  </w:tcBorders>
                  <w:vAlign w:val="center"/>
                </w:tcPr>
                <w:p>
                  <w:pPr>
                    <w:pStyle w:val="47"/>
                    <w:rPr>
                      <w:szCs w:val="21"/>
                    </w:rPr>
                  </w:pPr>
                </w:p>
              </w:tc>
              <w:tc>
                <w:tcPr>
                  <w:tcW w:w="2254" w:type="pct"/>
                  <w:tcBorders>
                    <w:top w:val="single" w:color="auto" w:sz="4" w:space="0"/>
                    <w:left w:val="single" w:color="auto" w:sz="4" w:space="0"/>
                    <w:bottom w:val="single" w:color="auto" w:sz="4" w:space="0"/>
                    <w:right w:val="single" w:color="auto" w:sz="4" w:space="0"/>
                  </w:tcBorders>
                  <w:vAlign w:val="center"/>
                </w:tcPr>
                <w:p>
                  <w:pPr>
                    <w:pStyle w:val="47"/>
                    <w:jc w:val="left"/>
                    <w:rPr>
                      <w:szCs w:val="21"/>
                    </w:rPr>
                  </w:pPr>
                  <w:r>
                    <w:rPr>
                      <w:rFonts w:hint="eastAsia"/>
                      <w:szCs w:val="21"/>
                    </w:rPr>
                    <w:t>2、强化工业集聚区企业环境风险防范设施设备建设和正常运行监管，加强重点环境风险管控企业应急预案制定，建立常态化的企业隐患排查整治监管机制，加强风险防控体系建设。</w:t>
                  </w:r>
                </w:p>
              </w:tc>
              <w:tc>
                <w:tcPr>
                  <w:tcW w:w="1998" w:type="pct"/>
                  <w:tcBorders>
                    <w:top w:val="single" w:color="auto" w:sz="4" w:space="0"/>
                    <w:left w:val="single" w:color="auto" w:sz="4" w:space="0"/>
                    <w:bottom w:val="single" w:color="auto" w:sz="4" w:space="0"/>
                    <w:right w:val="single" w:color="auto" w:sz="4" w:space="0"/>
                  </w:tcBorders>
                  <w:vAlign w:val="center"/>
                </w:tcPr>
                <w:p>
                  <w:pPr>
                    <w:pStyle w:val="47"/>
                    <w:jc w:val="left"/>
                    <w:rPr>
                      <w:szCs w:val="21"/>
                    </w:rPr>
                  </w:pPr>
                  <w:r>
                    <w:rPr>
                      <w:rFonts w:hint="eastAsia"/>
                      <w:szCs w:val="21"/>
                    </w:rPr>
                    <w:t>要求企业强化环境风险防范设施设备建设和正常运行监管，定期评估环境和健康风险；建立常态化隐患排查整治监管机制。</w:t>
                  </w:r>
                </w:p>
              </w:tc>
              <w:tc>
                <w:tcPr>
                  <w:tcW w:w="376"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tcBorders>
                    <w:left w:val="single" w:color="auto" w:sz="4" w:space="0"/>
                    <w:right w:val="single" w:color="auto" w:sz="4" w:space="0"/>
                  </w:tcBorders>
                  <w:vAlign w:val="center"/>
                </w:tcPr>
                <w:p>
                  <w:pPr>
                    <w:pStyle w:val="47"/>
                    <w:rPr>
                      <w:szCs w:val="21"/>
                    </w:rPr>
                  </w:pPr>
                  <w:r>
                    <w:rPr>
                      <w:rFonts w:hint="eastAsia"/>
                      <w:szCs w:val="21"/>
                    </w:rPr>
                    <w:t>资源开发效率要求</w:t>
                  </w:r>
                </w:p>
              </w:tc>
              <w:tc>
                <w:tcPr>
                  <w:tcW w:w="2254" w:type="pct"/>
                  <w:tcBorders>
                    <w:top w:val="single" w:color="auto" w:sz="4" w:space="0"/>
                    <w:left w:val="single" w:color="auto" w:sz="4" w:space="0"/>
                    <w:bottom w:val="single" w:color="auto" w:sz="4" w:space="0"/>
                    <w:right w:val="single" w:color="auto" w:sz="4" w:space="0"/>
                  </w:tcBorders>
                  <w:vAlign w:val="center"/>
                </w:tcPr>
                <w:p>
                  <w:pPr>
                    <w:pStyle w:val="47"/>
                    <w:jc w:val="left"/>
                    <w:rPr>
                      <w:szCs w:val="21"/>
                    </w:rPr>
                  </w:pPr>
                  <w:r>
                    <w:rPr>
                      <w:rFonts w:hint="eastAsia"/>
                      <w:szCs w:val="21"/>
                    </w:rPr>
                    <w:t>推进工业集聚区生态化改造，强化企业清洁生产改造，推进节水型企业、节水型工业园区建设，落实煤炭消费减量替代要求，提高资源能源利用效率。</w:t>
                  </w:r>
                </w:p>
              </w:tc>
              <w:tc>
                <w:tcPr>
                  <w:tcW w:w="1998" w:type="pct"/>
                  <w:tcBorders>
                    <w:top w:val="single" w:color="auto" w:sz="4" w:space="0"/>
                    <w:left w:val="single" w:color="auto" w:sz="4" w:space="0"/>
                    <w:bottom w:val="single" w:color="auto" w:sz="4" w:space="0"/>
                    <w:right w:val="single" w:color="auto" w:sz="4" w:space="0"/>
                  </w:tcBorders>
                  <w:vAlign w:val="center"/>
                </w:tcPr>
                <w:p>
                  <w:pPr>
                    <w:pStyle w:val="47"/>
                    <w:jc w:val="left"/>
                    <w:rPr>
                      <w:szCs w:val="21"/>
                    </w:rPr>
                  </w:pPr>
                  <w:r>
                    <w:rPr>
                      <w:rFonts w:hint="eastAsia"/>
                      <w:szCs w:val="21"/>
                    </w:rPr>
                    <w:t>本项目用水量较少，生产设备主要使用电能，符合清洁生产要求。</w:t>
                  </w:r>
                </w:p>
              </w:tc>
              <w:tc>
                <w:tcPr>
                  <w:tcW w:w="376"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是</w:t>
                  </w:r>
                </w:p>
              </w:tc>
            </w:tr>
          </w:tbl>
          <w:p>
            <w:pPr>
              <w:ind w:firstLine="480"/>
            </w:pPr>
            <w:r>
              <w:t>通过以上分析可知</w:t>
            </w:r>
            <w:r>
              <w:rPr>
                <w:rFonts w:hint="eastAsia"/>
              </w:rPr>
              <w:t>，</w:t>
            </w:r>
            <w:r>
              <w:t>本项目主要</w:t>
            </w:r>
            <w:r>
              <w:rPr>
                <w:rFonts w:hint="eastAsia"/>
              </w:rPr>
              <w:t>从事精密配件、后倾离心风机的生产</w:t>
            </w:r>
            <w:r>
              <w:t>，</w:t>
            </w:r>
            <w:r>
              <w:rPr>
                <w:rFonts w:hint="eastAsia"/>
              </w:rPr>
              <w:t>属于</w:t>
            </w:r>
            <w:r>
              <w:t>国民经济行业分类中</w:t>
            </w:r>
            <w:r>
              <w:rPr>
                <w:rFonts w:hint="eastAsia"/>
              </w:rPr>
              <w:t>“C346 烘炉、风机、包装等设备制造”，</w:t>
            </w:r>
            <w:r>
              <w:t>为二类工业项目，对照区域生态环境管控单元生态环境准入清单，本项目建设符合该区管控方案的要求。</w:t>
            </w:r>
          </w:p>
          <w:p>
            <w:pPr>
              <w:pStyle w:val="5"/>
            </w:pPr>
            <w:r>
              <w:t>2.</w:t>
            </w:r>
            <w:r>
              <w:rPr>
                <w:rFonts w:hint="eastAsia"/>
              </w:rPr>
              <w:t>5</w:t>
            </w:r>
            <w:r>
              <w:t>区域污水处理工程概况</w:t>
            </w:r>
          </w:p>
          <w:p>
            <w:pPr>
              <w:pStyle w:val="6"/>
            </w:pPr>
            <w:r>
              <w:t>2.</w:t>
            </w:r>
            <w:r>
              <w:rPr>
                <w:rFonts w:hint="eastAsia"/>
              </w:rPr>
              <w:t>5</w:t>
            </w:r>
            <w:r>
              <w:t>.1桐乡市城市污水处理有限责任公司崇福污水处理厂</w:t>
            </w:r>
          </w:p>
          <w:p>
            <w:pPr>
              <w:ind w:firstLine="480"/>
            </w:pPr>
            <w:r>
              <w:t>桐乡市城市污水处理有限责任公司崇福污水处理厂始建于2003年，设计处理规模为3.0万吨/日，现状污水处理工艺采用CAST工艺。2012年崇福污水处理厂进行二期扩建项目，使污水处理能力达到6.0万吨/日，扩建后采用“预沉池+A</w:t>
            </w:r>
            <w:r>
              <w:rPr>
                <w:vertAlign w:val="superscript"/>
              </w:rPr>
              <w:t>2</w:t>
            </w:r>
            <w:r>
              <w:t>/O复合生物膜生物池+辐流式二沉池+深度处理”工艺，服务范围及对象为桐乡市南部片区崇福镇和大麻镇的工业废水和生活污水，尾水排入钱塘江。目前污水经处理后水质达到《城镇污水处理厂污染物排放标准》（GB18918-2002）中一级标准的A标准后排入钱塘江。扩建后污水处理工艺流程见下图。</w:t>
            </w:r>
          </w:p>
          <w:p>
            <w:pPr>
              <w:pStyle w:val="2"/>
              <w:ind w:left="480" w:firstLine="400"/>
            </w:pPr>
          </w:p>
          <w:p>
            <w:pPr>
              <w:pStyle w:val="2"/>
              <w:ind w:left="480" w:firstLine="400"/>
            </w:pPr>
          </w:p>
          <w:p>
            <w:pPr>
              <w:pStyle w:val="2"/>
              <w:ind w:left="480" w:firstLine="400"/>
            </w:pPr>
          </w:p>
          <w:p>
            <w:pPr>
              <w:pStyle w:val="2"/>
              <w:ind w:left="0" w:leftChars="0" w:firstLine="0" w:firstLineChars="0"/>
            </w:pPr>
          </w:p>
          <w:p>
            <w:pPr>
              <w:ind w:firstLine="0" w:firstLineChars="0"/>
            </w:pPr>
            <w:r>
              <w:drawing>
                <wp:inline distT="0" distB="0" distL="0" distR="0">
                  <wp:extent cx="5539740" cy="3625850"/>
                  <wp:effectExtent l="0" t="0" r="0" b="0"/>
                  <wp:docPr id="3" name="图片 3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1" descr="图片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539740" cy="3625850"/>
                          </a:xfrm>
                          <a:prstGeom prst="rect">
                            <a:avLst/>
                          </a:prstGeom>
                          <a:noFill/>
                          <a:ln>
                            <a:noFill/>
                          </a:ln>
                        </pic:spPr>
                      </pic:pic>
                    </a:graphicData>
                  </a:graphic>
                </wp:inline>
              </w:drawing>
            </w:r>
          </w:p>
          <w:p>
            <w:pPr>
              <w:pStyle w:val="46"/>
            </w:pPr>
            <w:r>
              <w:t>图2-4 桐乡市城市污水处理有限责任公司崇福污水处理厂污水处理工艺流程图</w:t>
            </w:r>
          </w:p>
          <w:p>
            <w:pPr>
              <w:spacing w:before="120" w:beforeLines="50"/>
              <w:ind w:firstLine="480"/>
            </w:pPr>
            <w:r>
              <w:t>本报告收集了浙江省重点排污单位监督性监测信息公开平台发布的桐乡市城市污水处理有限责任公司崇福污水处理厂污水总排口的监测数据，具体数据见表2-</w:t>
            </w:r>
            <w:r>
              <w:rPr>
                <w:rFonts w:hint="eastAsia"/>
              </w:rPr>
              <w:t>4</w:t>
            </w:r>
            <w:r>
              <w:t>。</w:t>
            </w:r>
          </w:p>
          <w:p>
            <w:pPr>
              <w:pStyle w:val="46"/>
            </w:pPr>
            <w:r>
              <w:t>表2-</w:t>
            </w:r>
            <w:r>
              <w:rPr>
                <w:rFonts w:hint="eastAsia"/>
              </w:rPr>
              <w:t>4</w:t>
            </w:r>
            <w:r>
              <w:t xml:space="preserve"> 崇福污水处理厂水质监测情况 </w:t>
            </w:r>
          </w:p>
          <w:tbl>
            <w:tblPr>
              <w:tblStyle w:val="34"/>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1749"/>
              <w:gridCol w:w="908"/>
              <w:gridCol w:w="909"/>
              <w:gridCol w:w="908"/>
              <w:gridCol w:w="909"/>
              <w:gridCol w:w="908"/>
              <w:gridCol w:w="909"/>
              <w:gridCol w:w="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9" w:type="pct"/>
                  <w:gridSpan w:val="2"/>
                  <w:tcBorders>
                    <w:top w:val="single" w:color="auto" w:sz="4" w:space="0"/>
                    <w:left w:val="single" w:color="auto" w:sz="4" w:space="0"/>
                    <w:bottom w:val="single" w:color="auto" w:sz="4" w:space="0"/>
                    <w:right w:val="single" w:color="auto" w:sz="4" w:space="0"/>
                    <w:tl2br w:val="single" w:color="auto" w:sz="4" w:space="0"/>
                  </w:tcBorders>
                  <w:vAlign w:val="center"/>
                </w:tcPr>
                <w:p>
                  <w:pPr>
                    <w:pStyle w:val="47"/>
                    <w:jc w:val="right"/>
                    <w:rPr>
                      <w:b/>
                      <w:bCs/>
                      <w:szCs w:val="21"/>
                    </w:rPr>
                  </w:pPr>
                  <w:r>
                    <w:rPr>
                      <w:b/>
                      <w:bCs/>
                      <w:szCs w:val="21"/>
                    </w:rPr>
                    <w:t xml:space="preserve">      检测项目</w:t>
                  </w:r>
                </w:p>
                <w:p>
                  <w:pPr>
                    <w:pStyle w:val="47"/>
                    <w:jc w:val="both"/>
                    <w:rPr>
                      <w:b/>
                      <w:bCs/>
                      <w:szCs w:val="21"/>
                    </w:rPr>
                  </w:pPr>
                  <w:r>
                    <w:rPr>
                      <w:b/>
                      <w:bCs/>
                      <w:szCs w:val="21"/>
                    </w:rPr>
                    <w:t>样品日期</w:t>
                  </w:r>
                </w:p>
              </w:tc>
              <w:tc>
                <w:tcPr>
                  <w:tcW w:w="531" w:type="pct"/>
                  <w:tcBorders>
                    <w:top w:val="single" w:color="auto" w:sz="4" w:space="0"/>
                    <w:left w:val="single" w:color="auto" w:sz="4" w:space="0"/>
                    <w:bottom w:val="single" w:color="auto" w:sz="4" w:space="0"/>
                    <w:right w:val="single" w:color="auto" w:sz="4" w:space="0"/>
                  </w:tcBorders>
                  <w:vAlign w:val="center"/>
                </w:tcPr>
                <w:p>
                  <w:pPr>
                    <w:pStyle w:val="47"/>
                    <w:rPr>
                      <w:b/>
                      <w:bCs/>
                      <w:szCs w:val="21"/>
                    </w:rPr>
                  </w:pPr>
                  <w:r>
                    <w:rPr>
                      <w:b/>
                      <w:bCs/>
                      <w:szCs w:val="21"/>
                    </w:rPr>
                    <w:t>pH</w:t>
                  </w:r>
                  <w:r>
                    <w:rPr>
                      <w:rFonts w:hint="eastAsia"/>
                      <w:b/>
                      <w:bCs/>
                      <w:szCs w:val="21"/>
                    </w:rPr>
                    <w:t>值</w:t>
                  </w:r>
                </w:p>
              </w:tc>
              <w:tc>
                <w:tcPr>
                  <w:tcW w:w="532" w:type="pct"/>
                  <w:tcBorders>
                    <w:top w:val="single" w:color="auto" w:sz="4" w:space="0"/>
                    <w:left w:val="single" w:color="auto" w:sz="4" w:space="0"/>
                    <w:bottom w:val="single" w:color="auto" w:sz="4" w:space="0"/>
                    <w:right w:val="single" w:color="auto" w:sz="4" w:space="0"/>
                  </w:tcBorders>
                  <w:vAlign w:val="center"/>
                </w:tcPr>
                <w:p>
                  <w:pPr>
                    <w:pStyle w:val="47"/>
                    <w:rPr>
                      <w:b/>
                      <w:bCs/>
                      <w:szCs w:val="21"/>
                    </w:rPr>
                  </w:pPr>
                  <w:r>
                    <w:rPr>
                      <w:b/>
                      <w:bCs/>
                      <w:szCs w:val="21"/>
                    </w:rPr>
                    <w:t>BOD</w:t>
                  </w:r>
                  <w:r>
                    <w:rPr>
                      <w:b/>
                      <w:bCs/>
                      <w:szCs w:val="21"/>
                      <w:vertAlign w:val="subscript"/>
                    </w:rPr>
                    <w:t>5</w:t>
                  </w:r>
                </w:p>
              </w:tc>
              <w:tc>
                <w:tcPr>
                  <w:tcW w:w="531" w:type="pct"/>
                  <w:tcBorders>
                    <w:top w:val="single" w:color="auto" w:sz="4" w:space="0"/>
                    <w:left w:val="single" w:color="auto" w:sz="4" w:space="0"/>
                    <w:bottom w:val="single" w:color="auto" w:sz="4" w:space="0"/>
                    <w:right w:val="single" w:color="auto" w:sz="4" w:space="0"/>
                  </w:tcBorders>
                  <w:vAlign w:val="center"/>
                </w:tcPr>
                <w:p>
                  <w:pPr>
                    <w:pStyle w:val="47"/>
                    <w:rPr>
                      <w:b/>
                      <w:bCs/>
                      <w:szCs w:val="21"/>
                    </w:rPr>
                  </w:pPr>
                  <w:r>
                    <w:rPr>
                      <w:b/>
                      <w:bCs/>
                      <w:szCs w:val="21"/>
                    </w:rPr>
                    <w:t>COD</w:t>
                  </w:r>
                  <w:r>
                    <w:rPr>
                      <w:b/>
                      <w:bCs/>
                      <w:szCs w:val="21"/>
                      <w:vertAlign w:val="subscript"/>
                    </w:rPr>
                    <w:t>Cr</w:t>
                  </w:r>
                </w:p>
              </w:tc>
              <w:tc>
                <w:tcPr>
                  <w:tcW w:w="532" w:type="pct"/>
                  <w:tcBorders>
                    <w:top w:val="single" w:color="auto" w:sz="4" w:space="0"/>
                    <w:left w:val="single" w:color="auto" w:sz="4" w:space="0"/>
                    <w:bottom w:val="single" w:color="auto" w:sz="4" w:space="0"/>
                    <w:right w:val="single" w:color="auto" w:sz="4" w:space="0"/>
                  </w:tcBorders>
                  <w:vAlign w:val="center"/>
                </w:tcPr>
                <w:p>
                  <w:pPr>
                    <w:pStyle w:val="47"/>
                    <w:rPr>
                      <w:b/>
                      <w:bCs/>
                      <w:szCs w:val="21"/>
                    </w:rPr>
                  </w:pPr>
                  <w:r>
                    <w:rPr>
                      <w:b/>
                      <w:bCs/>
                      <w:szCs w:val="21"/>
                    </w:rPr>
                    <w:t>氨氮</w:t>
                  </w:r>
                </w:p>
              </w:tc>
              <w:tc>
                <w:tcPr>
                  <w:tcW w:w="531" w:type="pct"/>
                  <w:tcBorders>
                    <w:top w:val="single" w:color="auto" w:sz="4" w:space="0"/>
                    <w:left w:val="single" w:color="auto" w:sz="4" w:space="0"/>
                    <w:bottom w:val="single" w:color="auto" w:sz="4" w:space="0"/>
                    <w:right w:val="single" w:color="auto" w:sz="4" w:space="0"/>
                  </w:tcBorders>
                  <w:vAlign w:val="center"/>
                </w:tcPr>
                <w:p>
                  <w:pPr>
                    <w:pStyle w:val="47"/>
                    <w:rPr>
                      <w:b/>
                      <w:bCs/>
                      <w:szCs w:val="21"/>
                    </w:rPr>
                  </w:pPr>
                  <w:r>
                    <w:rPr>
                      <w:rFonts w:hint="eastAsia"/>
                      <w:b/>
                      <w:bCs/>
                      <w:szCs w:val="21"/>
                    </w:rPr>
                    <w:t>总氮</w:t>
                  </w:r>
                </w:p>
              </w:tc>
              <w:tc>
                <w:tcPr>
                  <w:tcW w:w="532" w:type="pct"/>
                  <w:tcBorders>
                    <w:top w:val="single" w:color="auto" w:sz="4" w:space="0"/>
                    <w:left w:val="single" w:color="auto" w:sz="4" w:space="0"/>
                    <w:bottom w:val="single" w:color="auto" w:sz="4" w:space="0"/>
                    <w:right w:val="single" w:color="auto" w:sz="4" w:space="0"/>
                  </w:tcBorders>
                  <w:vAlign w:val="center"/>
                </w:tcPr>
                <w:p>
                  <w:pPr>
                    <w:pStyle w:val="47"/>
                    <w:rPr>
                      <w:b/>
                      <w:bCs/>
                      <w:szCs w:val="21"/>
                    </w:rPr>
                  </w:pPr>
                  <w:r>
                    <w:rPr>
                      <w:b/>
                      <w:bCs/>
                      <w:szCs w:val="21"/>
                    </w:rPr>
                    <w:t>悬浮物</w:t>
                  </w:r>
                </w:p>
              </w:tc>
              <w:tc>
                <w:tcPr>
                  <w:tcW w:w="532" w:type="pct"/>
                  <w:tcBorders>
                    <w:top w:val="single" w:color="auto" w:sz="4" w:space="0"/>
                    <w:left w:val="single" w:color="auto" w:sz="4" w:space="0"/>
                    <w:bottom w:val="single" w:color="auto" w:sz="4" w:space="0"/>
                    <w:right w:val="single" w:color="auto" w:sz="4" w:space="0"/>
                  </w:tcBorders>
                  <w:vAlign w:val="center"/>
                </w:tcPr>
                <w:p>
                  <w:pPr>
                    <w:pStyle w:val="47"/>
                    <w:rPr>
                      <w:b/>
                      <w:bCs/>
                      <w:szCs w:val="21"/>
                    </w:rPr>
                  </w:pPr>
                  <w:r>
                    <w:rPr>
                      <w:b/>
                      <w:bCs/>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vMerge w:val="restar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出水口</w:t>
                  </w:r>
                </w:p>
              </w:tc>
              <w:tc>
                <w:tcPr>
                  <w:tcW w:w="1023"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2020.2.24</w:t>
                  </w:r>
                </w:p>
              </w:tc>
              <w:tc>
                <w:tcPr>
                  <w:tcW w:w="531"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7</w:t>
                  </w:r>
                  <w:r>
                    <w:rPr>
                      <w:szCs w:val="21"/>
                    </w:rPr>
                    <w:t>.43</w:t>
                  </w:r>
                </w:p>
              </w:tc>
              <w:tc>
                <w:tcPr>
                  <w:tcW w:w="532"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＜0</w:t>
                  </w:r>
                  <w:r>
                    <w:rPr>
                      <w:szCs w:val="21"/>
                    </w:rPr>
                    <w:t>.5</w:t>
                  </w:r>
                </w:p>
              </w:tc>
              <w:tc>
                <w:tcPr>
                  <w:tcW w:w="531"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2</w:t>
                  </w:r>
                  <w:r>
                    <w:rPr>
                      <w:szCs w:val="21"/>
                    </w:rPr>
                    <w:t>4</w:t>
                  </w:r>
                </w:p>
              </w:tc>
              <w:tc>
                <w:tcPr>
                  <w:tcW w:w="532"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0</w:t>
                  </w:r>
                  <w:r>
                    <w:rPr>
                      <w:szCs w:val="21"/>
                    </w:rPr>
                    <w:t>.18</w:t>
                  </w:r>
                </w:p>
              </w:tc>
              <w:tc>
                <w:tcPr>
                  <w:tcW w:w="531"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8</w:t>
                  </w:r>
                  <w:r>
                    <w:rPr>
                      <w:szCs w:val="21"/>
                    </w:rPr>
                    <w:t>.94</w:t>
                  </w:r>
                </w:p>
              </w:tc>
              <w:tc>
                <w:tcPr>
                  <w:tcW w:w="532"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5</w:t>
                  </w:r>
                </w:p>
              </w:tc>
              <w:tc>
                <w:tcPr>
                  <w:tcW w:w="532"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0</w:t>
                  </w:r>
                  <w:r>
                    <w:rPr>
                      <w:szCs w:val="21"/>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vMerge w:val="continue"/>
                  <w:tcBorders>
                    <w:top w:val="single" w:color="auto" w:sz="4" w:space="0"/>
                    <w:left w:val="single" w:color="auto" w:sz="4" w:space="0"/>
                    <w:bottom w:val="single" w:color="auto" w:sz="4" w:space="0"/>
                    <w:right w:val="single" w:color="auto" w:sz="4" w:space="0"/>
                  </w:tcBorders>
                  <w:vAlign w:val="center"/>
                </w:tcPr>
                <w:p>
                  <w:pPr>
                    <w:pStyle w:val="47"/>
                    <w:rPr>
                      <w:szCs w:val="21"/>
                    </w:rPr>
                  </w:pPr>
                </w:p>
              </w:tc>
              <w:tc>
                <w:tcPr>
                  <w:tcW w:w="1023"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2020.4.14</w:t>
                  </w:r>
                </w:p>
              </w:tc>
              <w:tc>
                <w:tcPr>
                  <w:tcW w:w="531"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6</w:t>
                  </w:r>
                  <w:r>
                    <w:rPr>
                      <w:szCs w:val="21"/>
                    </w:rPr>
                    <w:t>.91</w:t>
                  </w:r>
                </w:p>
              </w:tc>
              <w:tc>
                <w:tcPr>
                  <w:tcW w:w="532"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＜0</w:t>
                  </w:r>
                  <w:r>
                    <w:rPr>
                      <w:szCs w:val="21"/>
                    </w:rPr>
                    <w:t>.5</w:t>
                  </w:r>
                </w:p>
              </w:tc>
              <w:tc>
                <w:tcPr>
                  <w:tcW w:w="531"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4</w:t>
                  </w:r>
                  <w:r>
                    <w:rPr>
                      <w:szCs w:val="21"/>
                    </w:rPr>
                    <w:t>9</w:t>
                  </w:r>
                </w:p>
              </w:tc>
              <w:tc>
                <w:tcPr>
                  <w:tcW w:w="532"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0</w:t>
                  </w:r>
                  <w:r>
                    <w:rPr>
                      <w:szCs w:val="21"/>
                    </w:rPr>
                    <w:t>.57</w:t>
                  </w:r>
                </w:p>
              </w:tc>
              <w:tc>
                <w:tcPr>
                  <w:tcW w:w="531"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4</w:t>
                  </w:r>
                  <w:r>
                    <w:rPr>
                      <w:szCs w:val="21"/>
                    </w:rPr>
                    <w:t>.10</w:t>
                  </w:r>
                </w:p>
              </w:tc>
              <w:tc>
                <w:tcPr>
                  <w:tcW w:w="532"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8</w:t>
                  </w:r>
                </w:p>
              </w:tc>
              <w:tc>
                <w:tcPr>
                  <w:tcW w:w="532"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0</w:t>
                  </w:r>
                  <w:r>
                    <w:rPr>
                      <w:szCs w:val="21"/>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vMerge w:val="continue"/>
                  <w:tcBorders>
                    <w:top w:val="single" w:color="auto" w:sz="4" w:space="0"/>
                    <w:left w:val="single" w:color="auto" w:sz="4" w:space="0"/>
                    <w:bottom w:val="single" w:color="auto" w:sz="4" w:space="0"/>
                    <w:right w:val="single" w:color="auto" w:sz="4" w:space="0"/>
                  </w:tcBorders>
                  <w:vAlign w:val="center"/>
                </w:tcPr>
                <w:p>
                  <w:pPr>
                    <w:pStyle w:val="47"/>
                    <w:rPr>
                      <w:szCs w:val="21"/>
                    </w:rPr>
                  </w:pPr>
                </w:p>
              </w:tc>
              <w:tc>
                <w:tcPr>
                  <w:tcW w:w="1023"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2</w:t>
                  </w:r>
                  <w:r>
                    <w:rPr>
                      <w:szCs w:val="21"/>
                    </w:rPr>
                    <w:t>020.7.13</w:t>
                  </w:r>
                </w:p>
              </w:tc>
              <w:tc>
                <w:tcPr>
                  <w:tcW w:w="531"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7</w:t>
                  </w:r>
                  <w:r>
                    <w:rPr>
                      <w:szCs w:val="21"/>
                    </w:rPr>
                    <w:t>.50</w:t>
                  </w:r>
                </w:p>
              </w:tc>
              <w:tc>
                <w:tcPr>
                  <w:tcW w:w="532"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0</w:t>
                  </w:r>
                  <w:r>
                    <w:rPr>
                      <w:szCs w:val="21"/>
                    </w:rPr>
                    <w:t>.7</w:t>
                  </w:r>
                </w:p>
              </w:tc>
              <w:tc>
                <w:tcPr>
                  <w:tcW w:w="531"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4</w:t>
                  </w:r>
                  <w:r>
                    <w:rPr>
                      <w:szCs w:val="21"/>
                    </w:rPr>
                    <w:t>6</w:t>
                  </w:r>
                </w:p>
              </w:tc>
              <w:tc>
                <w:tcPr>
                  <w:tcW w:w="532"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0</w:t>
                  </w:r>
                  <w:r>
                    <w:rPr>
                      <w:szCs w:val="21"/>
                    </w:rPr>
                    <w:t>.035</w:t>
                  </w:r>
                </w:p>
              </w:tc>
              <w:tc>
                <w:tcPr>
                  <w:tcW w:w="531"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4</w:t>
                  </w:r>
                  <w:r>
                    <w:rPr>
                      <w:szCs w:val="21"/>
                    </w:rPr>
                    <w:t>.44</w:t>
                  </w:r>
                </w:p>
              </w:tc>
              <w:tc>
                <w:tcPr>
                  <w:tcW w:w="532"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＜4</w:t>
                  </w:r>
                </w:p>
              </w:tc>
              <w:tc>
                <w:tcPr>
                  <w:tcW w:w="532"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0</w:t>
                  </w:r>
                  <w:r>
                    <w:rPr>
                      <w:szCs w:val="21"/>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vMerge w:val="continue"/>
                  <w:tcBorders>
                    <w:top w:val="single" w:color="auto" w:sz="4" w:space="0"/>
                    <w:left w:val="single" w:color="auto" w:sz="4" w:space="0"/>
                    <w:bottom w:val="single" w:color="auto" w:sz="4" w:space="0"/>
                    <w:right w:val="single" w:color="auto" w:sz="4" w:space="0"/>
                  </w:tcBorders>
                  <w:vAlign w:val="center"/>
                </w:tcPr>
                <w:p>
                  <w:pPr>
                    <w:pStyle w:val="47"/>
                    <w:rPr>
                      <w:szCs w:val="21"/>
                    </w:rPr>
                  </w:pPr>
                </w:p>
              </w:tc>
              <w:tc>
                <w:tcPr>
                  <w:tcW w:w="1023"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2</w:t>
                  </w:r>
                  <w:r>
                    <w:rPr>
                      <w:szCs w:val="21"/>
                    </w:rPr>
                    <w:t>020.11.10</w:t>
                  </w:r>
                </w:p>
              </w:tc>
              <w:tc>
                <w:tcPr>
                  <w:tcW w:w="531"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7</w:t>
                  </w:r>
                  <w:r>
                    <w:rPr>
                      <w:szCs w:val="21"/>
                    </w:rPr>
                    <w:t>.40</w:t>
                  </w:r>
                </w:p>
              </w:tc>
              <w:tc>
                <w:tcPr>
                  <w:tcW w:w="532"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0</w:t>
                  </w:r>
                  <w:r>
                    <w:rPr>
                      <w:szCs w:val="21"/>
                    </w:rPr>
                    <w:t>.5</w:t>
                  </w:r>
                </w:p>
              </w:tc>
              <w:tc>
                <w:tcPr>
                  <w:tcW w:w="531"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4</w:t>
                  </w:r>
                  <w:r>
                    <w:rPr>
                      <w:szCs w:val="21"/>
                    </w:rPr>
                    <w:t>5</w:t>
                  </w:r>
                </w:p>
              </w:tc>
              <w:tc>
                <w:tcPr>
                  <w:tcW w:w="532"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0</w:t>
                  </w:r>
                  <w:r>
                    <w:rPr>
                      <w:szCs w:val="21"/>
                    </w:rPr>
                    <w:t>.892</w:t>
                  </w:r>
                </w:p>
              </w:tc>
              <w:tc>
                <w:tcPr>
                  <w:tcW w:w="531"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5</w:t>
                  </w:r>
                  <w:r>
                    <w:rPr>
                      <w:szCs w:val="21"/>
                    </w:rPr>
                    <w:t>.78</w:t>
                  </w:r>
                </w:p>
              </w:tc>
              <w:tc>
                <w:tcPr>
                  <w:tcW w:w="532"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5</w:t>
                  </w:r>
                </w:p>
              </w:tc>
              <w:tc>
                <w:tcPr>
                  <w:tcW w:w="532"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0</w:t>
                  </w:r>
                  <w:r>
                    <w:rPr>
                      <w:szCs w:val="21"/>
                    </w:rPr>
                    <w:t>.064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9" w:type="pct"/>
                  <w:gridSpan w:val="2"/>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一级A标准</w:t>
                  </w:r>
                  <w:r>
                    <w:rPr>
                      <w:szCs w:val="21"/>
                    </w:rPr>
                    <w:t>排放浓度</w:t>
                  </w:r>
                </w:p>
              </w:tc>
              <w:tc>
                <w:tcPr>
                  <w:tcW w:w="531"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6～9</w:t>
                  </w:r>
                </w:p>
              </w:tc>
              <w:tc>
                <w:tcPr>
                  <w:tcW w:w="532"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10</w:t>
                  </w:r>
                </w:p>
              </w:tc>
              <w:tc>
                <w:tcPr>
                  <w:tcW w:w="531"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50</w:t>
                  </w:r>
                </w:p>
              </w:tc>
              <w:tc>
                <w:tcPr>
                  <w:tcW w:w="532"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5</w:t>
                  </w:r>
                </w:p>
              </w:tc>
              <w:tc>
                <w:tcPr>
                  <w:tcW w:w="531"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1</w:t>
                  </w:r>
                  <w:r>
                    <w:rPr>
                      <w:szCs w:val="21"/>
                    </w:rPr>
                    <w:t>5</w:t>
                  </w:r>
                </w:p>
              </w:tc>
              <w:tc>
                <w:tcPr>
                  <w:tcW w:w="532"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10.0</w:t>
                  </w:r>
                </w:p>
              </w:tc>
              <w:tc>
                <w:tcPr>
                  <w:tcW w:w="532"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9" w:type="pct"/>
                  <w:gridSpan w:val="2"/>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出厂水质评价结果</w:t>
                  </w:r>
                </w:p>
              </w:tc>
              <w:tc>
                <w:tcPr>
                  <w:tcW w:w="531"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合格</w:t>
                  </w:r>
                </w:p>
              </w:tc>
              <w:tc>
                <w:tcPr>
                  <w:tcW w:w="532"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合格</w:t>
                  </w:r>
                </w:p>
              </w:tc>
              <w:tc>
                <w:tcPr>
                  <w:tcW w:w="531"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合格</w:t>
                  </w:r>
                </w:p>
              </w:tc>
              <w:tc>
                <w:tcPr>
                  <w:tcW w:w="532"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合格</w:t>
                  </w:r>
                </w:p>
              </w:tc>
              <w:tc>
                <w:tcPr>
                  <w:tcW w:w="531"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合格</w:t>
                  </w:r>
                </w:p>
              </w:tc>
              <w:tc>
                <w:tcPr>
                  <w:tcW w:w="532"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合格</w:t>
                  </w:r>
                </w:p>
              </w:tc>
              <w:tc>
                <w:tcPr>
                  <w:tcW w:w="532"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9"/>
                  <w:tcBorders>
                    <w:top w:val="single" w:color="auto" w:sz="4" w:space="0"/>
                    <w:left w:val="single" w:color="auto" w:sz="4" w:space="0"/>
                    <w:bottom w:val="single" w:color="auto" w:sz="4" w:space="0"/>
                    <w:right w:val="single" w:color="auto" w:sz="4" w:space="0"/>
                  </w:tcBorders>
                  <w:vAlign w:val="center"/>
                </w:tcPr>
                <w:p>
                  <w:pPr>
                    <w:pStyle w:val="47"/>
                    <w:jc w:val="left"/>
                    <w:rPr>
                      <w:szCs w:val="21"/>
                    </w:rPr>
                  </w:pPr>
                  <w:r>
                    <w:rPr>
                      <w:rFonts w:hint="eastAsia"/>
                      <w:szCs w:val="21"/>
                    </w:rPr>
                    <w:t>注：单位除</w:t>
                  </w:r>
                  <w:r>
                    <w:rPr>
                      <w:szCs w:val="21"/>
                    </w:rPr>
                    <w:t>pH（无量纲）外，其余均为mg/L。</w:t>
                  </w:r>
                </w:p>
              </w:tc>
            </w:tr>
          </w:tbl>
          <w:p>
            <w:pPr>
              <w:spacing w:before="120" w:beforeLines="50"/>
              <w:ind w:firstLine="480"/>
            </w:pPr>
            <w:r>
              <w:t>从监测结果可知</w:t>
            </w:r>
            <w:r>
              <w:rPr>
                <w:rFonts w:hint="eastAsia"/>
              </w:rPr>
              <w:t>，</w:t>
            </w:r>
            <w:r>
              <w:t>桐乡市城市污水处理有限责任公司崇福污水处理厂出水口水质能达到《城镇污水处理厂污染物排放标准》（GB18918-2002）中的一级A标准。</w:t>
            </w:r>
          </w:p>
          <w:p>
            <w:pPr>
              <w:pStyle w:val="6"/>
            </w:pPr>
            <w:r>
              <w:t>2.</w:t>
            </w:r>
            <w:r>
              <w:rPr>
                <w:rFonts w:hint="eastAsia"/>
              </w:rPr>
              <w:t>5</w:t>
            </w:r>
            <w:r>
              <w:t>.2桐乡市污水处理尾水排入钱塘江工程</w:t>
            </w:r>
          </w:p>
          <w:p>
            <w:pPr>
              <w:ind w:firstLine="480"/>
            </w:pPr>
            <w:r>
              <w:t>1、工程概况</w:t>
            </w:r>
          </w:p>
          <w:p>
            <w:pPr>
              <w:adjustRightInd w:val="0"/>
              <w:snapToGrid w:val="0"/>
              <w:spacing w:line="440" w:lineRule="exact"/>
              <w:ind w:firstLine="480"/>
            </w:pPr>
            <w:r>
              <w:t>根据浙江省发展和改革委员会“浙发改设计[2008]156号”文件批复，桐乡市污水处理收集系统及尾水外排工程，采用污水区域性分散收集，集中处理，接海宁专管外排钱塘江。项目由区域污水管网、城镇二级管网、尾水外排管网和排入钱塘江口工程四部分组成。项目服务范围为桐乡市行政辖区，重点为中心城区和各镇区。其中区域污水管网总长69.40公里，沿线设污水泵站9座；城镇污水二级管网总长155.40公里，设污水泵站7座；尾水输送管线总长69.51公里，设污水泵站7座及运行管理中心、应急抢修站各1座；排入钱塘江工程管线长2.2公里，其中入江管为0.61公里，设高位井1座。桐乡市污水处理尾水排放工程尾水排放管、排入钱塘江系统远期按30万m</w:t>
            </w:r>
            <w:r>
              <w:rPr>
                <w:vertAlign w:val="superscript"/>
              </w:rPr>
              <w:t>3</w:t>
            </w:r>
            <w:r>
              <w:t>/d建设，近期排入钱塘江水量为22万m</w:t>
            </w:r>
            <w:r>
              <w:rPr>
                <w:vertAlign w:val="superscript"/>
              </w:rPr>
              <w:t>3</w:t>
            </w:r>
            <w:r>
              <w:t>/d。</w:t>
            </w:r>
          </w:p>
          <w:p>
            <w:pPr>
              <w:adjustRightInd w:val="0"/>
              <w:snapToGrid w:val="0"/>
              <w:spacing w:line="440" w:lineRule="exact"/>
              <w:ind w:firstLine="480"/>
            </w:pPr>
            <w:r>
              <w:t>2、环评及批复情况</w:t>
            </w:r>
          </w:p>
          <w:p>
            <w:pPr>
              <w:adjustRightInd w:val="0"/>
              <w:snapToGrid w:val="0"/>
              <w:spacing w:line="440" w:lineRule="exact"/>
              <w:ind w:firstLine="480"/>
            </w:pPr>
            <w:r>
              <w:t>2007年12月，浙江省环境保护科学设计研究院编制了《桐乡市污水处理尾水外排工程环境影响报告书（报批稿）》，2008年1月，原浙江省环保局以浙环建[2008]6号文对环评报告书进行了批复；后期由于经济的发展及桐乡市高铁火车站的建设等原因，工程进行了部分调整，因此桐乡市汇合水质净化有限公司委托浙江环科环境咨询有限公司编制了《桐乡市污水处理尾水外排工程调整环境影响报告书（报批稿）》，浙江省环境保护厅以浙环建[2013]70号文对环评报告书进行了批复。</w:t>
            </w:r>
          </w:p>
          <w:p>
            <w:pPr>
              <w:adjustRightInd w:val="0"/>
              <w:snapToGrid w:val="0"/>
              <w:spacing w:line="440" w:lineRule="exact"/>
              <w:ind w:firstLine="480"/>
            </w:pPr>
            <w:r>
              <w:t>3、运行情况</w:t>
            </w:r>
          </w:p>
          <w:p>
            <w:pPr>
              <w:adjustRightInd w:val="0"/>
              <w:snapToGrid w:val="0"/>
              <w:spacing w:line="440" w:lineRule="exact"/>
              <w:ind w:firstLine="480"/>
            </w:pPr>
            <w:r>
              <w:t>外排工程自投入试运行以来，取得了较好的环境效益和社会效益。2015年至2016年，全市累计排放尾水14100万吨，按平均削减量COD56mg/L、氨氮1.33mg/L计算，累计较少排入内河污染物COD7896吨，氨氮188吨。充分发挥了尾水外排工程在节能减排、改善内河水质方面的作用，为确保桐乡及下游嘉兴、海宁流域的饮用水水源安全，改善环太湖流域水环境起到了良好的促进作用。</w:t>
            </w:r>
          </w:p>
          <w:p>
            <w:pPr>
              <w:adjustRightInd w:val="0"/>
              <w:snapToGrid w:val="0"/>
              <w:spacing w:line="440" w:lineRule="exact"/>
              <w:ind w:firstLine="480"/>
            </w:pPr>
          </w:p>
          <w:p>
            <w:pPr>
              <w:pStyle w:val="2"/>
              <w:ind w:left="480" w:firstLine="400"/>
              <w:rPr>
                <w:bCs/>
              </w:rPr>
            </w:pPr>
          </w:p>
          <w:p>
            <w:pPr>
              <w:pStyle w:val="2"/>
              <w:ind w:left="480" w:firstLine="400"/>
              <w:rPr>
                <w:bCs/>
              </w:rPr>
            </w:pPr>
          </w:p>
          <w:p>
            <w:pPr>
              <w:pStyle w:val="2"/>
              <w:ind w:left="480" w:firstLine="400"/>
              <w:rPr>
                <w:bCs/>
              </w:rPr>
            </w:pPr>
          </w:p>
          <w:p>
            <w:pPr>
              <w:pStyle w:val="2"/>
              <w:ind w:left="480" w:firstLine="400"/>
              <w:rPr>
                <w:bCs/>
              </w:rPr>
            </w:pPr>
          </w:p>
          <w:p>
            <w:pPr>
              <w:pStyle w:val="2"/>
              <w:ind w:left="0" w:leftChars="0" w:firstLine="0" w:firstLineChars="0"/>
              <w:rPr>
                <w:bCs/>
              </w:rPr>
            </w:pPr>
          </w:p>
          <w:p>
            <w:pPr>
              <w:pStyle w:val="2"/>
              <w:ind w:left="480" w:firstLine="400"/>
              <w:rPr>
                <w:bCs/>
              </w:rPr>
            </w:pPr>
          </w:p>
          <w:p>
            <w:pPr>
              <w:pStyle w:val="2"/>
              <w:ind w:left="480" w:firstLine="400"/>
              <w:rPr>
                <w:bCs/>
              </w:rPr>
            </w:pPr>
          </w:p>
          <w:p>
            <w:pPr>
              <w:pStyle w:val="2"/>
              <w:ind w:left="480" w:firstLine="400"/>
              <w:rPr>
                <w:bCs/>
              </w:rPr>
            </w:pPr>
          </w:p>
          <w:p>
            <w:pPr>
              <w:pStyle w:val="2"/>
              <w:ind w:left="480" w:firstLine="400"/>
              <w:rPr>
                <w:bCs/>
              </w:rPr>
            </w:pPr>
          </w:p>
          <w:p>
            <w:pPr>
              <w:pStyle w:val="2"/>
              <w:ind w:left="480" w:firstLine="400"/>
              <w:rPr>
                <w:bCs/>
              </w:rPr>
            </w:pPr>
          </w:p>
        </w:tc>
      </w:tr>
    </w:tbl>
    <w:p>
      <w:pPr>
        <w:ind w:firstLine="422"/>
        <w:rPr>
          <w:b/>
          <w:sz w:val="21"/>
          <w:szCs w:val="21"/>
        </w:rPr>
        <w:sectPr>
          <w:pgSz w:w="11906" w:h="16838"/>
          <w:pgMar w:top="1474" w:right="1588" w:bottom="1418" w:left="1588" w:header="851" w:footer="907" w:gutter="0"/>
          <w:cols w:space="720" w:num="1"/>
          <w:docGrid w:linePitch="312" w:charSpace="0"/>
        </w:sectPr>
      </w:pPr>
    </w:p>
    <w:p>
      <w:pPr>
        <w:pStyle w:val="4"/>
        <w:rPr>
          <w:szCs w:val="32"/>
        </w:rPr>
      </w:pPr>
      <w:bookmarkStart w:id="77" w:name="_Toc29380600"/>
      <w:bookmarkStart w:id="78" w:name="_Toc29388551"/>
      <w:bookmarkStart w:id="79" w:name="_Toc478"/>
      <w:bookmarkStart w:id="80" w:name="_Toc29388561"/>
      <w:bookmarkStart w:id="81" w:name="_Toc29380610"/>
      <w:r>
        <w:rPr>
          <w:szCs w:val="32"/>
        </w:rPr>
        <w:t>3、环境质量状况</w:t>
      </w:r>
      <w:bookmarkEnd w:id="77"/>
      <w:bookmarkEnd w:id="78"/>
      <w:bookmarkEnd w:id="79"/>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auto" w:sz="12" w:space="0"/>
              <w:left w:val="single" w:color="auto" w:sz="12" w:space="0"/>
              <w:bottom w:val="single" w:color="auto" w:sz="12" w:space="0"/>
              <w:right w:val="single" w:color="auto" w:sz="12" w:space="0"/>
            </w:tcBorders>
          </w:tcPr>
          <w:p>
            <w:pPr>
              <w:ind w:firstLine="0" w:firstLineChars="0"/>
              <w:rPr>
                <w:b/>
                <w:bCs/>
                <w:sz w:val="28"/>
                <w:szCs w:val="28"/>
              </w:rPr>
            </w:pPr>
            <w:bookmarkStart w:id="82" w:name="_Toc29388552"/>
            <w:bookmarkStart w:id="83" w:name="_Toc29380601"/>
            <w:r>
              <w:rPr>
                <w:b/>
                <w:bCs/>
                <w:sz w:val="28"/>
                <w:szCs w:val="28"/>
              </w:rPr>
              <w:t>3.1建设项目所在地区域环境质量现状及主要环境问题</w:t>
            </w:r>
            <w:bookmarkEnd w:id="82"/>
            <w:bookmarkEnd w:id="83"/>
          </w:p>
          <w:p>
            <w:pPr>
              <w:pStyle w:val="6"/>
              <w:rPr>
                <w:kern w:val="2"/>
              </w:rPr>
            </w:pPr>
            <w:bookmarkStart w:id="84" w:name="_Toc29388553"/>
            <w:bookmarkStart w:id="85" w:name="_Toc29380602"/>
            <w:r>
              <w:rPr>
                <w:kern w:val="2"/>
              </w:rPr>
              <w:t>3.1.1地表水环境质量现状</w:t>
            </w:r>
            <w:bookmarkEnd w:id="84"/>
            <w:bookmarkEnd w:id="85"/>
          </w:p>
          <w:p>
            <w:pPr>
              <w:ind w:firstLine="480"/>
            </w:pPr>
            <w:bookmarkStart w:id="86" w:name="_Toc29388554"/>
            <w:bookmarkStart w:id="87" w:name="_Toc29380603"/>
            <w:r>
              <w:t>根据《2019年桐乡市环境状况公报》，2019年全市地表水环境质量总体保持稳定，总体水质为III-IV类水质，全面消除V类水质，除芝村断面外，其余监测断面均符合水域环境功能标准，主要污染因子为化学需氧量。其中III 类水质断面11个，占比为91.7%，IV类水质断面1个，占比8.3%。与2018年相比，IV类断面减少3个，III类断面增加3个。</w:t>
            </w:r>
          </w:p>
          <w:p>
            <w:pPr>
              <w:ind w:firstLine="480"/>
              <w:rPr>
                <w:szCs w:val="22"/>
              </w:rPr>
            </w:pPr>
            <w:r>
              <w:rPr>
                <w:rFonts w:hint="eastAsia"/>
                <w:szCs w:val="22"/>
              </w:rPr>
              <w:t>企业附近水体主要为京杭运河及其支流店街塘港，</w:t>
            </w:r>
            <w:r>
              <w:rPr>
                <w:szCs w:val="22"/>
              </w:rPr>
              <w:t>为了解本项目所在区域</w:t>
            </w:r>
            <w:r>
              <w:rPr>
                <w:rFonts w:hint="eastAsia"/>
                <w:szCs w:val="22"/>
              </w:rPr>
              <w:t>附近水体水质</w:t>
            </w:r>
            <w:r>
              <w:rPr>
                <w:szCs w:val="22"/>
              </w:rPr>
              <w:t>现状，本环评引用《桐乡市崇福工业区四期控制性详细规划环境影响报告书》</w:t>
            </w:r>
            <w:r>
              <w:rPr>
                <w:rFonts w:hint="eastAsia"/>
                <w:szCs w:val="22"/>
              </w:rPr>
              <w:t>编制期间委托浙江华标检测技术有限公司对项目周边水环境质量进行的水体现状监测数据</w:t>
            </w:r>
            <w:r>
              <w:rPr>
                <w:szCs w:val="22"/>
              </w:rPr>
              <w:t>，具体内容如下：</w:t>
            </w:r>
          </w:p>
          <w:p>
            <w:pPr>
              <w:ind w:firstLine="480"/>
            </w:pPr>
            <w:r>
              <w:rPr>
                <w:rFonts w:hint="eastAsia"/>
              </w:rPr>
              <w:t>（1）监测点位：京杭古运河与店街塘港河道交汇处，距本项目约335m，具体监测点位见图3-1。</w:t>
            </w:r>
          </w:p>
          <w:p>
            <w:pPr>
              <w:ind w:firstLine="480"/>
              <w:rPr>
                <w:szCs w:val="22"/>
              </w:rPr>
            </w:pPr>
            <w:r>
              <w:rPr>
                <w:rFonts w:hint="eastAsia"/>
              </w:rPr>
              <w:t>（2）监测项</w:t>
            </w:r>
            <w:r>
              <w:rPr>
                <w:rFonts w:hint="eastAsia"/>
                <w:szCs w:val="22"/>
              </w:rPr>
              <w:t>目：水温、pH、</w:t>
            </w:r>
            <w:r>
              <w:rPr>
                <w:szCs w:val="22"/>
              </w:rPr>
              <w:t>DO</w:t>
            </w:r>
            <w:r>
              <w:rPr>
                <w:rFonts w:hint="eastAsia"/>
                <w:szCs w:val="22"/>
              </w:rPr>
              <w:t>、高锰酸盐指数、</w:t>
            </w:r>
            <w:r>
              <w:rPr>
                <w:szCs w:val="22"/>
              </w:rPr>
              <w:t>COD</w:t>
            </w:r>
            <w:r>
              <w:rPr>
                <w:rFonts w:hint="eastAsia"/>
                <w:szCs w:val="22"/>
              </w:rPr>
              <w:t>、</w:t>
            </w:r>
            <w:r>
              <w:rPr>
                <w:szCs w:val="22"/>
              </w:rPr>
              <w:t>BOD</w:t>
            </w:r>
            <w:r>
              <w:rPr>
                <w:szCs w:val="22"/>
                <w:vertAlign w:val="subscript"/>
              </w:rPr>
              <w:t>5</w:t>
            </w:r>
            <w:r>
              <w:rPr>
                <w:rFonts w:hint="eastAsia"/>
                <w:szCs w:val="22"/>
              </w:rPr>
              <w:t>、</w:t>
            </w:r>
            <w:r>
              <w:rPr>
                <w:szCs w:val="22"/>
              </w:rPr>
              <w:t>NH</w:t>
            </w:r>
            <w:r>
              <w:rPr>
                <w:szCs w:val="22"/>
                <w:vertAlign w:val="subscript"/>
              </w:rPr>
              <w:t>3</w:t>
            </w:r>
            <w:r>
              <w:rPr>
                <w:szCs w:val="22"/>
              </w:rPr>
              <w:t>-N</w:t>
            </w:r>
            <w:r>
              <w:rPr>
                <w:rFonts w:hint="eastAsia"/>
                <w:szCs w:val="22"/>
              </w:rPr>
              <w:t>、 氨氮、总磷、铜、锌、氟化物、硒、砷、镉、六价铬、铅、氰化物、挥发酚、石油类、阴离子表面活性剂、硫化物、粪大肠菌群。</w:t>
            </w:r>
          </w:p>
          <w:p>
            <w:pPr>
              <w:ind w:firstLine="480"/>
            </w:pPr>
            <w:r>
              <w:rPr>
                <w:rFonts w:hint="eastAsia"/>
              </w:rPr>
              <w:t>（3）监测时间及频次：2019年9月23日~9月25日，连续监测3天，每天1次。</w:t>
            </w:r>
          </w:p>
          <w:p>
            <w:pPr>
              <w:ind w:firstLine="480"/>
            </w:pPr>
            <w:r>
              <w:rPr>
                <w:rFonts w:hint="eastAsia"/>
              </w:rPr>
              <w:t>（4）监测结果：</w:t>
            </w:r>
            <w:r>
              <w:t>见表3-1。</w:t>
            </w:r>
          </w:p>
          <w:p>
            <w:pPr>
              <w:pStyle w:val="46"/>
            </w:pPr>
          </w:p>
          <w:p>
            <w:pPr>
              <w:pStyle w:val="46"/>
            </w:pPr>
          </w:p>
          <w:p>
            <w:pPr>
              <w:pStyle w:val="46"/>
            </w:pPr>
          </w:p>
          <w:p>
            <w:pPr>
              <w:pStyle w:val="46"/>
            </w:pPr>
          </w:p>
          <w:p>
            <w:pPr>
              <w:pStyle w:val="46"/>
            </w:pPr>
          </w:p>
          <w:p>
            <w:pPr>
              <w:pStyle w:val="46"/>
            </w:pPr>
          </w:p>
          <w:p>
            <w:pPr>
              <w:pStyle w:val="46"/>
            </w:pPr>
          </w:p>
          <w:p>
            <w:pPr>
              <w:pStyle w:val="46"/>
            </w:pPr>
          </w:p>
          <w:p>
            <w:pPr>
              <w:pStyle w:val="46"/>
            </w:pPr>
          </w:p>
          <w:p>
            <w:pPr>
              <w:pStyle w:val="46"/>
            </w:pPr>
          </w:p>
          <w:p>
            <w:pPr>
              <w:pStyle w:val="46"/>
            </w:pPr>
          </w:p>
          <w:p>
            <w:pPr>
              <w:pStyle w:val="46"/>
            </w:pPr>
          </w:p>
          <w:p>
            <w:pPr>
              <w:pStyle w:val="46"/>
            </w:pPr>
          </w:p>
          <w:p>
            <w:pPr>
              <w:pStyle w:val="46"/>
            </w:pPr>
          </w:p>
          <w:p>
            <w:pPr>
              <w:pStyle w:val="46"/>
            </w:pPr>
          </w:p>
          <w:p>
            <w:pPr>
              <w:pStyle w:val="46"/>
            </w:pPr>
          </w:p>
          <w:p>
            <w:pPr>
              <w:pStyle w:val="46"/>
            </w:pPr>
          </w:p>
          <w:p>
            <w:pPr>
              <w:pStyle w:val="46"/>
            </w:pPr>
            <w:r>
              <w:t xml:space="preserve">表3-1  </w:t>
            </w:r>
            <w:r>
              <w:rPr>
                <w:rFonts w:hint="eastAsia"/>
              </w:rPr>
              <w:t>地表水监测结果</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4"/>
              <w:gridCol w:w="1161"/>
              <w:gridCol w:w="1322"/>
              <w:gridCol w:w="1112"/>
              <w:gridCol w:w="1217"/>
              <w:gridCol w:w="1217"/>
              <w:gridCol w:w="1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restart"/>
                  <w:vAlign w:val="center"/>
                </w:tcPr>
                <w:p>
                  <w:pPr>
                    <w:pStyle w:val="46"/>
                  </w:pPr>
                  <w:r>
                    <w:rPr>
                      <w:rFonts w:hint="eastAsia"/>
                    </w:rPr>
                    <w:t>监测点位</w:t>
                  </w:r>
                </w:p>
              </w:tc>
              <w:tc>
                <w:tcPr>
                  <w:tcW w:w="0" w:type="auto"/>
                  <w:vMerge w:val="restart"/>
                  <w:vAlign w:val="center"/>
                </w:tcPr>
                <w:p>
                  <w:pPr>
                    <w:pStyle w:val="46"/>
                  </w:pPr>
                  <w:r>
                    <w:rPr>
                      <w:rFonts w:hint="eastAsia"/>
                    </w:rPr>
                    <w:t>监测时间</w:t>
                  </w:r>
                </w:p>
              </w:tc>
              <w:tc>
                <w:tcPr>
                  <w:tcW w:w="0" w:type="auto"/>
                  <w:vAlign w:val="center"/>
                </w:tcPr>
                <w:p>
                  <w:pPr>
                    <w:pStyle w:val="46"/>
                  </w:pPr>
                  <w:r>
                    <w:rPr>
                      <w:rFonts w:hint="eastAsia"/>
                    </w:rPr>
                    <w:t>pH值</w:t>
                  </w:r>
                </w:p>
              </w:tc>
              <w:tc>
                <w:tcPr>
                  <w:tcW w:w="0" w:type="auto"/>
                  <w:vAlign w:val="center"/>
                </w:tcPr>
                <w:p>
                  <w:pPr>
                    <w:pStyle w:val="46"/>
                  </w:pPr>
                  <w:r>
                    <w:rPr>
                      <w:rFonts w:hint="eastAsia"/>
                    </w:rPr>
                    <w:t>DO</w:t>
                  </w:r>
                </w:p>
              </w:tc>
              <w:tc>
                <w:tcPr>
                  <w:tcW w:w="0" w:type="auto"/>
                  <w:vAlign w:val="center"/>
                </w:tcPr>
                <w:p>
                  <w:pPr>
                    <w:pStyle w:val="46"/>
                  </w:pPr>
                  <w:r>
                    <w:rPr>
                      <w:rFonts w:hint="eastAsia"/>
                    </w:rPr>
                    <w:t>COD</w:t>
                  </w:r>
                  <w:r>
                    <w:rPr>
                      <w:rFonts w:hint="eastAsia"/>
                      <w:vertAlign w:val="subscript"/>
                    </w:rPr>
                    <w:t>Mn</w:t>
                  </w:r>
                </w:p>
              </w:tc>
              <w:tc>
                <w:tcPr>
                  <w:tcW w:w="1217" w:type="dxa"/>
                  <w:vAlign w:val="center"/>
                </w:tcPr>
                <w:p>
                  <w:pPr>
                    <w:pStyle w:val="46"/>
                  </w:pPr>
                  <w:r>
                    <w:rPr>
                      <w:rFonts w:hint="eastAsia"/>
                    </w:rPr>
                    <w:t>COD</w:t>
                  </w:r>
                  <w:r>
                    <w:rPr>
                      <w:rFonts w:hint="eastAsia"/>
                      <w:vertAlign w:val="subscript"/>
                    </w:rPr>
                    <w:t>C r</w:t>
                  </w:r>
                </w:p>
              </w:tc>
              <w:tc>
                <w:tcPr>
                  <w:tcW w:w="1217" w:type="dxa"/>
                  <w:vAlign w:val="center"/>
                </w:tcPr>
                <w:p>
                  <w:pPr>
                    <w:pStyle w:val="46"/>
                  </w:pPr>
                  <w:r>
                    <w:rPr>
                      <w:rFonts w:hint="eastAsia"/>
                    </w:rPr>
                    <w:t>BOD</w:t>
                  </w:r>
                  <w:r>
                    <w:rPr>
                      <w:rFonts w:hint="eastAsia"/>
                      <w:vertAlign w:val="sub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vAlign w:val="center"/>
                </w:tcPr>
                <w:p>
                  <w:pPr>
                    <w:pStyle w:val="47"/>
                    <w:rPr>
                      <w:szCs w:val="21"/>
                    </w:rPr>
                  </w:pPr>
                </w:p>
              </w:tc>
              <w:tc>
                <w:tcPr>
                  <w:tcW w:w="0" w:type="auto"/>
                  <w:vMerge w:val="continue"/>
                  <w:vAlign w:val="center"/>
                </w:tcPr>
                <w:p>
                  <w:pPr>
                    <w:pStyle w:val="46"/>
                  </w:pPr>
                </w:p>
              </w:tc>
              <w:tc>
                <w:tcPr>
                  <w:tcW w:w="0" w:type="auto"/>
                  <w:vAlign w:val="center"/>
                </w:tcPr>
                <w:p>
                  <w:pPr>
                    <w:pStyle w:val="46"/>
                  </w:pPr>
                  <w:r>
                    <w:rPr>
                      <w:rFonts w:hint="eastAsia"/>
                    </w:rPr>
                    <w:t>/</w:t>
                  </w:r>
                </w:p>
              </w:tc>
              <w:tc>
                <w:tcPr>
                  <w:tcW w:w="0" w:type="auto"/>
                  <w:vAlign w:val="center"/>
                </w:tcPr>
                <w:p>
                  <w:pPr>
                    <w:pStyle w:val="46"/>
                  </w:pPr>
                  <w:r>
                    <w:rPr>
                      <w:rFonts w:hint="eastAsia"/>
                    </w:rPr>
                    <w:t>mg/L</w:t>
                  </w:r>
                </w:p>
              </w:tc>
              <w:tc>
                <w:tcPr>
                  <w:tcW w:w="0" w:type="auto"/>
                  <w:vAlign w:val="center"/>
                </w:tcPr>
                <w:p>
                  <w:pPr>
                    <w:pStyle w:val="46"/>
                  </w:pPr>
                  <w:r>
                    <w:rPr>
                      <w:rFonts w:hint="eastAsia"/>
                    </w:rPr>
                    <w:t>mg/L</w:t>
                  </w:r>
                </w:p>
              </w:tc>
              <w:tc>
                <w:tcPr>
                  <w:tcW w:w="1217" w:type="dxa"/>
                  <w:vAlign w:val="center"/>
                </w:tcPr>
                <w:p>
                  <w:pPr>
                    <w:pStyle w:val="46"/>
                  </w:pPr>
                  <w:r>
                    <w:rPr>
                      <w:rFonts w:hint="eastAsia"/>
                    </w:rPr>
                    <w:t>mg/L</w:t>
                  </w:r>
                </w:p>
              </w:tc>
              <w:tc>
                <w:tcPr>
                  <w:tcW w:w="1217" w:type="dxa"/>
                  <w:vAlign w:val="center"/>
                </w:tcPr>
                <w:p>
                  <w:pPr>
                    <w:pStyle w:val="46"/>
                  </w:pPr>
                  <w:r>
                    <w:rPr>
                      <w:rFonts w:hint="eastAsia"/>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restart"/>
                  <w:vAlign w:val="center"/>
                </w:tcPr>
                <w:p>
                  <w:pPr>
                    <w:pStyle w:val="47"/>
                    <w:rPr>
                      <w:szCs w:val="21"/>
                    </w:rPr>
                  </w:pPr>
                  <w:r>
                    <w:rPr>
                      <w:rFonts w:hint="eastAsia"/>
                      <w:szCs w:val="21"/>
                    </w:rPr>
                    <w:t>京杭古运河与店街塘港河道交汇处</w:t>
                  </w:r>
                </w:p>
              </w:tc>
              <w:tc>
                <w:tcPr>
                  <w:tcW w:w="0" w:type="auto"/>
                  <w:vAlign w:val="center"/>
                </w:tcPr>
                <w:p>
                  <w:pPr>
                    <w:pStyle w:val="47"/>
                    <w:rPr>
                      <w:szCs w:val="21"/>
                    </w:rPr>
                  </w:pPr>
                  <w:r>
                    <w:rPr>
                      <w:rFonts w:hint="eastAsia"/>
                      <w:szCs w:val="21"/>
                    </w:rPr>
                    <w:t>2019.09.23</w:t>
                  </w:r>
                </w:p>
              </w:tc>
              <w:tc>
                <w:tcPr>
                  <w:tcW w:w="0" w:type="auto"/>
                  <w:vAlign w:val="center"/>
                </w:tcPr>
                <w:p>
                  <w:pPr>
                    <w:pStyle w:val="47"/>
                    <w:rPr>
                      <w:szCs w:val="21"/>
                    </w:rPr>
                  </w:pPr>
                  <w:r>
                    <w:rPr>
                      <w:rFonts w:hint="eastAsia"/>
                      <w:szCs w:val="21"/>
                    </w:rPr>
                    <w:t>7.12</w:t>
                  </w:r>
                </w:p>
              </w:tc>
              <w:tc>
                <w:tcPr>
                  <w:tcW w:w="0" w:type="auto"/>
                  <w:vAlign w:val="center"/>
                </w:tcPr>
                <w:p>
                  <w:pPr>
                    <w:pStyle w:val="47"/>
                    <w:rPr>
                      <w:szCs w:val="21"/>
                    </w:rPr>
                  </w:pPr>
                  <w:r>
                    <w:rPr>
                      <w:rFonts w:hint="eastAsia"/>
                      <w:szCs w:val="21"/>
                    </w:rPr>
                    <w:t>7.81</w:t>
                  </w:r>
                </w:p>
              </w:tc>
              <w:tc>
                <w:tcPr>
                  <w:tcW w:w="0" w:type="auto"/>
                  <w:vAlign w:val="center"/>
                </w:tcPr>
                <w:p>
                  <w:pPr>
                    <w:pStyle w:val="47"/>
                    <w:rPr>
                      <w:szCs w:val="21"/>
                    </w:rPr>
                  </w:pPr>
                  <w:r>
                    <w:rPr>
                      <w:rFonts w:hint="eastAsia"/>
                      <w:szCs w:val="21"/>
                    </w:rPr>
                    <w:t>3.7</w:t>
                  </w:r>
                </w:p>
              </w:tc>
              <w:tc>
                <w:tcPr>
                  <w:tcW w:w="1217" w:type="dxa"/>
                  <w:vAlign w:val="center"/>
                </w:tcPr>
                <w:p>
                  <w:pPr>
                    <w:pStyle w:val="47"/>
                    <w:rPr>
                      <w:szCs w:val="21"/>
                    </w:rPr>
                  </w:pPr>
                  <w:r>
                    <w:rPr>
                      <w:rFonts w:hint="eastAsia"/>
                      <w:szCs w:val="21"/>
                    </w:rPr>
                    <w:t>14</w:t>
                  </w:r>
                </w:p>
              </w:tc>
              <w:tc>
                <w:tcPr>
                  <w:tcW w:w="1217" w:type="dxa"/>
                  <w:vAlign w:val="center"/>
                </w:tcPr>
                <w:p>
                  <w:pPr>
                    <w:pStyle w:val="47"/>
                    <w:rPr>
                      <w:szCs w:val="21"/>
                    </w:rPr>
                  </w:pPr>
                  <w:r>
                    <w:rPr>
                      <w:rFonts w:hint="eastAsia"/>
                      <w:szCs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vAlign w:val="center"/>
                </w:tcPr>
                <w:p>
                  <w:pPr>
                    <w:pStyle w:val="47"/>
                    <w:rPr>
                      <w:szCs w:val="21"/>
                    </w:rPr>
                  </w:pPr>
                </w:p>
              </w:tc>
              <w:tc>
                <w:tcPr>
                  <w:tcW w:w="0" w:type="auto"/>
                  <w:vAlign w:val="center"/>
                </w:tcPr>
                <w:p>
                  <w:pPr>
                    <w:pStyle w:val="47"/>
                    <w:rPr>
                      <w:szCs w:val="21"/>
                    </w:rPr>
                  </w:pPr>
                  <w:r>
                    <w:rPr>
                      <w:rFonts w:hint="eastAsia"/>
                      <w:szCs w:val="21"/>
                    </w:rPr>
                    <w:t>2019.09.24</w:t>
                  </w:r>
                </w:p>
              </w:tc>
              <w:tc>
                <w:tcPr>
                  <w:tcW w:w="0" w:type="auto"/>
                  <w:vAlign w:val="center"/>
                </w:tcPr>
                <w:p>
                  <w:pPr>
                    <w:pStyle w:val="47"/>
                    <w:rPr>
                      <w:szCs w:val="21"/>
                    </w:rPr>
                  </w:pPr>
                  <w:r>
                    <w:rPr>
                      <w:rFonts w:hint="eastAsia"/>
                      <w:szCs w:val="21"/>
                    </w:rPr>
                    <w:t>7.24</w:t>
                  </w:r>
                </w:p>
              </w:tc>
              <w:tc>
                <w:tcPr>
                  <w:tcW w:w="0" w:type="auto"/>
                  <w:vAlign w:val="center"/>
                </w:tcPr>
                <w:p>
                  <w:pPr>
                    <w:pStyle w:val="47"/>
                    <w:rPr>
                      <w:szCs w:val="21"/>
                    </w:rPr>
                  </w:pPr>
                  <w:r>
                    <w:rPr>
                      <w:rFonts w:hint="eastAsia"/>
                      <w:szCs w:val="21"/>
                    </w:rPr>
                    <w:t>7.69</w:t>
                  </w:r>
                </w:p>
              </w:tc>
              <w:tc>
                <w:tcPr>
                  <w:tcW w:w="0" w:type="auto"/>
                  <w:vAlign w:val="center"/>
                </w:tcPr>
                <w:p>
                  <w:pPr>
                    <w:pStyle w:val="47"/>
                    <w:rPr>
                      <w:szCs w:val="21"/>
                    </w:rPr>
                  </w:pPr>
                  <w:r>
                    <w:rPr>
                      <w:rFonts w:hint="eastAsia"/>
                      <w:szCs w:val="21"/>
                    </w:rPr>
                    <w:t>3.8</w:t>
                  </w:r>
                </w:p>
              </w:tc>
              <w:tc>
                <w:tcPr>
                  <w:tcW w:w="1217" w:type="dxa"/>
                  <w:vAlign w:val="center"/>
                </w:tcPr>
                <w:p>
                  <w:pPr>
                    <w:pStyle w:val="47"/>
                    <w:rPr>
                      <w:szCs w:val="21"/>
                    </w:rPr>
                  </w:pPr>
                  <w:r>
                    <w:rPr>
                      <w:rFonts w:hint="eastAsia"/>
                      <w:szCs w:val="21"/>
                    </w:rPr>
                    <w:t>14</w:t>
                  </w:r>
                </w:p>
              </w:tc>
              <w:tc>
                <w:tcPr>
                  <w:tcW w:w="1217" w:type="dxa"/>
                  <w:vAlign w:val="center"/>
                </w:tcPr>
                <w:p>
                  <w:pPr>
                    <w:pStyle w:val="47"/>
                    <w:rPr>
                      <w:szCs w:val="21"/>
                    </w:rPr>
                  </w:pPr>
                  <w:r>
                    <w:rPr>
                      <w:rFonts w:hint="eastAsia"/>
                      <w:szCs w:val="21"/>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vAlign w:val="center"/>
                </w:tcPr>
                <w:p>
                  <w:pPr>
                    <w:pStyle w:val="47"/>
                    <w:rPr>
                      <w:szCs w:val="21"/>
                    </w:rPr>
                  </w:pPr>
                </w:p>
              </w:tc>
              <w:tc>
                <w:tcPr>
                  <w:tcW w:w="0" w:type="auto"/>
                  <w:vAlign w:val="center"/>
                </w:tcPr>
                <w:p>
                  <w:pPr>
                    <w:pStyle w:val="47"/>
                    <w:rPr>
                      <w:szCs w:val="21"/>
                    </w:rPr>
                  </w:pPr>
                  <w:r>
                    <w:rPr>
                      <w:rFonts w:hint="eastAsia"/>
                      <w:szCs w:val="21"/>
                    </w:rPr>
                    <w:t>2019.09.25</w:t>
                  </w:r>
                </w:p>
              </w:tc>
              <w:tc>
                <w:tcPr>
                  <w:tcW w:w="0" w:type="auto"/>
                  <w:vAlign w:val="center"/>
                </w:tcPr>
                <w:p>
                  <w:pPr>
                    <w:pStyle w:val="47"/>
                    <w:rPr>
                      <w:szCs w:val="21"/>
                    </w:rPr>
                  </w:pPr>
                  <w:r>
                    <w:rPr>
                      <w:rFonts w:hint="eastAsia"/>
                      <w:szCs w:val="21"/>
                    </w:rPr>
                    <w:t>7.07</w:t>
                  </w:r>
                </w:p>
              </w:tc>
              <w:tc>
                <w:tcPr>
                  <w:tcW w:w="0" w:type="auto"/>
                  <w:vAlign w:val="center"/>
                </w:tcPr>
                <w:p>
                  <w:pPr>
                    <w:pStyle w:val="47"/>
                    <w:rPr>
                      <w:szCs w:val="21"/>
                    </w:rPr>
                  </w:pPr>
                  <w:r>
                    <w:rPr>
                      <w:rFonts w:hint="eastAsia"/>
                      <w:szCs w:val="21"/>
                    </w:rPr>
                    <w:t>7.86</w:t>
                  </w:r>
                </w:p>
              </w:tc>
              <w:tc>
                <w:tcPr>
                  <w:tcW w:w="0" w:type="auto"/>
                  <w:vAlign w:val="center"/>
                </w:tcPr>
                <w:p>
                  <w:pPr>
                    <w:pStyle w:val="47"/>
                    <w:rPr>
                      <w:szCs w:val="21"/>
                    </w:rPr>
                  </w:pPr>
                  <w:r>
                    <w:rPr>
                      <w:rFonts w:hint="eastAsia"/>
                      <w:szCs w:val="21"/>
                    </w:rPr>
                    <w:t>4.0</w:t>
                  </w:r>
                </w:p>
              </w:tc>
              <w:tc>
                <w:tcPr>
                  <w:tcW w:w="1217" w:type="dxa"/>
                  <w:vAlign w:val="center"/>
                </w:tcPr>
                <w:p>
                  <w:pPr>
                    <w:pStyle w:val="47"/>
                    <w:rPr>
                      <w:szCs w:val="21"/>
                    </w:rPr>
                  </w:pPr>
                  <w:r>
                    <w:rPr>
                      <w:rFonts w:hint="eastAsia"/>
                      <w:szCs w:val="21"/>
                    </w:rPr>
                    <w:t>15</w:t>
                  </w:r>
                </w:p>
              </w:tc>
              <w:tc>
                <w:tcPr>
                  <w:tcW w:w="1217" w:type="dxa"/>
                  <w:vAlign w:val="center"/>
                </w:tcPr>
                <w:p>
                  <w:pPr>
                    <w:pStyle w:val="47"/>
                    <w:rPr>
                      <w:szCs w:val="21"/>
                    </w:rPr>
                  </w:pPr>
                  <w:r>
                    <w:rPr>
                      <w:rFonts w:hint="eastAsia"/>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vAlign w:val="center"/>
                </w:tcPr>
                <w:p>
                  <w:pPr>
                    <w:pStyle w:val="47"/>
                    <w:rPr>
                      <w:szCs w:val="21"/>
                    </w:rPr>
                  </w:pPr>
                </w:p>
              </w:tc>
              <w:tc>
                <w:tcPr>
                  <w:tcW w:w="0" w:type="auto"/>
                  <w:vAlign w:val="center"/>
                </w:tcPr>
                <w:p>
                  <w:pPr>
                    <w:pStyle w:val="47"/>
                    <w:rPr>
                      <w:szCs w:val="21"/>
                    </w:rPr>
                  </w:pPr>
                  <w:r>
                    <w:rPr>
                      <w:szCs w:val="21"/>
                    </w:rPr>
                    <w:t>III类</w:t>
                  </w:r>
                  <w:r>
                    <w:rPr>
                      <w:rFonts w:hint="eastAsia"/>
                      <w:szCs w:val="21"/>
                    </w:rPr>
                    <w:t>限值</w:t>
                  </w:r>
                </w:p>
              </w:tc>
              <w:tc>
                <w:tcPr>
                  <w:tcW w:w="0" w:type="auto"/>
                  <w:vAlign w:val="center"/>
                </w:tcPr>
                <w:p>
                  <w:pPr>
                    <w:pStyle w:val="47"/>
                    <w:rPr>
                      <w:szCs w:val="21"/>
                    </w:rPr>
                  </w:pPr>
                  <w:r>
                    <w:rPr>
                      <w:rFonts w:hint="eastAsia"/>
                      <w:szCs w:val="21"/>
                    </w:rPr>
                    <w:t>6~9</w:t>
                  </w:r>
                </w:p>
              </w:tc>
              <w:tc>
                <w:tcPr>
                  <w:tcW w:w="0" w:type="auto"/>
                  <w:vAlign w:val="center"/>
                </w:tcPr>
                <w:p>
                  <w:pPr>
                    <w:pStyle w:val="47"/>
                    <w:rPr>
                      <w:szCs w:val="21"/>
                    </w:rPr>
                  </w:pPr>
                  <w:r>
                    <w:rPr>
                      <w:rFonts w:hint="eastAsia"/>
                      <w:szCs w:val="21"/>
                    </w:rPr>
                    <w:t>5</w:t>
                  </w:r>
                </w:p>
              </w:tc>
              <w:tc>
                <w:tcPr>
                  <w:tcW w:w="0" w:type="auto"/>
                  <w:vAlign w:val="center"/>
                </w:tcPr>
                <w:p>
                  <w:pPr>
                    <w:pStyle w:val="47"/>
                    <w:rPr>
                      <w:szCs w:val="21"/>
                    </w:rPr>
                  </w:pPr>
                  <w:r>
                    <w:rPr>
                      <w:rFonts w:hint="eastAsia"/>
                      <w:szCs w:val="21"/>
                    </w:rPr>
                    <w:t>6</w:t>
                  </w:r>
                </w:p>
              </w:tc>
              <w:tc>
                <w:tcPr>
                  <w:tcW w:w="1217" w:type="dxa"/>
                  <w:vAlign w:val="center"/>
                </w:tcPr>
                <w:p>
                  <w:pPr>
                    <w:pStyle w:val="47"/>
                    <w:rPr>
                      <w:szCs w:val="21"/>
                    </w:rPr>
                  </w:pPr>
                  <w:r>
                    <w:rPr>
                      <w:rFonts w:hint="eastAsia"/>
                      <w:szCs w:val="21"/>
                    </w:rPr>
                    <w:t>20</w:t>
                  </w:r>
                </w:p>
              </w:tc>
              <w:tc>
                <w:tcPr>
                  <w:tcW w:w="1217" w:type="dxa"/>
                  <w:vAlign w:val="center"/>
                </w:tcPr>
                <w:p>
                  <w:pPr>
                    <w:pStyle w:val="47"/>
                    <w:rPr>
                      <w:szCs w:val="21"/>
                    </w:rPr>
                  </w:pPr>
                  <w:r>
                    <w:rPr>
                      <w:rFonts w:hint="eastAsia"/>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vAlign w:val="center"/>
                </w:tcPr>
                <w:p>
                  <w:pPr>
                    <w:pStyle w:val="47"/>
                    <w:rPr>
                      <w:szCs w:val="21"/>
                    </w:rPr>
                  </w:pPr>
                </w:p>
              </w:tc>
              <w:tc>
                <w:tcPr>
                  <w:tcW w:w="0" w:type="auto"/>
                  <w:vAlign w:val="center"/>
                </w:tcPr>
                <w:p>
                  <w:pPr>
                    <w:pStyle w:val="47"/>
                    <w:rPr>
                      <w:szCs w:val="21"/>
                    </w:rPr>
                  </w:pPr>
                  <w:r>
                    <w:rPr>
                      <w:rFonts w:hint="eastAsia"/>
                      <w:szCs w:val="21"/>
                    </w:rPr>
                    <w:t>是否达标</w:t>
                  </w:r>
                </w:p>
              </w:tc>
              <w:tc>
                <w:tcPr>
                  <w:tcW w:w="0" w:type="auto"/>
                  <w:vAlign w:val="center"/>
                </w:tcPr>
                <w:p>
                  <w:pPr>
                    <w:pStyle w:val="47"/>
                    <w:rPr>
                      <w:szCs w:val="21"/>
                    </w:rPr>
                  </w:pPr>
                  <w:r>
                    <w:rPr>
                      <w:rFonts w:hint="eastAsia"/>
                      <w:szCs w:val="21"/>
                    </w:rPr>
                    <w:t>是</w:t>
                  </w:r>
                </w:p>
              </w:tc>
              <w:tc>
                <w:tcPr>
                  <w:tcW w:w="0" w:type="auto"/>
                  <w:vAlign w:val="center"/>
                </w:tcPr>
                <w:p>
                  <w:pPr>
                    <w:pStyle w:val="47"/>
                    <w:rPr>
                      <w:szCs w:val="21"/>
                    </w:rPr>
                  </w:pPr>
                  <w:r>
                    <w:rPr>
                      <w:rFonts w:hint="eastAsia"/>
                      <w:szCs w:val="21"/>
                    </w:rPr>
                    <w:t>是</w:t>
                  </w:r>
                </w:p>
              </w:tc>
              <w:tc>
                <w:tcPr>
                  <w:tcW w:w="0" w:type="auto"/>
                  <w:vAlign w:val="center"/>
                </w:tcPr>
                <w:p>
                  <w:pPr>
                    <w:pStyle w:val="47"/>
                    <w:rPr>
                      <w:szCs w:val="21"/>
                    </w:rPr>
                  </w:pPr>
                  <w:r>
                    <w:rPr>
                      <w:rFonts w:hint="eastAsia"/>
                      <w:szCs w:val="21"/>
                    </w:rPr>
                    <w:t>是</w:t>
                  </w:r>
                </w:p>
              </w:tc>
              <w:tc>
                <w:tcPr>
                  <w:tcW w:w="1217" w:type="dxa"/>
                  <w:vAlign w:val="center"/>
                </w:tcPr>
                <w:p>
                  <w:pPr>
                    <w:pStyle w:val="47"/>
                    <w:rPr>
                      <w:szCs w:val="21"/>
                    </w:rPr>
                  </w:pPr>
                  <w:r>
                    <w:rPr>
                      <w:rFonts w:hint="eastAsia"/>
                      <w:szCs w:val="21"/>
                    </w:rPr>
                    <w:t>是</w:t>
                  </w:r>
                </w:p>
              </w:tc>
              <w:tc>
                <w:tcPr>
                  <w:tcW w:w="1217" w:type="dxa"/>
                  <w:vAlign w:val="center"/>
                </w:tcPr>
                <w:p>
                  <w:pPr>
                    <w:pStyle w:val="47"/>
                    <w:rPr>
                      <w:szCs w:val="21"/>
                    </w:rPr>
                  </w:pPr>
                  <w:r>
                    <w:rPr>
                      <w:rFonts w:hint="eastAsia"/>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restart"/>
                  <w:vAlign w:val="center"/>
                </w:tcPr>
                <w:p>
                  <w:pPr>
                    <w:pStyle w:val="46"/>
                  </w:pPr>
                  <w:r>
                    <w:rPr>
                      <w:rFonts w:hint="eastAsia"/>
                    </w:rPr>
                    <w:t>监测点位</w:t>
                  </w:r>
                </w:p>
              </w:tc>
              <w:tc>
                <w:tcPr>
                  <w:tcW w:w="0" w:type="auto"/>
                  <w:vMerge w:val="restart"/>
                  <w:vAlign w:val="center"/>
                </w:tcPr>
                <w:p>
                  <w:pPr>
                    <w:pStyle w:val="46"/>
                  </w:pPr>
                  <w:r>
                    <w:rPr>
                      <w:rFonts w:hint="eastAsia"/>
                    </w:rPr>
                    <w:t>监测时间</w:t>
                  </w:r>
                </w:p>
              </w:tc>
              <w:tc>
                <w:tcPr>
                  <w:tcW w:w="0" w:type="auto"/>
                  <w:vAlign w:val="center"/>
                </w:tcPr>
                <w:p>
                  <w:pPr>
                    <w:pStyle w:val="46"/>
                  </w:pPr>
                  <w:r>
                    <w:rPr>
                      <w:rFonts w:hint="eastAsia"/>
                    </w:rPr>
                    <w:t>NH</w:t>
                  </w:r>
                  <w:r>
                    <w:rPr>
                      <w:rFonts w:hint="eastAsia"/>
                      <w:vertAlign w:val="subscript"/>
                    </w:rPr>
                    <w:t>3</w:t>
                  </w:r>
                  <w:r>
                    <w:rPr>
                      <w:rFonts w:hint="eastAsia"/>
                    </w:rPr>
                    <w:t>-N</w:t>
                  </w:r>
                </w:p>
              </w:tc>
              <w:tc>
                <w:tcPr>
                  <w:tcW w:w="0" w:type="auto"/>
                  <w:vAlign w:val="center"/>
                </w:tcPr>
                <w:p>
                  <w:pPr>
                    <w:pStyle w:val="46"/>
                  </w:pPr>
                  <w:r>
                    <w:rPr>
                      <w:rFonts w:hint="eastAsia"/>
                    </w:rPr>
                    <w:t>TP</w:t>
                  </w:r>
                </w:p>
              </w:tc>
              <w:tc>
                <w:tcPr>
                  <w:tcW w:w="0" w:type="auto"/>
                  <w:vAlign w:val="center"/>
                </w:tcPr>
                <w:p>
                  <w:pPr>
                    <w:pStyle w:val="46"/>
                  </w:pPr>
                  <w:r>
                    <w:rPr>
                      <w:rFonts w:hint="eastAsia"/>
                    </w:rPr>
                    <w:t>铜</w:t>
                  </w:r>
                </w:p>
              </w:tc>
              <w:tc>
                <w:tcPr>
                  <w:tcW w:w="1217" w:type="dxa"/>
                  <w:vAlign w:val="center"/>
                </w:tcPr>
                <w:p>
                  <w:pPr>
                    <w:pStyle w:val="46"/>
                  </w:pPr>
                  <w:r>
                    <w:rPr>
                      <w:rFonts w:hint="eastAsia"/>
                    </w:rPr>
                    <w:t>锌</w:t>
                  </w:r>
                </w:p>
              </w:tc>
              <w:tc>
                <w:tcPr>
                  <w:tcW w:w="1217" w:type="dxa"/>
                  <w:vAlign w:val="center"/>
                </w:tcPr>
                <w:p>
                  <w:pPr>
                    <w:pStyle w:val="46"/>
                  </w:pPr>
                  <w:r>
                    <w:rPr>
                      <w:rFonts w:hint="eastAsia"/>
                    </w:rPr>
                    <w:t>氟化物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vAlign w:val="center"/>
                </w:tcPr>
                <w:p>
                  <w:pPr>
                    <w:pStyle w:val="46"/>
                  </w:pPr>
                </w:p>
              </w:tc>
              <w:tc>
                <w:tcPr>
                  <w:tcW w:w="0" w:type="auto"/>
                  <w:vMerge w:val="continue"/>
                  <w:vAlign w:val="center"/>
                </w:tcPr>
                <w:p>
                  <w:pPr>
                    <w:pStyle w:val="46"/>
                  </w:pPr>
                </w:p>
              </w:tc>
              <w:tc>
                <w:tcPr>
                  <w:tcW w:w="0" w:type="auto"/>
                  <w:vAlign w:val="center"/>
                </w:tcPr>
                <w:p>
                  <w:pPr>
                    <w:pStyle w:val="46"/>
                  </w:pPr>
                  <w:r>
                    <w:rPr>
                      <w:rFonts w:hint="eastAsia"/>
                    </w:rPr>
                    <w:t>mg/L</w:t>
                  </w:r>
                </w:p>
              </w:tc>
              <w:tc>
                <w:tcPr>
                  <w:tcW w:w="0" w:type="auto"/>
                  <w:vAlign w:val="center"/>
                </w:tcPr>
                <w:p>
                  <w:pPr>
                    <w:pStyle w:val="46"/>
                  </w:pPr>
                  <w:r>
                    <w:rPr>
                      <w:rFonts w:hint="eastAsia"/>
                    </w:rPr>
                    <w:t>mg/L</w:t>
                  </w:r>
                </w:p>
              </w:tc>
              <w:tc>
                <w:tcPr>
                  <w:tcW w:w="0" w:type="auto"/>
                  <w:vAlign w:val="center"/>
                </w:tcPr>
                <w:p>
                  <w:pPr>
                    <w:pStyle w:val="46"/>
                  </w:pPr>
                  <w:r>
                    <w:rPr>
                      <w:rFonts w:hint="eastAsia"/>
                    </w:rPr>
                    <w:t>mg/L</w:t>
                  </w:r>
                </w:p>
              </w:tc>
              <w:tc>
                <w:tcPr>
                  <w:tcW w:w="1217" w:type="dxa"/>
                  <w:vAlign w:val="center"/>
                </w:tcPr>
                <w:p>
                  <w:pPr>
                    <w:pStyle w:val="46"/>
                  </w:pPr>
                  <w:r>
                    <w:rPr>
                      <w:rFonts w:hint="eastAsia"/>
                    </w:rPr>
                    <w:t>mg/L</w:t>
                  </w:r>
                </w:p>
              </w:tc>
              <w:tc>
                <w:tcPr>
                  <w:tcW w:w="1217" w:type="dxa"/>
                  <w:vAlign w:val="center"/>
                </w:tcPr>
                <w:p>
                  <w:pPr>
                    <w:pStyle w:val="46"/>
                  </w:pPr>
                  <w:r>
                    <w:rPr>
                      <w:rFonts w:hint="eastAsia"/>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restart"/>
                  <w:vAlign w:val="center"/>
                </w:tcPr>
                <w:p>
                  <w:pPr>
                    <w:pStyle w:val="47"/>
                    <w:rPr>
                      <w:szCs w:val="21"/>
                    </w:rPr>
                  </w:pPr>
                  <w:r>
                    <w:rPr>
                      <w:rFonts w:hint="eastAsia"/>
                      <w:szCs w:val="21"/>
                    </w:rPr>
                    <w:t>京杭古运河与店街塘港河道交汇处</w:t>
                  </w:r>
                </w:p>
              </w:tc>
              <w:tc>
                <w:tcPr>
                  <w:tcW w:w="0" w:type="auto"/>
                  <w:vAlign w:val="center"/>
                </w:tcPr>
                <w:p>
                  <w:pPr>
                    <w:pStyle w:val="47"/>
                    <w:rPr>
                      <w:szCs w:val="21"/>
                    </w:rPr>
                  </w:pPr>
                  <w:r>
                    <w:rPr>
                      <w:rFonts w:hint="eastAsia"/>
                      <w:szCs w:val="21"/>
                    </w:rPr>
                    <w:t>2019.09.23</w:t>
                  </w:r>
                </w:p>
              </w:tc>
              <w:tc>
                <w:tcPr>
                  <w:tcW w:w="0" w:type="auto"/>
                  <w:vAlign w:val="center"/>
                </w:tcPr>
                <w:p>
                  <w:pPr>
                    <w:pStyle w:val="47"/>
                    <w:rPr>
                      <w:szCs w:val="21"/>
                    </w:rPr>
                  </w:pPr>
                  <w:r>
                    <w:rPr>
                      <w:rFonts w:hint="eastAsia"/>
                      <w:szCs w:val="21"/>
                    </w:rPr>
                    <w:t>0.280</w:t>
                  </w:r>
                </w:p>
              </w:tc>
              <w:tc>
                <w:tcPr>
                  <w:tcW w:w="0" w:type="auto"/>
                  <w:vAlign w:val="center"/>
                </w:tcPr>
                <w:p>
                  <w:pPr>
                    <w:pStyle w:val="47"/>
                    <w:rPr>
                      <w:szCs w:val="21"/>
                    </w:rPr>
                  </w:pPr>
                  <w:r>
                    <w:rPr>
                      <w:rFonts w:hint="eastAsia"/>
                      <w:szCs w:val="21"/>
                    </w:rPr>
                    <w:t>0.12</w:t>
                  </w:r>
                </w:p>
              </w:tc>
              <w:tc>
                <w:tcPr>
                  <w:tcW w:w="0" w:type="auto"/>
                  <w:vAlign w:val="center"/>
                </w:tcPr>
                <w:p>
                  <w:pPr>
                    <w:pStyle w:val="47"/>
                    <w:rPr>
                      <w:szCs w:val="21"/>
                    </w:rPr>
                  </w:pPr>
                  <w:r>
                    <w:rPr>
                      <w:rFonts w:hint="eastAsia"/>
                      <w:szCs w:val="21"/>
                    </w:rPr>
                    <w:t>0.04</w:t>
                  </w:r>
                </w:p>
              </w:tc>
              <w:tc>
                <w:tcPr>
                  <w:tcW w:w="1217" w:type="dxa"/>
                  <w:vAlign w:val="center"/>
                </w:tcPr>
                <w:p>
                  <w:pPr>
                    <w:pStyle w:val="47"/>
                    <w:rPr>
                      <w:szCs w:val="21"/>
                    </w:rPr>
                  </w:pPr>
                  <w:r>
                    <w:rPr>
                      <w:rFonts w:hint="eastAsia"/>
                      <w:szCs w:val="21"/>
                    </w:rPr>
                    <w:t>0.03</w:t>
                  </w:r>
                </w:p>
              </w:tc>
              <w:tc>
                <w:tcPr>
                  <w:tcW w:w="1217" w:type="dxa"/>
                  <w:vAlign w:val="center"/>
                </w:tcPr>
                <w:p>
                  <w:pPr>
                    <w:pStyle w:val="47"/>
                    <w:rPr>
                      <w:szCs w:val="21"/>
                    </w:rPr>
                  </w:pPr>
                  <w:r>
                    <w:rPr>
                      <w:rFonts w:hint="eastAsia"/>
                      <w:szCs w:val="21"/>
                    </w:rPr>
                    <w:t>ND（0.006）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vAlign w:val="center"/>
                </w:tcPr>
                <w:p>
                  <w:pPr>
                    <w:pStyle w:val="47"/>
                    <w:rPr>
                      <w:szCs w:val="21"/>
                    </w:rPr>
                  </w:pPr>
                </w:p>
              </w:tc>
              <w:tc>
                <w:tcPr>
                  <w:tcW w:w="0" w:type="auto"/>
                  <w:vAlign w:val="center"/>
                </w:tcPr>
                <w:p>
                  <w:pPr>
                    <w:pStyle w:val="47"/>
                    <w:rPr>
                      <w:szCs w:val="21"/>
                    </w:rPr>
                  </w:pPr>
                  <w:r>
                    <w:rPr>
                      <w:rFonts w:hint="eastAsia"/>
                      <w:szCs w:val="21"/>
                    </w:rPr>
                    <w:t>2019.09.24</w:t>
                  </w:r>
                </w:p>
              </w:tc>
              <w:tc>
                <w:tcPr>
                  <w:tcW w:w="0" w:type="auto"/>
                  <w:vAlign w:val="center"/>
                </w:tcPr>
                <w:p>
                  <w:pPr>
                    <w:pStyle w:val="47"/>
                    <w:rPr>
                      <w:szCs w:val="21"/>
                    </w:rPr>
                  </w:pPr>
                  <w:r>
                    <w:rPr>
                      <w:rFonts w:hint="eastAsia"/>
                      <w:szCs w:val="21"/>
                    </w:rPr>
                    <w:t>0.304</w:t>
                  </w:r>
                </w:p>
              </w:tc>
              <w:tc>
                <w:tcPr>
                  <w:tcW w:w="0" w:type="auto"/>
                  <w:vAlign w:val="center"/>
                </w:tcPr>
                <w:p>
                  <w:pPr>
                    <w:pStyle w:val="47"/>
                    <w:rPr>
                      <w:szCs w:val="21"/>
                    </w:rPr>
                  </w:pPr>
                  <w:r>
                    <w:rPr>
                      <w:rFonts w:hint="eastAsia"/>
                      <w:szCs w:val="21"/>
                    </w:rPr>
                    <w:t>0.14</w:t>
                  </w:r>
                </w:p>
              </w:tc>
              <w:tc>
                <w:tcPr>
                  <w:tcW w:w="0" w:type="auto"/>
                  <w:vAlign w:val="center"/>
                </w:tcPr>
                <w:p>
                  <w:pPr>
                    <w:pStyle w:val="47"/>
                    <w:rPr>
                      <w:szCs w:val="21"/>
                    </w:rPr>
                  </w:pPr>
                  <w:r>
                    <w:rPr>
                      <w:rFonts w:hint="eastAsia"/>
                      <w:szCs w:val="21"/>
                    </w:rPr>
                    <w:t>0.04</w:t>
                  </w:r>
                </w:p>
              </w:tc>
              <w:tc>
                <w:tcPr>
                  <w:tcW w:w="1217" w:type="dxa"/>
                  <w:vAlign w:val="center"/>
                </w:tcPr>
                <w:p>
                  <w:pPr>
                    <w:pStyle w:val="47"/>
                    <w:rPr>
                      <w:szCs w:val="21"/>
                    </w:rPr>
                  </w:pPr>
                  <w:r>
                    <w:rPr>
                      <w:rFonts w:hint="eastAsia"/>
                      <w:szCs w:val="21"/>
                    </w:rPr>
                    <w:t>0.03</w:t>
                  </w:r>
                </w:p>
              </w:tc>
              <w:tc>
                <w:tcPr>
                  <w:tcW w:w="1217" w:type="dxa"/>
                  <w:vAlign w:val="center"/>
                </w:tcPr>
                <w:p>
                  <w:pPr>
                    <w:pStyle w:val="47"/>
                    <w:rPr>
                      <w:szCs w:val="21"/>
                    </w:rPr>
                  </w:pPr>
                  <w:r>
                    <w:rPr>
                      <w:rFonts w:hint="eastAsia"/>
                      <w:szCs w:val="21"/>
                    </w:rPr>
                    <w:t>ND（0.006）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vAlign w:val="center"/>
                </w:tcPr>
                <w:p>
                  <w:pPr>
                    <w:pStyle w:val="47"/>
                    <w:rPr>
                      <w:szCs w:val="21"/>
                    </w:rPr>
                  </w:pPr>
                </w:p>
              </w:tc>
              <w:tc>
                <w:tcPr>
                  <w:tcW w:w="0" w:type="auto"/>
                  <w:vAlign w:val="center"/>
                </w:tcPr>
                <w:p>
                  <w:pPr>
                    <w:pStyle w:val="47"/>
                    <w:rPr>
                      <w:szCs w:val="21"/>
                    </w:rPr>
                  </w:pPr>
                  <w:r>
                    <w:rPr>
                      <w:rFonts w:hint="eastAsia"/>
                      <w:szCs w:val="21"/>
                    </w:rPr>
                    <w:t>2019.09.25</w:t>
                  </w:r>
                </w:p>
              </w:tc>
              <w:tc>
                <w:tcPr>
                  <w:tcW w:w="0" w:type="auto"/>
                  <w:vAlign w:val="center"/>
                </w:tcPr>
                <w:p>
                  <w:pPr>
                    <w:pStyle w:val="47"/>
                    <w:rPr>
                      <w:szCs w:val="21"/>
                    </w:rPr>
                  </w:pPr>
                  <w:r>
                    <w:rPr>
                      <w:rFonts w:hint="eastAsia"/>
                      <w:szCs w:val="21"/>
                    </w:rPr>
                    <w:t>0.340</w:t>
                  </w:r>
                </w:p>
              </w:tc>
              <w:tc>
                <w:tcPr>
                  <w:tcW w:w="0" w:type="auto"/>
                  <w:vAlign w:val="center"/>
                </w:tcPr>
                <w:p>
                  <w:pPr>
                    <w:pStyle w:val="47"/>
                    <w:rPr>
                      <w:szCs w:val="21"/>
                    </w:rPr>
                  </w:pPr>
                  <w:r>
                    <w:rPr>
                      <w:rFonts w:hint="eastAsia"/>
                      <w:szCs w:val="21"/>
                    </w:rPr>
                    <w:t>0.14</w:t>
                  </w:r>
                </w:p>
              </w:tc>
              <w:tc>
                <w:tcPr>
                  <w:tcW w:w="0" w:type="auto"/>
                  <w:vAlign w:val="center"/>
                </w:tcPr>
                <w:p>
                  <w:pPr>
                    <w:pStyle w:val="47"/>
                    <w:rPr>
                      <w:szCs w:val="21"/>
                    </w:rPr>
                  </w:pPr>
                  <w:r>
                    <w:rPr>
                      <w:rFonts w:hint="eastAsia"/>
                      <w:szCs w:val="21"/>
                    </w:rPr>
                    <w:t>0.04</w:t>
                  </w:r>
                </w:p>
              </w:tc>
              <w:tc>
                <w:tcPr>
                  <w:tcW w:w="1217" w:type="dxa"/>
                  <w:vAlign w:val="center"/>
                </w:tcPr>
                <w:p>
                  <w:pPr>
                    <w:pStyle w:val="47"/>
                    <w:rPr>
                      <w:szCs w:val="21"/>
                    </w:rPr>
                  </w:pPr>
                  <w:r>
                    <w:rPr>
                      <w:rFonts w:hint="eastAsia"/>
                      <w:szCs w:val="21"/>
                    </w:rPr>
                    <w:t>0.03</w:t>
                  </w:r>
                </w:p>
              </w:tc>
              <w:tc>
                <w:tcPr>
                  <w:tcW w:w="1217" w:type="dxa"/>
                  <w:vAlign w:val="center"/>
                </w:tcPr>
                <w:p>
                  <w:pPr>
                    <w:pStyle w:val="47"/>
                    <w:rPr>
                      <w:szCs w:val="21"/>
                    </w:rPr>
                  </w:pPr>
                  <w:r>
                    <w:rPr>
                      <w:rFonts w:hint="eastAsia"/>
                      <w:szCs w:val="21"/>
                    </w:rPr>
                    <w:t>ND（0.006）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vAlign w:val="center"/>
                </w:tcPr>
                <w:p>
                  <w:pPr>
                    <w:pStyle w:val="47"/>
                    <w:rPr>
                      <w:szCs w:val="21"/>
                    </w:rPr>
                  </w:pPr>
                </w:p>
              </w:tc>
              <w:tc>
                <w:tcPr>
                  <w:tcW w:w="0" w:type="auto"/>
                  <w:vAlign w:val="center"/>
                </w:tcPr>
                <w:p>
                  <w:pPr>
                    <w:pStyle w:val="47"/>
                    <w:rPr>
                      <w:szCs w:val="21"/>
                    </w:rPr>
                  </w:pPr>
                  <w:r>
                    <w:rPr>
                      <w:szCs w:val="21"/>
                    </w:rPr>
                    <w:t>III类</w:t>
                  </w:r>
                  <w:r>
                    <w:rPr>
                      <w:rFonts w:hint="eastAsia"/>
                      <w:szCs w:val="21"/>
                    </w:rPr>
                    <w:t>限值</w:t>
                  </w:r>
                </w:p>
              </w:tc>
              <w:tc>
                <w:tcPr>
                  <w:tcW w:w="0" w:type="auto"/>
                  <w:vAlign w:val="center"/>
                </w:tcPr>
                <w:p>
                  <w:pPr>
                    <w:pStyle w:val="47"/>
                    <w:rPr>
                      <w:szCs w:val="21"/>
                    </w:rPr>
                  </w:pPr>
                  <w:r>
                    <w:rPr>
                      <w:rFonts w:hint="eastAsia"/>
                      <w:szCs w:val="21"/>
                    </w:rPr>
                    <w:t>1.0</w:t>
                  </w:r>
                </w:p>
              </w:tc>
              <w:tc>
                <w:tcPr>
                  <w:tcW w:w="0" w:type="auto"/>
                  <w:vAlign w:val="center"/>
                </w:tcPr>
                <w:p>
                  <w:pPr>
                    <w:pStyle w:val="47"/>
                    <w:rPr>
                      <w:szCs w:val="21"/>
                    </w:rPr>
                  </w:pPr>
                  <w:r>
                    <w:rPr>
                      <w:rFonts w:hint="eastAsia"/>
                      <w:szCs w:val="21"/>
                    </w:rPr>
                    <w:t>0.2</w:t>
                  </w:r>
                </w:p>
              </w:tc>
              <w:tc>
                <w:tcPr>
                  <w:tcW w:w="0" w:type="auto"/>
                  <w:vAlign w:val="center"/>
                </w:tcPr>
                <w:p>
                  <w:pPr>
                    <w:pStyle w:val="47"/>
                    <w:rPr>
                      <w:szCs w:val="21"/>
                    </w:rPr>
                  </w:pPr>
                  <w:r>
                    <w:rPr>
                      <w:rFonts w:hint="eastAsia"/>
                      <w:szCs w:val="21"/>
                    </w:rPr>
                    <w:t>1.0</w:t>
                  </w:r>
                </w:p>
              </w:tc>
              <w:tc>
                <w:tcPr>
                  <w:tcW w:w="1217" w:type="dxa"/>
                  <w:vAlign w:val="center"/>
                </w:tcPr>
                <w:p>
                  <w:pPr>
                    <w:pStyle w:val="47"/>
                    <w:rPr>
                      <w:szCs w:val="21"/>
                    </w:rPr>
                  </w:pPr>
                  <w:r>
                    <w:rPr>
                      <w:rFonts w:hint="eastAsia"/>
                      <w:szCs w:val="21"/>
                    </w:rPr>
                    <w:t>1.0</w:t>
                  </w:r>
                </w:p>
              </w:tc>
              <w:tc>
                <w:tcPr>
                  <w:tcW w:w="1217" w:type="dxa"/>
                  <w:vAlign w:val="center"/>
                </w:tcPr>
                <w:p>
                  <w:pPr>
                    <w:pStyle w:val="47"/>
                    <w:rPr>
                      <w:szCs w:val="21"/>
                    </w:rPr>
                  </w:pPr>
                  <w:r>
                    <w:rPr>
                      <w:rFonts w:hint="eastAsia"/>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vAlign w:val="center"/>
                </w:tcPr>
                <w:p>
                  <w:pPr>
                    <w:pStyle w:val="47"/>
                    <w:rPr>
                      <w:szCs w:val="21"/>
                    </w:rPr>
                  </w:pPr>
                </w:p>
              </w:tc>
              <w:tc>
                <w:tcPr>
                  <w:tcW w:w="0" w:type="auto"/>
                  <w:vAlign w:val="center"/>
                </w:tcPr>
                <w:p>
                  <w:pPr>
                    <w:pStyle w:val="47"/>
                    <w:rPr>
                      <w:szCs w:val="21"/>
                    </w:rPr>
                  </w:pPr>
                  <w:r>
                    <w:rPr>
                      <w:rFonts w:hint="eastAsia"/>
                      <w:szCs w:val="21"/>
                    </w:rPr>
                    <w:t>是否达标</w:t>
                  </w:r>
                </w:p>
              </w:tc>
              <w:tc>
                <w:tcPr>
                  <w:tcW w:w="0" w:type="auto"/>
                  <w:vAlign w:val="center"/>
                </w:tcPr>
                <w:p>
                  <w:pPr>
                    <w:pStyle w:val="47"/>
                    <w:rPr>
                      <w:szCs w:val="21"/>
                    </w:rPr>
                  </w:pPr>
                  <w:r>
                    <w:rPr>
                      <w:rFonts w:hint="eastAsia"/>
                      <w:szCs w:val="21"/>
                    </w:rPr>
                    <w:t>是</w:t>
                  </w:r>
                </w:p>
              </w:tc>
              <w:tc>
                <w:tcPr>
                  <w:tcW w:w="0" w:type="auto"/>
                  <w:vAlign w:val="center"/>
                </w:tcPr>
                <w:p>
                  <w:pPr>
                    <w:pStyle w:val="47"/>
                    <w:rPr>
                      <w:szCs w:val="21"/>
                    </w:rPr>
                  </w:pPr>
                  <w:r>
                    <w:rPr>
                      <w:rFonts w:hint="eastAsia"/>
                      <w:szCs w:val="21"/>
                    </w:rPr>
                    <w:t>是</w:t>
                  </w:r>
                </w:p>
              </w:tc>
              <w:tc>
                <w:tcPr>
                  <w:tcW w:w="0" w:type="auto"/>
                  <w:vAlign w:val="center"/>
                </w:tcPr>
                <w:p>
                  <w:pPr>
                    <w:pStyle w:val="47"/>
                    <w:rPr>
                      <w:szCs w:val="21"/>
                    </w:rPr>
                  </w:pPr>
                  <w:r>
                    <w:rPr>
                      <w:rFonts w:hint="eastAsia"/>
                      <w:szCs w:val="21"/>
                    </w:rPr>
                    <w:t>是</w:t>
                  </w:r>
                </w:p>
              </w:tc>
              <w:tc>
                <w:tcPr>
                  <w:tcW w:w="1217" w:type="dxa"/>
                  <w:vAlign w:val="center"/>
                </w:tcPr>
                <w:p>
                  <w:pPr>
                    <w:pStyle w:val="47"/>
                    <w:rPr>
                      <w:szCs w:val="21"/>
                    </w:rPr>
                  </w:pPr>
                  <w:r>
                    <w:rPr>
                      <w:rFonts w:hint="eastAsia"/>
                      <w:szCs w:val="21"/>
                    </w:rPr>
                    <w:t>是</w:t>
                  </w:r>
                </w:p>
              </w:tc>
              <w:tc>
                <w:tcPr>
                  <w:tcW w:w="1217" w:type="dxa"/>
                  <w:vAlign w:val="center"/>
                </w:tcPr>
                <w:p>
                  <w:pPr>
                    <w:pStyle w:val="47"/>
                    <w:rPr>
                      <w:szCs w:val="21"/>
                    </w:rPr>
                  </w:pPr>
                  <w:r>
                    <w:rPr>
                      <w:rFonts w:hint="eastAsia"/>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restart"/>
                  <w:vAlign w:val="center"/>
                </w:tcPr>
                <w:p>
                  <w:pPr>
                    <w:pStyle w:val="46"/>
                  </w:pPr>
                  <w:r>
                    <w:rPr>
                      <w:rFonts w:hint="eastAsia"/>
                    </w:rPr>
                    <w:t>监测点位</w:t>
                  </w:r>
                </w:p>
              </w:tc>
              <w:tc>
                <w:tcPr>
                  <w:tcW w:w="0" w:type="auto"/>
                  <w:vMerge w:val="restart"/>
                  <w:vAlign w:val="center"/>
                </w:tcPr>
                <w:p>
                  <w:pPr>
                    <w:pStyle w:val="46"/>
                  </w:pPr>
                  <w:r>
                    <w:rPr>
                      <w:rFonts w:hint="eastAsia"/>
                    </w:rPr>
                    <w:t>监测时间</w:t>
                  </w:r>
                </w:p>
              </w:tc>
              <w:tc>
                <w:tcPr>
                  <w:tcW w:w="0" w:type="auto"/>
                  <w:vAlign w:val="center"/>
                </w:tcPr>
                <w:p>
                  <w:pPr>
                    <w:pStyle w:val="46"/>
                  </w:pPr>
                  <w:r>
                    <w:rPr>
                      <w:rFonts w:hint="eastAsia"/>
                    </w:rPr>
                    <w:t>砷</w:t>
                  </w:r>
                </w:p>
              </w:tc>
              <w:tc>
                <w:tcPr>
                  <w:tcW w:w="0" w:type="auto"/>
                  <w:vAlign w:val="center"/>
                </w:tcPr>
                <w:p>
                  <w:pPr>
                    <w:pStyle w:val="46"/>
                  </w:pPr>
                  <w:r>
                    <w:rPr>
                      <w:rFonts w:hint="eastAsia"/>
                    </w:rPr>
                    <w:t>镉</w:t>
                  </w:r>
                </w:p>
              </w:tc>
              <w:tc>
                <w:tcPr>
                  <w:tcW w:w="0" w:type="auto"/>
                  <w:vAlign w:val="center"/>
                </w:tcPr>
                <w:p>
                  <w:pPr>
                    <w:pStyle w:val="46"/>
                  </w:pPr>
                  <w:r>
                    <w:rPr>
                      <w:rFonts w:hint="eastAsia"/>
                    </w:rPr>
                    <w:t>六价铬</w:t>
                  </w:r>
                </w:p>
              </w:tc>
              <w:tc>
                <w:tcPr>
                  <w:tcW w:w="1217" w:type="dxa"/>
                  <w:vAlign w:val="center"/>
                </w:tcPr>
                <w:p>
                  <w:pPr>
                    <w:pStyle w:val="46"/>
                  </w:pPr>
                  <w:r>
                    <w:rPr>
                      <w:rFonts w:hint="eastAsia"/>
                    </w:rPr>
                    <w:t>铅</w:t>
                  </w:r>
                </w:p>
              </w:tc>
              <w:tc>
                <w:tcPr>
                  <w:tcW w:w="1217" w:type="dxa"/>
                  <w:vAlign w:val="center"/>
                </w:tcPr>
                <w:p>
                  <w:pPr>
                    <w:pStyle w:val="46"/>
                  </w:pPr>
                  <w:r>
                    <w:rPr>
                      <w:rFonts w:hint="eastAsia"/>
                    </w:rPr>
                    <w:t>氰化物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vAlign w:val="center"/>
                </w:tcPr>
                <w:p>
                  <w:pPr>
                    <w:pStyle w:val="46"/>
                  </w:pPr>
                </w:p>
              </w:tc>
              <w:tc>
                <w:tcPr>
                  <w:tcW w:w="0" w:type="auto"/>
                  <w:vMerge w:val="continue"/>
                  <w:vAlign w:val="center"/>
                </w:tcPr>
                <w:p>
                  <w:pPr>
                    <w:pStyle w:val="46"/>
                  </w:pPr>
                </w:p>
              </w:tc>
              <w:tc>
                <w:tcPr>
                  <w:tcW w:w="0" w:type="auto"/>
                  <w:vAlign w:val="center"/>
                </w:tcPr>
                <w:p>
                  <w:pPr>
                    <w:pStyle w:val="46"/>
                  </w:pPr>
                  <w:r>
                    <w:t>μg/L</w:t>
                  </w:r>
                </w:p>
              </w:tc>
              <w:tc>
                <w:tcPr>
                  <w:tcW w:w="0" w:type="auto"/>
                  <w:vAlign w:val="center"/>
                </w:tcPr>
                <w:p>
                  <w:pPr>
                    <w:pStyle w:val="46"/>
                  </w:pPr>
                  <w:r>
                    <w:t>μg/L</w:t>
                  </w:r>
                </w:p>
              </w:tc>
              <w:tc>
                <w:tcPr>
                  <w:tcW w:w="0" w:type="auto"/>
                  <w:vAlign w:val="center"/>
                </w:tcPr>
                <w:p>
                  <w:pPr>
                    <w:pStyle w:val="46"/>
                  </w:pPr>
                  <w:r>
                    <w:rPr>
                      <w:rFonts w:hint="eastAsia"/>
                    </w:rPr>
                    <w:t>mg/L</w:t>
                  </w:r>
                </w:p>
              </w:tc>
              <w:tc>
                <w:tcPr>
                  <w:tcW w:w="1217" w:type="dxa"/>
                  <w:vAlign w:val="center"/>
                </w:tcPr>
                <w:p>
                  <w:pPr>
                    <w:pStyle w:val="46"/>
                  </w:pPr>
                  <w:r>
                    <w:t>μg/L</w:t>
                  </w:r>
                </w:p>
              </w:tc>
              <w:tc>
                <w:tcPr>
                  <w:tcW w:w="1217" w:type="dxa"/>
                  <w:vAlign w:val="center"/>
                </w:tcPr>
                <w:p>
                  <w:pPr>
                    <w:pStyle w:val="46"/>
                  </w:pPr>
                  <w:r>
                    <w:rPr>
                      <w:rFonts w:hint="eastAsia"/>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restart"/>
                  <w:vAlign w:val="center"/>
                </w:tcPr>
                <w:p>
                  <w:pPr>
                    <w:pStyle w:val="47"/>
                    <w:rPr>
                      <w:szCs w:val="21"/>
                    </w:rPr>
                  </w:pPr>
                  <w:r>
                    <w:rPr>
                      <w:rFonts w:hint="eastAsia"/>
                      <w:szCs w:val="21"/>
                    </w:rPr>
                    <w:t>京杭古运河与店街塘港河道交汇处</w:t>
                  </w:r>
                </w:p>
              </w:tc>
              <w:tc>
                <w:tcPr>
                  <w:tcW w:w="0" w:type="auto"/>
                  <w:vAlign w:val="center"/>
                </w:tcPr>
                <w:p>
                  <w:pPr>
                    <w:pStyle w:val="47"/>
                    <w:rPr>
                      <w:szCs w:val="21"/>
                    </w:rPr>
                  </w:pPr>
                  <w:r>
                    <w:rPr>
                      <w:rFonts w:hint="eastAsia"/>
                      <w:szCs w:val="21"/>
                    </w:rPr>
                    <w:t>2019.09.23</w:t>
                  </w:r>
                </w:p>
              </w:tc>
              <w:tc>
                <w:tcPr>
                  <w:tcW w:w="0" w:type="auto"/>
                  <w:vAlign w:val="center"/>
                </w:tcPr>
                <w:p>
                  <w:pPr>
                    <w:pStyle w:val="47"/>
                    <w:rPr>
                      <w:szCs w:val="21"/>
                    </w:rPr>
                  </w:pPr>
                  <w:r>
                    <w:rPr>
                      <w:rFonts w:hint="eastAsia"/>
                      <w:szCs w:val="21"/>
                    </w:rPr>
                    <w:t>3.0</w:t>
                  </w:r>
                </w:p>
              </w:tc>
              <w:tc>
                <w:tcPr>
                  <w:tcW w:w="0" w:type="auto"/>
                  <w:vAlign w:val="center"/>
                </w:tcPr>
                <w:p>
                  <w:pPr>
                    <w:pStyle w:val="47"/>
                    <w:rPr>
                      <w:szCs w:val="21"/>
                    </w:rPr>
                  </w:pPr>
                  <w:r>
                    <w:rPr>
                      <w:rFonts w:hint="eastAsia"/>
                      <w:szCs w:val="21"/>
                    </w:rPr>
                    <w:t>ND（0.03）</w:t>
                  </w:r>
                </w:p>
              </w:tc>
              <w:tc>
                <w:tcPr>
                  <w:tcW w:w="0" w:type="auto"/>
                  <w:vAlign w:val="center"/>
                </w:tcPr>
                <w:p>
                  <w:pPr>
                    <w:pStyle w:val="47"/>
                    <w:rPr>
                      <w:szCs w:val="21"/>
                    </w:rPr>
                  </w:pPr>
                  <w:r>
                    <w:rPr>
                      <w:rFonts w:hint="eastAsia"/>
                      <w:szCs w:val="21"/>
                    </w:rPr>
                    <w:t>0.005</w:t>
                  </w:r>
                </w:p>
              </w:tc>
              <w:tc>
                <w:tcPr>
                  <w:tcW w:w="1217" w:type="dxa"/>
                  <w:vAlign w:val="center"/>
                </w:tcPr>
                <w:p>
                  <w:pPr>
                    <w:pStyle w:val="47"/>
                    <w:rPr>
                      <w:szCs w:val="21"/>
                    </w:rPr>
                  </w:pPr>
                  <w:r>
                    <w:rPr>
                      <w:rFonts w:hint="eastAsia"/>
                      <w:szCs w:val="21"/>
                    </w:rPr>
                    <w:t>ND（0.3）</w:t>
                  </w:r>
                </w:p>
              </w:tc>
              <w:tc>
                <w:tcPr>
                  <w:tcW w:w="1217" w:type="dxa"/>
                  <w:vAlign w:val="center"/>
                </w:tcPr>
                <w:p>
                  <w:pPr>
                    <w:pStyle w:val="47"/>
                    <w:rPr>
                      <w:szCs w:val="21"/>
                    </w:rPr>
                  </w:pPr>
                  <w:r>
                    <w:rPr>
                      <w:rFonts w:hint="eastAsia"/>
                      <w:szCs w:val="21"/>
                    </w:rPr>
                    <w:t>ND（0.004）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vAlign w:val="center"/>
                </w:tcPr>
                <w:p>
                  <w:pPr>
                    <w:pStyle w:val="47"/>
                    <w:rPr>
                      <w:szCs w:val="21"/>
                    </w:rPr>
                  </w:pPr>
                </w:p>
              </w:tc>
              <w:tc>
                <w:tcPr>
                  <w:tcW w:w="0" w:type="auto"/>
                  <w:vAlign w:val="center"/>
                </w:tcPr>
                <w:p>
                  <w:pPr>
                    <w:pStyle w:val="47"/>
                    <w:rPr>
                      <w:szCs w:val="21"/>
                    </w:rPr>
                  </w:pPr>
                  <w:r>
                    <w:rPr>
                      <w:rFonts w:hint="eastAsia"/>
                      <w:szCs w:val="21"/>
                    </w:rPr>
                    <w:t>2019.09.24</w:t>
                  </w:r>
                </w:p>
              </w:tc>
              <w:tc>
                <w:tcPr>
                  <w:tcW w:w="0" w:type="auto"/>
                  <w:vAlign w:val="center"/>
                </w:tcPr>
                <w:p>
                  <w:pPr>
                    <w:pStyle w:val="47"/>
                    <w:rPr>
                      <w:szCs w:val="21"/>
                    </w:rPr>
                  </w:pPr>
                  <w:r>
                    <w:rPr>
                      <w:rFonts w:hint="eastAsia"/>
                      <w:szCs w:val="21"/>
                    </w:rPr>
                    <w:t>3.0</w:t>
                  </w:r>
                </w:p>
              </w:tc>
              <w:tc>
                <w:tcPr>
                  <w:tcW w:w="0" w:type="auto"/>
                  <w:vAlign w:val="center"/>
                </w:tcPr>
                <w:p>
                  <w:pPr>
                    <w:pStyle w:val="47"/>
                    <w:rPr>
                      <w:szCs w:val="21"/>
                    </w:rPr>
                  </w:pPr>
                  <w:r>
                    <w:rPr>
                      <w:rFonts w:hint="eastAsia"/>
                      <w:szCs w:val="21"/>
                    </w:rPr>
                    <w:t>ND（0.03）</w:t>
                  </w:r>
                </w:p>
              </w:tc>
              <w:tc>
                <w:tcPr>
                  <w:tcW w:w="0" w:type="auto"/>
                  <w:vAlign w:val="center"/>
                </w:tcPr>
                <w:p>
                  <w:pPr>
                    <w:pStyle w:val="47"/>
                    <w:rPr>
                      <w:szCs w:val="21"/>
                    </w:rPr>
                  </w:pPr>
                  <w:r>
                    <w:rPr>
                      <w:rFonts w:hint="eastAsia"/>
                      <w:szCs w:val="21"/>
                    </w:rPr>
                    <w:t>ND（0.004）</w:t>
                  </w:r>
                </w:p>
              </w:tc>
              <w:tc>
                <w:tcPr>
                  <w:tcW w:w="1217" w:type="dxa"/>
                  <w:vAlign w:val="center"/>
                </w:tcPr>
                <w:p>
                  <w:pPr>
                    <w:pStyle w:val="47"/>
                    <w:rPr>
                      <w:szCs w:val="21"/>
                    </w:rPr>
                  </w:pPr>
                  <w:r>
                    <w:rPr>
                      <w:rFonts w:hint="eastAsia"/>
                      <w:szCs w:val="21"/>
                    </w:rPr>
                    <w:t>ND（0.3）</w:t>
                  </w:r>
                </w:p>
              </w:tc>
              <w:tc>
                <w:tcPr>
                  <w:tcW w:w="1217" w:type="dxa"/>
                  <w:vAlign w:val="center"/>
                </w:tcPr>
                <w:p>
                  <w:pPr>
                    <w:pStyle w:val="47"/>
                    <w:rPr>
                      <w:szCs w:val="21"/>
                    </w:rPr>
                  </w:pPr>
                  <w:r>
                    <w:rPr>
                      <w:rFonts w:hint="eastAsia"/>
                      <w:szCs w:val="21"/>
                    </w:rPr>
                    <w:t>ND（0.004）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vAlign w:val="center"/>
                </w:tcPr>
                <w:p>
                  <w:pPr>
                    <w:pStyle w:val="47"/>
                    <w:rPr>
                      <w:szCs w:val="21"/>
                    </w:rPr>
                  </w:pPr>
                </w:p>
              </w:tc>
              <w:tc>
                <w:tcPr>
                  <w:tcW w:w="0" w:type="auto"/>
                  <w:vAlign w:val="center"/>
                </w:tcPr>
                <w:p>
                  <w:pPr>
                    <w:pStyle w:val="47"/>
                    <w:rPr>
                      <w:szCs w:val="21"/>
                    </w:rPr>
                  </w:pPr>
                  <w:r>
                    <w:rPr>
                      <w:rFonts w:hint="eastAsia"/>
                      <w:szCs w:val="21"/>
                    </w:rPr>
                    <w:t>2019.09.25</w:t>
                  </w:r>
                </w:p>
              </w:tc>
              <w:tc>
                <w:tcPr>
                  <w:tcW w:w="0" w:type="auto"/>
                  <w:vAlign w:val="center"/>
                </w:tcPr>
                <w:p>
                  <w:pPr>
                    <w:pStyle w:val="47"/>
                    <w:rPr>
                      <w:szCs w:val="21"/>
                    </w:rPr>
                  </w:pPr>
                  <w:r>
                    <w:rPr>
                      <w:rFonts w:hint="eastAsia"/>
                      <w:szCs w:val="21"/>
                    </w:rPr>
                    <w:t>2.4</w:t>
                  </w:r>
                </w:p>
              </w:tc>
              <w:tc>
                <w:tcPr>
                  <w:tcW w:w="0" w:type="auto"/>
                  <w:vAlign w:val="center"/>
                </w:tcPr>
                <w:p>
                  <w:pPr>
                    <w:pStyle w:val="47"/>
                    <w:rPr>
                      <w:szCs w:val="21"/>
                    </w:rPr>
                  </w:pPr>
                  <w:r>
                    <w:rPr>
                      <w:rFonts w:hint="eastAsia"/>
                      <w:szCs w:val="21"/>
                    </w:rPr>
                    <w:t>ND（0.03）</w:t>
                  </w:r>
                </w:p>
              </w:tc>
              <w:tc>
                <w:tcPr>
                  <w:tcW w:w="0" w:type="auto"/>
                  <w:vAlign w:val="center"/>
                </w:tcPr>
                <w:p>
                  <w:pPr>
                    <w:pStyle w:val="47"/>
                    <w:rPr>
                      <w:szCs w:val="21"/>
                    </w:rPr>
                  </w:pPr>
                  <w:r>
                    <w:rPr>
                      <w:rFonts w:hint="eastAsia"/>
                      <w:szCs w:val="21"/>
                    </w:rPr>
                    <w:t>0.006</w:t>
                  </w:r>
                </w:p>
              </w:tc>
              <w:tc>
                <w:tcPr>
                  <w:tcW w:w="1217" w:type="dxa"/>
                  <w:vAlign w:val="center"/>
                </w:tcPr>
                <w:p>
                  <w:pPr>
                    <w:pStyle w:val="47"/>
                    <w:rPr>
                      <w:szCs w:val="21"/>
                    </w:rPr>
                  </w:pPr>
                  <w:r>
                    <w:rPr>
                      <w:rFonts w:hint="eastAsia"/>
                      <w:szCs w:val="21"/>
                    </w:rPr>
                    <w:t>ND（0.3）</w:t>
                  </w:r>
                </w:p>
              </w:tc>
              <w:tc>
                <w:tcPr>
                  <w:tcW w:w="1217" w:type="dxa"/>
                  <w:vAlign w:val="center"/>
                </w:tcPr>
                <w:p>
                  <w:pPr>
                    <w:pStyle w:val="47"/>
                    <w:rPr>
                      <w:szCs w:val="21"/>
                    </w:rPr>
                  </w:pPr>
                  <w:r>
                    <w:rPr>
                      <w:rFonts w:hint="eastAsia"/>
                      <w:szCs w:val="21"/>
                    </w:rPr>
                    <w:t>ND（0.004）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vAlign w:val="center"/>
                </w:tcPr>
                <w:p>
                  <w:pPr>
                    <w:pStyle w:val="47"/>
                    <w:rPr>
                      <w:szCs w:val="21"/>
                    </w:rPr>
                  </w:pPr>
                </w:p>
              </w:tc>
              <w:tc>
                <w:tcPr>
                  <w:tcW w:w="0" w:type="auto"/>
                  <w:vAlign w:val="center"/>
                </w:tcPr>
                <w:p>
                  <w:pPr>
                    <w:pStyle w:val="47"/>
                    <w:rPr>
                      <w:szCs w:val="21"/>
                    </w:rPr>
                  </w:pPr>
                  <w:r>
                    <w:rPr>
                      <w:szCs w:val="21"/>
                    </w:rPr>
                    <w:t>III类</w:t>
                  </w:r>
                  <w:r>
                    <w:rPr>
                      <w:rFonts w:hint="eastAsia"/>
                      <w:szCs w:val="21"/>
                    </w:rPr>
                    <w:t>限值</w:t>
                  </w:r>
                </w:p>
              </w:tc>
              <w:tc>
                <w:tcPr>
                  <w:tcW w:w="0" w:type="auto"/>
                  <w:vAlign w:val="center"/>
                </w:tcPr>
                <w:p>
                  <w:pPr>
                    <w:pStyle w:val="47"/>
                    <w:rPr>
                      <w:szCs w:val="21"/>
                    </w:rPr>
                  </w:pPr>
                  <w:r>
                    <w:rPr>
                      <w:rFonts w:hint="eastAsia"/>
                      <w:szCs w:val="21"/>
                    </w:rPr>
                    <w:t>50</w:t>
                  </w:r>
                </w:p>
              </w:tc>
              <w:tc>
                <w:tcPr>
                  <w:tcW w:w="0" w:type="auto"/>
                  <w:vAlign w:val="center"/>
                </w:tcPr>
                <w:p>
                  <w:pPr>
                    <w:pStyle w:val="47"/>
                    <w:rPr>
                      <w:szCs w:val="21"/>
                    </w:rPr>
                  </w:pPr>
                  <w:r>
                    <w:rPr>
                      <w:rFonts w:hint="eastAsia"/>
                      <w:szCs w:val="21"/>
                    </w:rPr>
                    <w:t>5</w:t>
                  </w:r>
                </w:p>
              </w:tc>
              <w:tc>
                <w:tcPr>
                  <w:tcW w:w="0" w:type="auto"/>
                  <w:vAlign w:val="center"/>
                </w:tcPr>
                <w:p>
                  <w:pPr>
                    <w:pStyle w:val="47"/>
                    <w:rPr>
                      <w:szCs w:val="21"/>
                    </w:rPr>
                  </w:pPr>
                  <w:r>
                    <w:rPr>
                      <w:rFonts w:hint="eastAsia"/>
                      <w:szCs w:val="21"/>
                    </w:rPr>
                    <w:t>0.05</w:t>
                  </w:r>
                </w:p>
              </w:tc>
              <w:tc>
                <w:tcPr>
                  <w:tcW w:w="1217" w:type="dxa"/>
                  <w:vAlign w:val="center"/>
                </w:tcPr>
                <w:p>
                  <w:pPr>
                    <w:pStyle w:val="47"/>
                    <w:rPr>
                      <w:szCs w:val="21"/>
                    </w:rPr>
                  </w:pPr>
                  <w:r>
                    <w:rPr>
                      <w:rFonts w:hint="eastAsia"/>
                      <w:szCs w:val="21"/>
                    </w:rPr>
                    <w:t>0.05</w:t>
                  </w:r>
                </w:p>
              </w:tc>
              <w:tc>
                <w:tcPr>
                  <w:tcW w:w="1217" w:type="dxa"/>
                  <w:vAlign w:val="center"/>
                </w:tcPr>
                <w:p>
                  <w:pPr>
                    <w:pStyle w:val="47"/>
                    <w:rPr>
                      <w:szCs w:val="21"/>
                    </w:rPr>
                  </w:pPr>
                  <w:r>
                    <w:rPr>
                      <w:rFonts w:hint="eastAsia"/>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vAlign w:val="center"/>
                </w:tcPr>
                <w:p>
                  <w:pPr>
                    <w:pStyle w:val="47"/>
                    <w:rPr>
                      <w:szCs w:val="21"/>
                    </w:rPr>
                  </w:pPr>
                </w:p>
              </w:tc>
              <w:tc>
                <w:tcPr>
                  <w:tcW w:w="0" w:type="auto"/>
                  <w:vAlign w:val="center"/>
                </w:tcPr>
                <w:p>
                  <w:pPr>
                    <w:pStyle w:val="47"/>
                    <w:rPr>
                      <w:szCs w:val="21"/>
                    </w:rPr>
                  </w:pPr>
                  <w:r>
                    <w:rPr>
                      <w:rFonts w:hint="eastAsia"/>
                      <w:szCs w:val="21"/>
                    </w:rPr>
                    <w:t>是否达标</w:t>
                  </w:r>
                </w:p>
              </w:tc>
              <w:tc>
                <w:tcPr>
                  <w:tcW w:w="0" w:type="auto"/>
                  <w:vAlign w:val="center"/>
                </w:tcPr>
                <w:p>
                  <w:pPr>
                    <w:pStyle w:val="47"/>
                    <w:rPr>
                      <w:szCs w:val="21"/>
                    </w:rPr>
                  </w:pPr>
                  <w:r>
                    <w:rPr>
                      <w:rFonts w:hint="eastAsia"/>
                      <w:szCs w:val="21"/>
                    </w:rPr>
                    <w:t>是</w:t>
                  </w:r>
                </w:p>
              </w:tc>
              <w:tc>
                <w:tcPr>
                  <w:tcW w:w="0" w:type="auto"/>
                  <w:vAlign w:val="center"/>
                </w:tcPr>
                <w:p>
                  <w:pPr>
                    <w:pStyle w:val="47"/>
                    <w:rPr>
                      <w:szCs w:val="21"/>
                    </w:rPr>
                  </w:pPr>
                  <w:r>
                    <w:rPr>
                      <w:rFonts w:hint="eastAsia"/>
                      <w:szCs w:val="21"/>
                    </w:rPr>
                    <w:t>是</w:t>
                  </w:r>
                </w:p>
              </w:tc>
              <w:tc>
                <w:tcPr>
                  <w:tcW w:w="0" w:type="auto"/>
                  <w:vAlign w:val="center"/>
                </w:tcPr>
                <w:p>
                  <w:pPr>
                    <w:pStyle w:val="47"/>
                    <w:rPr>
                      <w:szCs w:val="21"/>
                    </w:rPr>
                  </w:pPr>
                  <w:r>
                    <w:rPr>
                      <w:rFonts w:hint="eastAsia"/>
                      <w:szCs w:val="21"/>
                    </w:rPr>
                    <w:t>是</w:t>
                  </w:r>
                </w:p>
              </w:tc>
              <w:tc>
                <w:tcPr>
                  <w:tcW w:w="1217" w:type="dxa"/>
                  <w:vAlign w:val="center"/>
                </w:tcPr>
                <w:p>
                  <w:pPr>
                    <w:pStyle w:val="47"/>
                    <w:rPr>
                      <w:szCs w:val="21"/>
                    </w:rPr>
                  </w:pPr>
                  <w:r>
                    <w:rPr>
                      <w:rFonts w:hint="eastAsia"/>
                      <w:szCs w:val="21"/>
                    </w:rPr>
                    <w:t>是</w:t>
                  </w:r>
                </w:p>
              </w:tc>
              <w:tc>
                <w:tcPr>
                  <w:tcW w:w="1217" w:type="dxa"/>
                  <w:vAlign w:val="center"/>
                </w:tcPr>
                <w:p>
                  <w:pPr>
                    <w:pStyle w:val="47"/>
                    <w:rPr>
                      <w:szCs w:val="21"/>
                    </w:rPr>
                  </w:pPr>
                  <w:r>
                    <w:rPr>
                      <w:rFonts w:hint="eastAsia"/>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restart"/>
                  <w:vAlign w:val="center"/>
                </w:tcPr>
                <w:p>
                  <w:pPr>
                    <w:pStyle w:val="46"/>
                  </w:pPr>
                  <w:r>
                    <w:rPr>
                      <w:rFonts w:hint="eastAsia"/>
                    </w:rPr>
                    <w:t>监测点位</w:t>
                  </w:r>
                </w:p>
              </w:tc>
              <w:tc>
                <w:tcPr>
                  <w:tcW w:w="0" w:type="auto"/>
                  <w:vMerge w:val="restart"/>
                  <w:vAlign w:val="center"/>
                </w:tcPr>
                <w:p>
                  <w:pPr>
                    <w:pStyle w:val="46"/>
                  </w:pPr>
                  <w:r>
                    <w:rPr>
                      <w:rFonts w:hint="eastAsia"/>
                    </w:rPr>
                    <w:t>监测时间</w:t>
                  </w:r>
                </w:p>
              </w:tc>
              <w:tc>
                <w:tcPr>
                  <w:tcW w:w="0" w:type="auto"/>
                  <w:vAlign w:val="center"/>
                </w:tcPr>
                <w:p>
                  <w:pPr>
                    <w:pStyle w:val="46"/>
                  </w:pPr>
                  <w:r>
                    <w:rPr>
                      <w:rFonts w:hint="eastAsia"/>
                    </w:rPr>
                    <w:t>挥发酚</w:t>
                  </w:r>
                </w:p>
              </w:tc>
              <w:tc>
                <w:tcPr>
                  <w:tcW w:w="0" w:type="auto"/>
                  <w:vAlign w:val="center"/>
                </w:tcPr>
                <w:p>
                  <w:pPr>
                    <w:pStyle w:val="46"/>
                  </w:pPr>
                  <w:r>
                    <w:rPr>
                      <w:rFonts w:hint="eastAsia"/>
                    </w:rPr>
                    <w:t>石油类</w:t>
                  </w:r>
                </w:p>
              </w:tc>
              <w:tc>
                <w:tcPr>
                  <w:tcW w:w="0" w:type="auto"/>
                  <w:vAlign w:val="center"/>
                </w:tcPr>
                <w:p>
                  <w:pPr>
                    <w:pStyle w:val="46"/>
                  </w:pPr>
                  <w:r>
                    <w:rPr>
                      <w:rFonts w:hint="eastAsia"/>
                    </w:rPr>
                    <w:t>LAS</w:t>
                  </w:r>
                </w:p>
              </w:tc>
              <w:tc>
                <w:tcPr>
                  <w:tcW w:w="1217" w:type="dxa"/>
                  <w:vAlign w:val="center"/>
                </w:tcPr>
                <w:p>
                  <w:pPr>
                    <w:pStyle w:val="46"/>
                  </w:pPr>
                  <w:r>
                    <w:rPr>
                      <w:rFonts w:hint="eastAsia"/>
                    </w:rPr>
                    <w:t>硫化物</w:t>
                  </w:r>
                </w:p>
              </w:tc>
              <w:tc>
                <w:tcPr>
                  <w:tcW w:w="1217" w:type="dxa"/>
                  <w:vAlign w:val="center"/>
                </w:tcPr>
                <w:p>
                  <w:pPr>
                    <w:pStyle w:val="46"/>
                  </w:pPr>
                  <w:r>
                    <w:rPr>
                      <w:rFonts w:hint="eastAsia"/>
                    </w:rPr>
                    <w:t>粪大肠菌群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vAlign w:val="center"/>
                </w:tcPr>
                <w:p>
                  <w:pPr>
                    <w:pStyle w:val="46"/>
                  </w:pPr>
                </w:p>
              </w:tc>
              <w:tc>
                <w:tcPr>
                  <w:tcW w:w="0" w:type="auto"/>
                  <w:vMerge w:val="continue"/>
                  <w:vAlign w:val="center"/>
                </w:tcPr>
                <w:p>
                  <w:pPr>
                    <w:pStyle w:val="46"/>
                  </w:pPr>
                </w:p>
              </w:tc>
              <w:tc>
                <w:tcPr>
                  <w:tcW w:w="0" w:type="auto"/>
                  <w:vAlign w:val="center"/>
                </w:tcPr>
                <w:p>
                  <w:pPr>
                    <w:pStyle w:val="46"/>
                  </w:pPr>
                  <w:r>
                    <w:rPr>
                      <w:rFonts w:hint="eastAsia"/>
                    </w:rPr>
                    <w:t>mg/L</w:t>
                  </w:r>
                </w:p>
              </w:tc>
              <w:tc>
                <w:tcPr>
                  <w:tcW w:w="0" w:type="auto"/>
                  <w:vAlign w:val="center"/>
                </w:tcPr>
                <w:p>
                  <w:pPr>
                    <w:pStyle w:val="46"/>
                  </w:pPr>
                  <w:r>
                    <w:rPr>
                      <w:rFonts w:hint="eastAsia"/>
                    </w:rPr>
                    <w:t>mg/L</w:t>
                  </w:r>
                </w:p>
              </w:tc>
              <w:tc>
                <w:tcPr>
                  <w:tcW w:w="0" w:type="auto"/>
                  <w:vAlign w:val="center"/>
                </w:tcPr>
                <w:p>
                  <w:pPr>
                    <w:pStyle w:val="46"/>
                  </w:pPr>
                  <w:r>
                    <w:rPr>
                      <w:rFonts w:hint="eastAsia"/>
                    </w:rPr>
                    <w:t>mg/L</w:t>
                  </w:r>
                </w:p>
              </w:tc>
              <w:tc>
                <w:tcPr>
                  <w:tcW w:w="1217" w:type="dxa"/>
                  <w:vAlign w:val="center"/>
                </w:tcPr>
                <w:p>
                  <w:pPr>
                    <w:pStyle w:val="46"/>
                  </w:pPr>
                  <w:r>
                    <w:rPr>
                      <w:rFonts w:hint="eastAsia"/>
                    </w:rPr>
                    <w:t>mg/L</w:t>
                  </w:r>
                </w:p>
              </w:tc>
              <w:tc>
                <w:tcPr>
                  <w:tcW w:w="1217" w:type="dxa"/>
                  <w:vAlign w:val="center"/>
                </w:tcPr>
                <w:p>
                  <w:pPr>
                    <w:pStyle w:val="46"/>
                  </w:pPr>
                  <w:r>
                    <w:rPr>
                      <w:rFonts w:hint="eastAsia"/>
                    </w:rPr>
                    <w:t>MPN/L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restart"/>
                  <w:vAlign w:val="center"/>
                </w:tcPr>
                <w:p>
                  <w:pPr>
                    <w:pStyle w:val="47"/>
                    <w:rPr>
                      <w:szCs w:val="21"/>
                    </w:rPr>
                  </w:pPr>
                  <w:r>
                    <w:rPr>
                      <w:rFonts w:hint="eastAsia"/>
                      <w:szCs w:val="21"/>
                    </w:rPr>
                    <w:t>京杭古运河与店街塘港河道交汇处</w:t>
                  </w:r>
                </w:p>
              </w:tc>
              <w:tc>
                <w:tcPr>
                  <w:tcW w:w="0" w:type="auto"/>
                  <w:vAlign w:val="center"/>
                </w:tcPr>
                <w:p>
                  <w:pPr>
                    <w:pStyle w:val="47"/>
                    <w:rPr>
                      <w:szCs w:val="21"/>
                    </w:rPr>
                  </w:pPr>
                  <w:r>
                    <w:rPr>
                      <w:rFonts w:hint="eastAsia"/>
                      <w:szCs w:val="21"/>
                    </w:rPr>
                    <w:t>2019.09.23</w:t>
                  </w:r>
                </w:p>
              </w:tc>
              <w:tc>
                <w:tcPr>
                  <w:tcW w:w="0" w:type="auto"/>
                  <w:vAlign w:val="center"/>
                </w:tcPr>
                <w:p>
                  <w:pPr>
                    <w:pStyle w:val="47"/>
                    <w:rPr>
                      <w:szCs w:val="21"/>
                    </w:rPr>
                  </w:pPr>
                  <w:r>
                    <w:rPr>
                      <w:rFonts w:hint="eastAsia"/>
                      <w:szCs w:val="21"/>
                    </w:rPr>
                    <w:t>ND（0.0003）</w:t>
                  </w:r>
                </w:p>
              </w:tc>
              <w:tc>
                <w:tcPr>
                  <w:tcW w:w="0" w:type="auto"/>
                  <w:vAlign w:val="center"/>
                </w:tcPr>
                <w:p>
                  <w:pPr>
                    <w:pStyle w:val="47"/>
                    <w:rPr>
                      <w:szCs w:val="21"/>
                    </w:rPr>
                  </w:pPr>
                  <w:r>
                    <w:rPr>
                      <w:rFonts w:hint="eastAsia"/>
                      <w:szCs w:val="21"/>
                    </w:rPr>
                    <w:t>0.04</w:t>
                  </w:r>
                </w:p>
              </w:tc>
              <w:tc>
                <w:tcPr>
                  <w:tcW w:w="0" w:type="auto"/>
                  <w:vAlign w:val="center"/>
                </w:tcPr>
                <w:p>
                  <w:pPr>
                    <w:pStyle w:val="47"/>
                    <w:rPr>
                      <w:szCs w:val="21"/>
                    </w:rPr>
                  </w:pPr>
                  <w:r>
                    <w:rPr>
                      <w:rFonts w:hint="eastAsia"/>
                      <w:szCs w:val="21"/>
                    </w:rPr>
                    <w:t>ND（0.05）</w:t>
                  </w:r>
                </w:p>
              </w:tc>
              <w:tc>
                <w:tcPr>
                  <w:tcW w:w="1217" w:type="dxa"/>
                  <w:vAlign w:val="center"/>
                </w:tcPr>
                <w:p>
                  <w:pPr>
                    <w:pStyle w:val="47"/>
                    <w:rPr>
                      <w:szCs w:val="21"/>
                    </w:rPr>
                  </w:pPr>
                  <w:r>
                    <w:rPr>
                      <w:rFonts w:hint="eastAsia"/>
                      <w:szCs w:val="21"/>
                    </w:rPr>
                    <w:t>ND（0.005）</w:t>
                  </w:r>
                </w:p>
              </w:tc>
              <w:tc>
                <w:tcPr>
                  <w:tcW w:w="1217" w:type="dxa"/>
                  <w:vAlign w:val="center"/>
                </w:tcPr>
                <w:p>
                  <w:pPr>
                    <w:pStyle w:val="47"/>
                    <w:rPr>
                      <w:szCs w:val="21"/>
                    </w:rPr>
                  </w:pPr>
                  <w:r>
                    <w:rPr>
                      <w:rFonts w:hint="eastAsia"/>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vAlign w:val="center"/>
                </w:tcPr>
                <w:p>
                  <w:pPr>
                    <w:pStyle w:val="47"/>
                    <w:rPr>
                      <w:szCs w:val="21"/>
                    </w:rPr>
                  </w:pPr>
                </w:p>
              </w:tc>
              <w:tc>
                <w:tcPr>
                  <w:tcW w:w="0" w:type="auto"/>
                  <w:vAlign w:val="center"/>
                </w:tcPr>
                <w:p>
                  <w:pPr>
                    <w:pStyle w:val="47"/>
                    <w:rPr>
                      <w:szCs w:val="21"/>
                    </w:rPr>
                  </w:pPr>
                  <w:r>
                    <w:rPr>
                      <w:rFonts w:hint="eastAsia"/>
                      <w:szCs w:val="21"/>
                    </w:rPr>
                    <w:t>2019.09.24</w:t>
                  </w:r>
                </w:p>
              </w:tc>
              <w:tc>
                <w:tcPr>
                  <w:tcW w:w="0" w:type="auto"/>
                  <w:vAlign w:val="center"/>
                </w:tcPr>
                <w:p>
                  <w:pPr>
                    <w:pStyle w:val="47"/>
                    <w:rPr>
                      <w:szCs w:val="21"/>
                    </w:rPr>
                  </w:pPr>
                  <w:r>
                    <w:rPr>
                      <w:rFonts w:hint="eastAsia"/>
                      <w:szCs w:val="21"/>
                    </w:rPr>
                    <w:t>ND（0.0003）</w:t>
                  </w:r>
                </w:p>
              </w:tc>
              <w:tc>
                <w:tcPr>
                  <w:tcW w:w="0" w:type="auto"/>
                  <w:vAlign w:val="center"/>
                </w:tcPr>
                <w:p>
                  <w:pPr>
                    <w:pStyle w:val="47"/>
                    <w:rPr>
                      <w:szCs w:val="21"/>
                    </w:rPr>
                  </w:pPr>
                  <w:r>
                    <w:rPr>
                      <w:rFonts w:hint="eastAsia"/>
                      <w:szCs w:val="21"/>
                    </w:rPr>
                    <w:t>0.05</w:t>
                  </w:r>
                </w:p>
              </w:tc>
              <w:tc>
                <w:tcPr>
                  <w:tcW w:w="0" w:type="auto"/>
                  <w:vAlign w:val="center"/>
                </w:tcPr>
                <w:p>
                  <w:pPr>
                    <w:pStyle w:val="47"/>
                    <w:rPr>
                      <w:szCs w:val="21"/>
                    </w:rPr>
                  </w:pPr>
                  <w:r>
                    <w:rPr>
                      <w:rFonts w:hint="eastAsia"/>
                      <w:szCs w:val="21"/>
                    </w:rPr>
                    <w:t>ND（0.05）</w:t>
                  </w:r>
                </w:p>
              </w:tc>
              <w:tc>
                <w:tcPr>
                  <w:tcW w:w="1217" w:type="dxa"/>
                  <w:vAlign w:val="center"/>
                </w:tcPr>
                <w:p>
                  <w:pPr>
                    <w:pStyle w:val="47"/>
                    <w:rPr>
                      <w:szCs w:val="21"/>
                    </w:rPr>
                  </w:pPr>
                  <w:r>
                    <w:rPr>
                      <w:rFonts w:hint="eastAsia"/>
                      <w:szCs w:val="21"/>
                    </w:rPr>
                    <w:t>ND（0.005）</w:t>
                  </w:r>
                </w:p>
              </w:tc>
              <w:tc>
                <w:tcPr>
                  <w:tcW w:w="1217" w:type="dxa"/>
                  <w:vAlign w:val="center"/>
                </w:tcPr>
                <w:p>
                  <w:pPr>
                    <w:pStyle w:val="47"/>
                    <w:rPr>
                      <w:szCs w:val="21"/>
                    </w:rPr>
                  </w:pPr>
                  <w:r>
                    <w:rPr>
                      <w:rFonts w:hint="eastAsia"/>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vAlign w:val="center"/>
                </w:tcPr>
                <w:p>
                  <w:pPr>
                    <w:pStyle w:val="47"/>
                    <w:rPr>
                      <w:szCs w:val="21"/>
                    </w:rPr>
                  </w:pPr>
                </w:p>
              </w:tc>
              <w:tc>
                <w:tcPr>
                  <w:tcW w:w="0" w:type="auto"/>
                  <w:vAlign w:val="center"/>
                </w:tcPr>
                <w:p>
                  <w:pPr>
                    <w:pStyle w:val="47"/>
                    <w:rPr>
                      <w:szCs w:val="21"/>
                    </w:rPr>
                  </w:pPr>
                  <w:r>
                    <w:rPr>
                      <w:rFonts w:hint="eastAsia"/>
                      <w:szCs w:val="21"/>
                    </w:rPr>
                    <w:t>2019.09.25</w:t>
                  </w:r>
                </w:p>
              </w:tc>
              <w:tc>
                <w:tcPr>
                  <w:tcW w:w="0" w:type="auto"/>
                  <w:vAlign w:val="center"/>
                </w:tcPr>
                <w:p>
                  <w:pPr>
                    <w:pStyle w:val="47"/>
                    <w:rPr>
                      <w:szCs w:val="21"/>
                    </w:rPr>
                  </w:pPr>
                  <w:r>
                    <w:rPr>
                      <w:rFonts w:hint="eastAsia"/>
                      <w:szCs w:val="21"/>
                    </w:rPr>
                    <w:t>ND（0.0003）</w:t>
                  </w:r>
                </w:p>
              </w:tc>
              <w:tc>
                <w:tcPr>
                  <w:tcW w:w="0" w:type="auto"/>
                  <w:vAlign w:val="center"/>
                </w:tcPr>
                <w:p>
                  <w:pPr>
                    <w:pStyle w:val="47"/>
                    <w:rPr>
                      <w:szCs w:val="21"/>
                    </w:rPr>
                  </w:pPr>
                  <w:r>
                    <w:rPr>
                      <w:rFonts w:hint="eastAsia"/>
                      <w:szCs w:val="21"/>
                    </w:rPr>
                    <w:t>0.03</w:t>
                  </w:r>
                </w:p>
              </w:tc>
              <w:tc>
                <w:tcPr>
                  <w:tcW w:w="0" w:type="auto"/>
                  <w:vAlign w:val="center"/>
                </w:tcPr>
                <w:p>
                  <w:pPr>
                    <w:pStyle w:val="47"/>
                    <w:rPr>
                      <w:szCs w:val="21"/>
                    </w:rPr>
                  </w:pPr>
                  <w:r>
                    <w:rPr>
                      <w:rFonts w:hint="eastAsia"/>
                      <w:szCs w:val="21"/>
                    </w:rPr>
                    <w:t>ND（0.05）</w:t>
                  </w:r>
                </w:p>
              </w:tc>
              <w:tc>
                <w:tcPr>
                  <w:tcW w:w="1217" w:type="dxa"/>
                  <w:vAlign w:val="center"/>
                </w:tcPr>
                <w:p>
                  <w:pPr>
                    <w:pStyle w:val="47"/>
                    <w:rPr>
                      <w:szCs w:val="21"/>
                    </w:rPr>
                  </w:pPr>
                  <w:r>
                    <w:rPr>
                      <w:rFonts w:hint="eastAsia"/>
                      <w:szCs w:val="21"/>
                    </w:rPr>
                    <w:t>ND（0.005）</w:t>
                  </w:r>
                </w:p>
              </w:tc>
              <w:tc>
                <w:tcPr>
                  <w:tcW w:w="1217" w:type="dxa"/>
                  <w:vAlign w:val="center"/>
                </w:tcPr>
                <w:p>
                  <w:pPr>
                    <w:pStyle w:val="47"/>
                    <w:rPr>
                      <w:szCs w:val="21"/>
                    </w:rPr>
                  </w:pPr>
                  <w:r>
                    <w:rPr>
                      <w:rFonts w:hint="eastAsia"/>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vAlign w:val="center"/>
                </w:tcPr>
                <w:p>
                  <w:pPr>
                    <w:pStyle w:val="47"/>
                    <w:rPr>
                      <w:szCs w:val="21"/>
                    </w:rPr>
                  </w:pPr>
                </w:p>
              </w:tc>
              <w:tc>
                <w:tcPr>
                  <w:tcW w:w="0" w:type="auto"/>
                  <w:vAlign w:val="center"/>
                </w:tcPr>
                <w:p>
                  <w:pPr>
                    <w:pStyle w:val="47"/>
                    <w:rPr>
                      <w:szCs w:val="21"/>
                    </w:rPr>
                  </w:pPr>
                  <w:r>
                    <w:rPr>
                      <w:szCs w:val="21"/>
                    </w:rPr>
                    <w:t>III类</w:t>
                  </w:r>
                  <w:r>
                    <w:rPr>
                      <w:rFonts w:hint="eastAsia"/>
                      <w:szCs w:val="21"/>
                    </w:rPr>
                    <w:t>限值</w:t>
                  </w:r>
                </w:p>
              </w:tc>
              <w:tc>
                <w:tcPr>
                  <w:tcW w:w="0" w:type="auto"/>
                  <w:vAlign w:val="center"/>
                </w:tcPr>
                <w:p>
                  <w:pPr>
                    <w:pStyle w:val="47"/>
                    <w:rPr>
                      <w:szCs w:val="21"/>
                    </w:rPr>
                  </w:pPr>
                  <w:r>
                    <w:rPr>
                      <w:rFonts w:hint="eastAsia"/>
                      <w:szCs w:val="21"/>
                    </w:rPr>
                    <w:t>0.005</w:t>
                  </w:r>
                </w:p>
              </w:tc>
              <w:tc>
                <w:tcPr>
                  <w:tcW w:w="0" w:type="auto"/>
                  <w:vAlign w:val="center"/>
                </w:tcPr>
                <w:p>
                  <w:pPr>
                    <w:pStyle w:val="47"/>
                    <w:rPr>
                      <w:szCs w:val="21"/>
                    </w:rPr>
                  </w:pPr>
                  <w:r>
                    <w:rPr>
                      <w:rFonts w:hint="eastAsia"/>
                      <w:szCs w:val="21"/>
                    </w:rPr>
                    <w:t>0.05</w:t>
                  </w:r>
                </w:p>
              </w:tc>
              <w:tc>
                <w:tcPr>
                  <w:tcW w:w="0" w:type="auto"/>
                  <w:vAlign w:val="center"/>
                </w:tcPr>
                <w:p>
                  <w:pPr>
                    <w:pStyle w:val="47"/>
                    <w:rPr>
                      <w:szCs w:val="21"/>
                    </w:rPr>
                  </w:pPr>
                  <w:r>
                    <w:rPr>
                      <w:rFonts w:hint="eastAsia"/>
                      <w:szCs w:val="21"/>
                    </w:rPr>
                    <w:t>0.2</w:t>
                  </w:r>
                </w:p>
              </w:tc>
              <w:tc>
                <w:tcPr>
                  <w:tcW w:w="1217" w:type="dxa"/>
                  <w:vAlign w:val="center"/>
                </w:tcPr>
                <w:p>
                  <w:pPr>
                    <w:pStyle w:val="47"/>
                    <w:rPr>
                      <w:szCs w:val="21"/>
                    </w:rPr>
                  </w:pPr>
                  <w:r>
                    <w:rPr>
                      <w:rFonts w:hint="eastAsia"/>
                      <w:szCs w:val="21"/>
                    </w:rPr>
                    <w:t>0.02</w:t>
                  </w:r>
                </w:p>
              </w:tc>
              <w:tc>
                <w:tcPr>
                  <w:tcW w:w="1217" w:type="dxa"/>
                  <w:vAlign w:val="center"/>
                </w:tcPr>
                <w:p>
                  <w:pPr>
                    <w:pStyle w:val="47"/>
                    <w:rPr>
                      <w:szCs w:val="21"/>
                    </w:rPr>
                  </w:pPr>
                  <w:r>
                    <w:rPr>
                      <w:rFonts w:hint="eastAsia"/>
                      <w:szCs w:val="21"/>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vAlign w:val="center"/>
                </w:tcPr>
                <w:p>
                  <w:pPr>
                    <w:pStyle w:val="47"/>
                    <w:rPr>
                      <w:szCs w:val="21"/>
                    </w:rPr>
                  </w:pPr>
                </w:p>
              </w:tc>
              <w:tc>
                <w:tcPr>
                  <w:tcW w:w="0" w:type="auto"/>
                  <w:vAlign w:val="center"/>
                </w:tcPr>
                <w:p>
                  <w:pPr>
                    <w:pStyle w:val="47"/>
                    <w:rPr>
                      <w:szCs w:val="21"/>
                    </w:rPr>
                  </w:pPr>
                  <w:r>
                    <w:rPr>
                      <w:rFonts w:hint="eastAsia"/>
                      <w:szCs w:val="21"/>
                    </w:rPr>
                    <w:t>是否达标</w:t>
                  </w:r>
                </w:p>
              </w:tc>
              <w:tc>
                <w:tcPr>
                  <w:tcW w:w="0" w:type="auto"/>
                  <w:vAlign w:val="center"/>
                </w:tcPr>
                <w:p>
                  <w:pPr>
                    <w:pStyle w:val="47"/>
                    <w:rPr>
                      <w:szCs w:val="21"/>
                    </w:rPr>
                  </w:pPr>
                  <w:r>
                    <w:rPr>
                      <w:rFonts w:hint="eastAsia"/>
                      <w:szCs w:val="21"/>
                    </w:rPr>
                    <w:t>是</w:t>
                  </w:r>
                </w:p>
              </w:tc>
              <w:tc>
                <w:tcPr>
                  <w:tcW w:w="0" w:type="auto"/>
                  <w:vAlign w:val="center"/>
                </w:tcPr>
                <w:p>
                  <w:pPr>
                    <w:pStyle w:val="47"/>
                    <w:rPr>
                      <w:szCs w:val="21"/>
                    </w:rPr>
                  </w:pPr>
                  <w:r>
                    <w:rPr>
                      <w:rFonts w:hint="eastAsia"/>
                      <w:szCs w:val="21"/>
                    </w:rPr>
                    <w:t>是</w:t>
                  </w:r>
                </w:p>
              </w:tc>
              <w:tc>
                <w:tcPr>
                  <w:tcW w:w="0" w:type="auto"/>
                  <w:vAlign w:val="center"/>
                </w:tcPr>
                <w:p>
                  <w:pPr>
                    <w:pStyle w:val="47"/>
                    <w:rPr>
                      <w:szCs w:val="21"/>
                    </w:rPr>
                  </w:pPr>
                  <w:r>
                    <w:rPr>
                      <w:rFonts w:hint="eastAsia"/>
                      <w:szCs w:val="21"/>
                    </w:rPr>
                    <w:t>是</w:t>
                  </w:r>
                </w:p>
              </w:tc>
              <w:tc>
                <w:tcPr>
                  <w:tcW w:w="1217" w:type="dxa"/>
                  <w:vAlign w:val="center"/>
                </w:tcPr>
                <w:p>
                  <w:pPr>
                    <w:pStyle w:val="47"/>
                    <w:rPr>
                      <w:szCs w:val="21"/>
                    </w:rPr>
                  </w:pPr>
                  <w:r>
                    <w:rPr>
                      <w:rFonts w:hint="eastAsia"/>
                      <w:szCs w:val="21"/>
                    </w:rPr>
                    <w:t>是</w:t>
                  </w:r>
                </w:p>
              </w:tc>
              <w:tc>
                <w:tcPr>
                  <w:tcW w:w="1217" w:type="dxa"/>
                  <w:vAlign w:val="center"/>
                </w:tcPr>
                <w:p>
                  <w:pPr>
                    <w:pStyle w:val="47"/>
                    <w:rPr>
                      <w:szCs w:val="21"/>
                    </w:rPr>
                  </w:pPr>
                  <w:r>
                    <w:rPr>
                      <w:rFonts w:hint="eastAsia"/>
                      <w:szCs w:val="21"/>
                    </w:rPr>
                    <w:t>是</w:t>
                  </w:r>
                </w:p>
              </w:tc>
            </w:tr>
          </w:tbl>
          <w:p>
            <w:pPr>
              <w:widowControl/>
              <w:ind w:firstLine="480"/>
              <w:jc w:val="left"/>
            </w:pPr>
            <w:r>
              <w:rPr>
                <w:rFonts w:hint="eastAsia"/>
              </w:rPr>
              <w:t>根据监测结果可知，</w:t>
            </w:r>
            <w:r>
              <w:rPr>
                <w:szCs w:val="22"/>
              </w:rPr>
              <w:t>本项目所在区域</w:t>
            </w:r>
            <w:r>
              <w:rPr>
                <w:rFonts w:hint="eastAsia"/>
                <w:szCs w:val="22"/>
              </w:rPr>
              <w:t>水体水质</w:t>
            </w:r>
            <w:r>
              <w:rPr>
                <w:rFonts w:hint="eastAsia"/>
              </w:rPr>
              <w:t>现状监测各检测指标均可达到《地表水环境质量标准》（GB3838-2002）中的</w:t>
            </w:r>
            <w:r>
              <w:t>III类</w:t>
            </w:r>
            <w:r>
              <w:rPr>
                <w:rFonts w:hint="eastAsia"/>
              </w:rPr>
              <w:t>水质标准要求</w:t>
            </w:r>
            <w:r>
              <w:t>。</w:t>
            </w:r>
          </w:p>
          <w:p>
            <w:pPr>
              <w:pStyle w:val="6"/>
              <w:rPr>
                <w:kern w:val="2"/>
              </w:rPr>
            </w:pPr>
            <w:r>
              <w:rPr>
                <w:kern w:val="2"/>
              </w:rPr>
              <w:t>3.1.2空气环境质量现状</w:t>
            </w:r>
            <w:bookmarkEnd w:id="86"/>
            <w:bookmarkEnd w:id="87"/>
          </w:p>
          <w:p>
            <w:pPr>
              <w:ind w:firstLine="480"/>
            </w:pPr>
            <w:r>
              <w:t>1、大气环境常规因子质量现状</w:t>
            </w:r>
          </w:p>
          <w:p>
            <w:pPr>
              <w:ind w:firstLine="480"/>
            </w:pPr>
            <w:r>
              <w:t>根据嘉兴市生态环境局桐乡分局发布的《桐乡市环境状况公报（2019年）》，2019年桐乡市区空气质量综合指数为4.08，首要污染物为细颗粒物（PM</w:t>
            </w:r>
            <w:r>
              <w:rPr>
                <w:vertAlign w:val="subscript"/>
              </w:rPr>
              <w:t>2.5</w:t>
            </w:r>
            <w:r>
              <w:t>）。大气中主要污染物年平均浓度分别为：细颗粒物（PM</w:t>
            </w:r>
            <w:r>
              <w:rPr>
                <w:vertAlign w:val="subscript"/>
              </w:rPr>
              <w:t>2.5</w:t>
            </w:r>
            <w:r>
              <w:t>）0.035毫克/立方米；可吸入颗粒物（PM</w:t>
            </w:r>
            <w:r>
              <w:rPr>
                <w:vertAlign w:val="subscript"/>
              </w:rPr>
              <w:t>10</w:t>
            </w:r>
            <w:r>
              <w:t>）0.062毫克/立方米；臭氧（O</w:t>
            </w:r>
            <w:r>
              <w:rPr>
                <w:vertAlign w:val="subscript"/>
              </w:rPr>
              <w:t>3</w:t>
            </w:r>
            <w:r>
              <w:t>）0.101毫克/立方米；一氧化碳（CO）0.7毫克/立方米。</w:t>
            </w:r>
          </w:p>
          <w:p>
            <w:pPr>
              <w:ind w:firstLine="480"/>
              <w:textAlignment w:val="auto"/>
              <w:rPr>
                <w:kern w:val="0"/>
              </w:rPr>
            </w:pPr>
            <w:r>
              <w:rPr>
                <w:kern w:val="0"/>
              </w:rPr>
              <w:t>本报告收集了2019年1月1日至2019年12月31日桐乡市环境质量指数日报相关统计数据，项目所在区域环境质量达标情况详见表3-2。</w:t>
            </w:r>
          </w:p>
          <w:p>
            <w:pPr>
              <w:pStyle w:val="46"/>
            </w:pPr>
            <w:r>
              <w:t>表3-2  桐乡市2019年区域环境质量标准情况统计一览表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2511"/>
              <w:gridCol w:w="1326"/>
              <w:gridCol w:w="1457"/>
              <w:gridCol w:w="1136"/>
              <w:gridCol w:w="1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pct"/>
                  <w:vAlign w:val="center"/>
                </w:tcPr>
                <w:p>
                  <w:pPr>
                    <w:pStyle w:val="46"/>
                  </w:pPr>
                  <w:r>
                    <w:t>污染物</w:t>
                  </w:r>
                </w:p>
              </w:tc>
              <w:tc>
                <w:tcPr>
                  <w:tcW w:w="1439" w:type="pct"/>
                  <w:vAlign w:val="center"/>
                </w:tcPr>
                <w:p>
                  <w:pPr>
                    <w:pStyle w:val="46"/>
                  </w:pPr>
                  <w:r>
                    <w:t>年平均指标</w:t>
                  </w:r>
                </w:p>
              </w:tc>
              <w:tc>
                <w:tcPr>
                  <w:tcW w:w="760" w:type="pct"/>
                  <w:vAlign w:val="center"/>
                </w:tcPr>
                <w:p>
                  <w:pPr>
                    <w:pStyle w:val="46"/>
                  </w:pPr>
                  <w:r>
                    <w:t>现状浓度/</w:t>
                  </w:r>
                </w:p>
                <w:p>
                  <w:pPr>
                    <w:pStyle w:val="46"/>
                  </w:pPr>
                  <w:r>
                    <w:t>（μg/m</w:t>
                  </w:r>
                  <w:r>
                    <w:rPr>
                      <w:vertAlign w:val="superscript"/>
                    </w:rPr>
                    <w:t>3</w:t>
                  </w:r>
                  <w:r>
                    <w:t>）</w:t>
                  </w:r>
                </w:p>
              </w:tc>
              <w:tc>
                <w:tcPr>
                  <w:tcW w:w="835" w:type="pct"/>
                  <w:vAlign w:val="center"/>
                </w:tcPr>
                <w:p>
                  <w:pPr>
                    <w:pStyle w:val="46"/>
                  </w:pPr>
                  <w:r>
                    <w:t>标准值/（μg/m</w:t>
                  </w:r>
                  <w:r>
                    <w:rPr>
                      <w:vertAlign w:val="superscript"/>
                    </w:rPr>
                    <w:t>3</w:t>
                  </w:r>
                  <w:r>
                    <w:t>）</w:t>
                  </w:r>
                </w:p>
              </w:tc>
              <w:tc>
                <w:tcPr>
                  <w:tcW w:w="651" w:type="pct"/>
                  <w:vAlign w:val="center"/>
                </w:tcPr>
                <w:p>
                  <w:pPr>
                    <w:pStyle w:val="46"/>
                  </w:pPr>
                  <w:r>
                    <w:t>占标率/%</w:t>
                  </w:r>
                </w:p>
              </w:tc>
              <w:tc>
                <w:tcPr>
                  <w:tcW w:w="673" w:type="pct"/>
                  <w:vAlign w:val="center"/>
                </w:tcPr>
                <w:p>
                  <w:pPr>
                    <w:pStyle w:val="46"/>
                  </w:pPr>
                  <w: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38" w:type="pct"/>
                  <w:vMerge w:val="restart"/>
                  <w:vAlign w:val="center"/>
                </w:tcPr>
                <w:p>
                  <w:pPr>
                    <w:pStyle w:val="47"/>
                  </w:pPr>
                  <w:r>
                    <w:t>SO</w:t>
                  </w:r>
                  <w:r>
                    <w:rPr>
                      <w:vertAlign w:val="subscript"/>
                    </w:rPr>
                    <w:t>2</w:t>
                  </w:r>
                </w:p>
              </w:tc>
              <w:tc>
                <w:tcPr>
                  <w:tcW w:w="1439" w:type="pct"/>
                  <w:vAlign w:val="center"/>
                </w:tcPr>
                <w:p>
                  <w:pPr>
                    <w:pStyle w:val="47"/>
                  </w:pPr>
                  <w:r>
                    <w:t>年平均质量浓度</w:t>
                  </w:r>
                </w:p>
              </w:tc>
              <w:tc>
                <w:tcPr>
                  <w:tcW w:w="760" w:type="pct"/>
                  <w:vAlign w:val="center"/>
                </w:tcPr>
                <w:p>
                  <w:pPr>
                    <w:pStyle w:val="47"/>
                  </w:pPr>
                  <w:r>
                    <w:t>8</w:t>
                  </w:r>
                </w:p>
              </w:tc>
              <w:tc>
                <w:tcPr>
                  <w:tcW w:w="835" w:type="pct"/>
                  <w:vAlign w:val="center"/>
                </w:tcPr>
                <w:p>
                  <w:pPr>
                    <w:pStyle w:val="47"/>
                  </w:pPr>
                  <w:r>
                    <w:t>60</w:t>
                  </w:r>
                </w:p>
              </w:tc>
              <w:tc>
                <w:tcPr>
                  <w:tcW w:w="651" w:type="pct"/>
                  <w:vAlign w:val="center"/>
                </w:tcPr>
                <w:p>
                  <w:pPr>
                    <w:pStyle w:val="47"/>
                  </w:pPr>
                  <w:r>
                    <w:t>13.3</w:t>
                  </w:r>
                </w:p>
              </w:tc>
              <w:tc>
                <w:tcPr>
                  <w:tcW w:w="673" w:type="pct"/>
                  <w:vMerge w:val="restart"/>
                  <w:vAlign w:val="center"/>
                </w:tcPr>
                <w:p>
                  <w:pPr>
                    <w:pStyle w:val="4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pct"/>
                  <w:vMerge w:val="continue"/>
                  <w:vAlign w:val="center"/>
                </w:tcPr>
                <w:p>
                  <w:pPr>
                    <w:pStyle w:val="47"/>
                  </w:pPr>
                </w:p>
              </w:tc>
              <w:tc>
                <w:tcPr>
                  <w:tcW w:w="1439" w:type="pct"/>
                  <w:vAlign w:val="center"/>
                </w:tcPr>
                <w:p>
                  <w:pPr>
                    <w:pStyle w:val="47"/>
                  </w:pPr>
                  <w:r>
                    <w:t>百分位（98%）</w:t>
                  </w:r>
                </w:p>
                <w:p>
                  <w:pPr>
                    <w:pStyle w:val="47"/>
                  </w:pPr>
                  <w:r>
                    <w:t>数日平均质量浓度</w:t>
                  </w:r>
                </w:p>
              </w:tc>
              <w:tc>
                <w:tcPr>
                  <w:tcW w:w="760" w:type="pct"/>
                  <w:vAlign w:val="center"/>
                </w:tcPr>
                <w:p>
                  <w:pPr>
                    <w:pStyle w:val="47"/>
                  </w:pPr>
                  <w:r>
                    <w:t>16</w:t>
                  </w:r>
                </w:p>
              </w:tc>
              <w:tc>
                <w:tcPr>
                  <w:tcW w:w="835" w:type="pct"/>
                  <w:vAlign w:val="center"/>
                </w:tcPr>
                <w:p>
                  <w:pPr>
                    <w:pStyle w:val="47"/>
                  </w:pPr>
                  <w:r>
                    <w:t>150</w:t>
                  </w:r>
                </w:p>
              </w:tc>
              <w:tc>
                <w:tcPr>
                  <w:tcW w:w="651" w:type="pct"/>
                  <w:vAlign w:val="center"/>
                </w:tcPr>
                <w:p>
                  <w:pPr>
                    <w:pStyle w:val="47"/>
                  </w:pPr>
                  <w:r>
                    <w:t>10.7</w:t>
                  </w:r>
                </w:p>
              </w:tc>
              <w:tc>
                <w:tcPr>
                  <w:tcW w:w="673" w:type="pct"/>
                  <w:vMerge w:val="continue"/>
                  <w:vAlign w:val="center"/>
                </w:tcPr>
                <w:p>
                  <w:pPr>
                    <w:pStyle w:val="4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pct"/>
                  <w:vMerge w:val="restart"/>
                  <w:vAlign w:val="center"/>
                </w:tcPr>
                <w:p>
                  <w:pPr>
                    <w:pStyle w:val="47"/>
                  </w:pPr>
                  <w:r>
                    <w:t>NO</w:t>
                  </w:r>
                  <w:r>
                    <w:rPr>
                      <w:vertAlign w:val="subscript"/>
                    </w:rPr>
                    <w:t>2</w:t>
                  </w:r>
                </w:p>
              </w:tc>
              <w:tc>
                <w:tcPr>
                  <w:tcW w:w="1439" w:type="pct"/>
                  <w:vAlign w:val="center"/>
                </w:tcPr>
                <w:p>
                  <w:pPr>
                    <w:pStyle w:val="47"/>
                  </w:pPr>
                  <w:r>
                    <w:t>年平均质量浓度</w:t>
                  </w:r>
                </w:p>
              </w:tc>
              <w:tc>
                <w:tcPr>
                  <w:tcW w:w="760" w:type="pct"/>
                  <w:vAlign w:val="center"/>
                </w:tcPr>
                <w:p>
                  <w:pPr>
                    <w:pStyle w:val="47"/>
                  </w:pPr>
                  <w:r>
                    <w:t>32</w:t>
                  </w:r>
                </w:p>
              </w:tc>
              <w:tc>
                <w:tcPr>
                  <w:tcW w:w="835" w:type="pct"/>
                  <w:vAlign w:val="center"/>
                </w:tcPr>
                <w:p>
                  <w:pPr>
                    <w:pStyle w:val="47"/>
                  </w:pPr>
                  <w:r>
                    <w:t>40</w:t>
                  </w:r>
                </w:p>
              </w:tc>
              <w:tc>
                <w:tcPr>
                  <w:tcW w:w="651" w:type="pct"/>
                  <w:vAlign w:val="center"/>
                </w:tcPr>
                <w:p>
                  <w:pPr>
                    <w:pStyle w:val="47"/>
                  </w:pPr>
                  <w:r>
                    <w:t>80</w:t>
                  </w:r>
                </w:p>
              </w:tc>
              <w:tc>
                <w:tcPr>
                  <w:tcW w:w="673" w:type="pct"/>
                  <w:vMerge w:val="restart"/>
                  <w:vAlign w:val="center"/>
                </w:tcPr>
                <w:p>
                  <w:pPr>
                    <w:pStyle w:val="4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pct"/>
                  <w:vMerge w:val="continue"/>
                  <w:vAlign w:val="center"/>
                </w:tcPr>
                <w:p>
                  <w:pPr>
                    <w:pStyle w:val="47"/>
                  </w:pPr>
                </w:p>
              </w:tc>
              <w:tc>
                <w:tcPr>
                  <w:tcW w:w="1439" w:type="pct"/>
                  <w:vAlign w:val="center"/>
                </w:tcPr>
                <w:p>
                  <w:pPr>
                    <w:pStyle w:val="47"/>
                  </w:pPr>
                  <w:r>
                    <w:t>百分位（98%）</w:t>
                  </w:r>
                </w:p>
                <w:p>
                  <w:pPr>
                    <w:pStyle w:val="47"/>
                  </w:pPr>
                  <w:r>
                    <w:t>日平均质量浓度</w:t>
                  </w:r>
                </w:p>
              </w:tc>
              <w:tc>
                <w:tcPr>
                  <w:tcW w:w="760" w:type="pct"/>
                  <w:vAlign w:val="center"/>
                </w:tcPr>
                <w:p>
                  <w:pPr>
                    <w:pStyle w:val="47"/>
                  </w:pPr>
                  <w:r>
                    <w:t>74</w:t>
                  </w:r>
                </w:p>
              </w:tc>
              <w:tc>
                <w:tcPr>
                  <w:tcW w:w="835" w:type="pct"/>
                  <w:vAlign w:val="center"/>
                </w:tcPr>
                <w:p>
                  <w:pPr>
                    <w:pStyle w:val="47"/>
                  </w:pPr>
                  <w:r>
                    <w:t>80</w:t>
                  </w:r>
                </w:p>
              </w:tc>
              <w:tc>
                <w:tcPr>
                  <w:tcW w:w="651" w:type="pct"/>
                  <w:vAlign w:val="center"/>
                </w:tcPr>
                <w:p>
                  <w:pPr>
                    <w:pStyle w:val="47"/>
                  </w:pPr>
                  <w:r>
                    <w:t>92.5</w:t>
                  </w:r>
                </w:p>
              </w:tc>
              <w:tc>
                <w:tcPr>
                  <w:tcW w:w="673" w:type="pct"/>
                  <w:vMerge w:val="continue"/>
                  <w:vAlign w:val="center"/>
                </w:tcPr>
                <w:p>
                  <w:pPr>
                    <w:pStyle w:val="4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pct"/>
                  <w:vMerge w:val="restart"/>
                  <w:vAlign w:val="center"/>
                </w:tcPr>
                <w:p>
                  <w:pPr>
                    <w:pStyle w:val="47"/>
                  </w:pPr>
                  <w:r>
                    <w:t>PM</w:t>
                  </w:r>
                  <w:r>
                    <w:rPr>
                      <w:vertAlign w:val="subscript"/>
                    </w:rPr>
                    <w:t>10</w:t>
                  </w:r>
                </w:p>
              </w:tc>
              <w:tc>
                <w:tcPr>
                  <w:tcW w:w="1439" w:type="pct"/>
                  <w:vAlign w:val="center"/>
                </w:tcPr>
                <w:p>
                  <w:pPr>
                    <w:pStyle w:val="47"/>
                  </w:pPr>
                  <w:r>
                    <w:t>年平均质量浓度</w:t>
                  </w:r>
                </w:p>
              </w:tc>
              <w:tc>
                <w:tcPr>
                  <w:tcW w:w="760" w:type="pct"/>
                  <w:vAlign w:val="center"/>
                </w:tcPr>
                <w:p>
                  <w:pPr>
                    <w:pStyle w:val="47"/>
                  </w:pPr>
                  <w:r>
                    <w:t>62</w:t>
                  </w:r>
                </w:p>
              </w:tc>
              <w:tc>
                <w:tcPr>
                  <w:tcW w:w="835" w:type="pct"/>
                  <w:vAlign w:val="center"/>
                </w:tcPr>
                <w:p>
                  <w:pPr>
                    <w:pStyle w:val="47"/>
                  </w:pPr>
                  <w:r>
                    <w:t>70</w:t>
                  </w:r>
                </w:p>
              </w:tc>
              <w:tc>
                <w:tcPr>
                  <w:tcW w:w="651" w:type="pct"/>
                  <w:vAlign w:val="center"/>
                </w:tcPr>
                <w:p>
                  <w:pPr>
                    <w:pStyle w:val="47"/>
                  </w:pPr>
                  <w:r>
                    <w:t>88.6</w:t>
                  </w:r>
                </w:p>
              </w:tc>
              <w:tc>
                <w:tcPr>
                  <w:tcW w:w="673" w:type="pct"/>
                  <w:vMerge w:val="restart"/>
                  <w:vAlign w:val="center"/>
                </w:tcPr>
                <w:p>
                  <w:pPr>
                    <w:pStyle w:val="4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pct"/>
                  <w:vMerge w:val="continue"/>
                  <w:vAlign w:val="center"/>
                </w:tcPr>
                <w:p>
                  <w:pPr>
                    <w:pStyle w:val="47"/>
                  </w:pPr>
                </w:p>
              </w:tc>
              <w:tc>
                <w:tcPr>
                  <w:tcW w:w="1439" w:type="pct"/>
                  <w:vAlign w:val="center"/>
                </w:tcPr>
                <w:p>
                  <w:pPr>
                    <w:pStyle w:val="47"/>
                  </w:pPr>
                  <w:r>
                    <w:t>百分位（95%）</w:t>
                  </w:r>
                </w:p>
                <w:p>
                  <w:pPr>
                    <w:pStyle w:val="47"/>
                  </w:pPr>
                  <w:r>
                    <w:t>日平均质量浓度</w:t>
                  </w:r>
                </w:p>
              </w:tc>
              <w:tc>
                <w:tcPr>
                  <w:tcW w:w="760" w:type="pct"/>
                  <w:vAlign w:val="center"/>
                </w:tcPr>
                <w:p>
                  <w:pPr>
                    <w:pStyle w:val="47"/>
                  </w:pPr>
                  <w:r>
                    <w:t>131</w:t>
                  </w:r>
                </w:p>
              </w:tc>
              <w:tc>
                <w:tcPr>
                  <w:tcW w:w="835" w:type="pct"/>
                  <w:vAlign w:val="center"/>
                </w:tcPr>
                <w:p>
                  <w:pPr>
                    <w:pStyle w:val="47"/>
                  </w:pPr>
                  <w:r>
                    <w:t>150</w:t>
                  </w:r>
                </w:p>
              </w:tc>
              <w:tc>
                <w:tcPr>
                  <w:tcW w:w="651" w:type="pct"/>
                  <w:vAlign w:val="center"/>
                </w:tcPr>
                <w:p>
                  <w:pPr>
                    <w:pStyle w:val="47"/>
                  </w:pPr>
                  <w:r>
                    <w:t>87.3</w:t>
                  </w:r>
                </w:p>
              </w:tc>
              <w:tc>
                <w:tcPr>
                  <w:tcW w:w="673" w:type="pct"/>
                  <w:vMerge w:val="continue"/>
                  <w:vAlign w:val="center"/>
                </w:tcPr>
                <w:p>
                  <w:pPr>
                    <w:pStyle w:val="4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pct"/>
                  <w:vMerge w:val="restart"/>
                  <w:vAlign w:val="center"/>
                </w:tcPr>
                <w:p>
                  <w:pPr>
                    <w:pStyle w:val="47"/>
                  </w:pPr>
                  <w:r>
                    <w:t>PM</w:t>
                  </w:r>
                  <w:r>
                    <w:rPr>
                      <w:vertAlign w:val="subscript"/>
                    </w:rPr>
                    <w:t>2.5</w:t>
                  </w:r>
                </w:p>
              </w:tc>
              <w:tc>
                <w:tcPr>
                  <w:tcW w:w="1439" w:type="pct"/>
                  <w:vAlign w:val="center"/>
                </w:tcPr>
                <w:p>
                  <w:pPr>
                    <w:pStyle w:val="47"/>
                  </w:pPr>
                  <w:r>
                    <w:t>年平均质量浓度</w:t>
                  </w:r>
                </w:p>
              </w:tc>
              <w:tc>
                <w:tcPr>
                  <w:tcW w:w="760" w:type="pct"/>
                  <w:vAlign w:val="center"/>
                </w:tcPr>
                <w:p>
                  <w:pPr>
                    <w:pStyle w:val="47"/>
                  </w:pPr>
                  <w:r>
                    <w:t>35</w:t>
                  </w:r>
                </w:p>
              </w:tc>
              <w:tc>
                <w:tcPr>
                  <w:tcW w:w="835" w:type="pct"/>
                  <w:vAlign w:val="center"/>
                </w:tcPr>
                <w:p>
                  <w:pPr>
                    <w:pStyle w:val="47"/>
                  </w:pPr>
                  <w:r>
                    <w:t>35</w:t>
                  </w:r>
                </w:p>
              </w:tc>
              <w:tc>
                <w:tcPr>
                  <w:tcW w:w="651" w:type="pct"/>
                  <w:vAlign w:val="center"/>
                </w:tcPr>
                <w:p>
                  <w:pPr>
                    <w:pStyle w:val="47"/>
                  </w:pPr>
                  <w:r>
                    <w:t>100</w:t>
                  </w:r>
                </w:p>
              </w:tc>
              <w:tc>
                <w:tcPr>
                  <w:tcW w:w="673" w:type="pct"/>
                  <w:vMerge w:val="restart"/>
                  <w:vAlign w:val="center"/>
                </w:tcPr>
                <w:p>
                  <w:pPr>
                    <w:pStyle w:val="4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pct"/>
                  <w:vMerge w:val="continue"/>
                  <w:vAlign w:val="center"/>
                </w:tcPr>
                <w:p>
                  <w:pPr>
                    <w:pStyle w:val="47"/>
                  </w:pPr>
                </w:p>
              </w:tc>
              <w:tc>
                <w:tcPr>
                  <w:tcW w:w="1439" w:type="pct"/>
                  <w:vAlign w:val="center"/>
                </w:tcPr>
                <w:p>
                  <w:pPr>
                    <w:pStyle w:val="47"/>
                  </w:pPr>
                  <w:r>
                    <w:t>百分位（95%）</w:t>
                  </w:r>
                </w:p>
                <w:p>
                  <w:pPr>
                    <w:pStyle w:val="47"/>
                  </w:pPr>
                  <w:r>
                    <w:t>日平均质量浓度</w:t>
                  </w:r>
                </w:p>
              </w:tc>
              <w:tc>
                <w:tcPr>
                  <w:tcW w:w="760" w:type="pct"/>
                  <w:vAlign w:val="center"/>
                </w:tcPr>
                <w:p>
                  <w:pPr>
                    <w:pStyle w:val="47"/>
                  </w:pPr>
                  <w:r>
                    <w:t>75</w:t>
                  </w:r>
                </w:p>
              </w:tc>
              <w:tc>
                <w:tcPr>
                  <w:tcW w:w="835" w:type="pct"/>
                  <w:vAlign w:val="center"/>
                </w:tcPr>
                <w:p>
                  <w:pPr>
                    <w:pStyle w:val="47"/>
                  </w:pPr>
                  <w:r>
                    <w:t>75</w:t>
                  </w:r>
                </w:p>
              </w:tc>
              <w:tc>
                <w:tcPr>
                  <w:tcW w:w="651" w:type="pct"/>
                  <w:vAlign w:val="center"/>
                </w:tcPr>
                <w:p>
                  <w:pPr>
                    <w:pStyle w:val="47"/>
                  </w:pPr>
                  <w:r>
                    <w:t>100</w:t>
                  </w:r>
                </w:p>
              </w:tc>
              <w:tc>
                <w:tcPr>
                  <w:tcW w:w="673" w:type="pct"/>
                  <w:vMerge w:val="continue"/>
                  <w:vAlign w:val="center"/>
                </w:tcPr>
                <w:p>
                  <w:pPr>
                    <w:pStyle w:val="4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pct"/>
                  <w:vAlign w:val="center"/>
                </w:tcPr>
                <w:p>
                  <w:pPr>
                    <w:pStyle w:val="47"/>
                  </w:pPr>
                  <w:r>
                    <w:t>CO</w:t>
                  </w:r>
                </w:p>
              </w:tc>
              <w:tc>
                <w:tcPr>
                  <w:tcW w:w="1439" w:type="pct"/>
                  <w:vAlign w:val="center"/>
                </w:tcPr>
                <w:p>
                  <w:pPr>
                    <w:pStyle w:val="47"/>
                  </w:pPr>
                  <w:r>
                    <w:t>百分位（95%）</w:t>
                  </w:r>
                </w:p>
                <w:p>
                  <w:pPr>
                    <w:pStyle w:val="47"/>
                  </w:pPr>
                  <w:r>
                    <w:t>日平均质量浓度</w:t>
                  </w:r>
                </w:p>
              </w:tc>
              <w:tc>
                <w:tcPr>
                  <w:tcW w:w="760" w:type="pct"/>
                  <w:vAlign w:val="center"/>
                </w:tcPr>
                <w:p>
                  <w:pPr>
                    <w:pStyle w:val="47"/>
                  </w:pPr>
                  <w:r>
                    <w:t>1mg/m</w:t>
                  </w:r>
                  <w:r>
                    <w:rPr>
                      <w:vertAlign w:val="superscript"/>
                    </w:rPr>
                    <w:t>3</w:t>
                  </w:r>
                </w:p>
              </w:tc>
              <w:tc>
                <w:tcPr>
                  <w:tcW w:w="835" w:type="pct"/>
                  <w:vAlign w:val="center"/>
                </w:tcPr>
                <w:p>
                  <w:pPr>
                    <w:pStyle w:val="47"/>
                  </w:pPr>
                  <w:r>
                    <w:t>4mg/m</w:t>
                  </w:r>
                  <w:r>
                    <w:rPr>
                      <w:vertAlign w:val="superscript"/>
                    </w:rPr>
                    <w:t>3</w:t>
                  </w:r>
                </w:p>
              </w:tc>
              <w:tc>
                <w:tcPr>
                  <w:tcW w:w="651" w:type="pct"/>
                  <w:vAlign w:val="center"/>
                </w:tcPr>
                <w:p>
                  <w:pPr>
                    <w:pStyle w:val="47"/>
                  </w:pPr>
                  <w:r>
                    <w:t>25</w:t>
                  </w:r>
                </w:p>
              </w:tc>
              <w:tc>
                <w:tcPr>
                  <w:tcW w:w="673" w:type="pct"/>
                  <w:vAlign w:val="center"/>
                </w:tcPr>
                <w:p>
                  <w:pPr>
                    <w:pStyle w:val="4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pct"/>
                  <w:vAlign w:val="center"/>
                </w:tcPr>
                <w:p>
                  <w:pPr>
                    <w:pStyle w:val="47"/>
                  </w:pPr>
                  <w:r>
                    <w:t>O</w:t>
                  </w:r>
                  <w:r>
                    <w:rPr>
                      <w:vertAlign w:val="subscript"/>
                    </w:rPr>
                    <w:t>3</w:t>
                  </w:r>
                </w:p>
              </w:tc>
              <w:tc>
                <w:tcPr>
                  <w:tcW w:w="1439" w:type="pct"/>
                  <w:vAlign w:val="center"/>
                </w:tcPr>
                <w:p>
                  <w:pPr>
                    <w:pStyle w:val="47"/>
                  </w:pPr>
                  <w:r>
                    <w:t>百分位（90%）</w:t>
                  </w:r>
                </w:p>
                <w:p>
                  <w:pPr>
                    <w:pStyle w:val="47"/>
                  </w:pPr>
                  <w:r>
                    <w:t>8h平均质量浓度</w:t>
                  </w:r>
                </w:p>
              </w:tc>
              <w:tc>
                <w:tcPr>
                  <w:tcW w:w="760" w:type="pct"/>
                  <w:vAlign w:val="center"/>
                </w:tcPr>
                <w:p>
                  <w:pPr>
                    <w:pStyle w:val="47"/>
                  </w:pPr>
                  <w:r>
                    <w:t>162</w:t>
                  </w:r>
                </w:p>
              </w:tc>
              <w:tc>
                <w:tcPr>
                  <w:tcW w:w="835" w:type="pct"/>
                  <w:vAlign w:val="center"/>
                </w:tcPr>
                <w:p>
                  <w:pPr>
                    <w:pStyle w:val="47"/>
                  </w:pPr>
                  <w:r>
                    <w:t>160</w:t>
                  </w:r>
                </w:p>
              </w:tc>
              <w:tc>
                <w:tcPr>
                  <w:tcW w:w="651" w:type="pct"/>
                  <w:vAlign w:val="center"/>
                </w:tcPr>
                <w:p>
                  <w:pPr>
                    <w:pStyle w:val="47"/>
                  </w:pPr>
                  <w:r>
                    <w:t>101.2</w:t>
                  </w:r>
                </w:p>
              </w:tc>
              <w:tc>
                <w:tcPr>
                  <w:tcW w:w="673" w:type="pct"/>
                  <w:vAlign w:val="center"/>
                </w:tcPr>
                <w:p>
                  <w:pPr>
                    <w:pStyle w:val="47"/>
                  </w:pPr>
                  <w:r>
                    <w:t>不达标</w:t>
                  </w:r>
                </w:p>
              </w:tc>
            </w:tr>
          </w:tbl>
          <w:p>
            <w:pPr>
              <w:ind w:firstLine="480"/>
            </w:pPr>
            <w:r>
              <w:t>统计结果分析如下：</w:t>
            </w:r>
          </w:p>
          <w:p>
            <w:pPr>
              <w:ind w:firstLine="480"/>
            </w:pPr>
            <w:r>
              <w:fldChar w:fldCharType="begin"/>
            </w:r>
            <w:r>
              <w:instrText xml:space="preserve"> = 1 \* GB3 </w:instrText>
            </w:r>
            <w:r>
              <w:fldChar w:fldCharType="separate"/>
            </w:r>
            <w:r>
              <w:t>①</w:t>
            </w:r>
            <w:r>
              <w:fldChar w:fldCharType="end"/>
            </w:r>
            <w:r>
              <w:t>二氧化硫（SO</w:t>
            </w:r>
            <w:r>
              <w:rPr>
                <w:vertAlign w:val="subscript"/>
              </w:rPr>
              <w:t>2</w:t>
            </w:r>
            <w:r>
              <w:t>）：桐乡市2019年SO</w:t>
            </w:r>
            <w:r>
              <w:rPr>
                <w:vertAlign w:val="subscript"/>
              </w:rPr>
              <w:t>2</w:t>
            </w:r>
            <w:r>
              <w:t>年均浓度、百分位（98%）数日平均质量浓度均低于《环境空气质量标准》（GB3095-2012）中的二级标准限值，可满足环境空气功能区的要求。</w:t>
            </w:r>
          </w:p>
          <w:p>
            <w:pPr>
              <w:ind w:firstLine="480"/>
            </w:pPr>
            <w:r>
              <w:fldChar w:fldCharType="begin"/>
            </w:r>
            <w:r>
              <w:instrText xml:space="preserve"> = 2 \* GB3 </w:instrText>
            </w:r>
            <w:r>
              <w:fldChar w:fldCharType="separate"/>
            </w:r>
            <w:r>
              <w:t>②</w:t>
            </w:r>
            <w:r>
              <w:fldChar w:fldCharType="end"/>
            </w:r>
            <w:r>
              <w:t>二氧化氮（NO</w:t>
            </w:r>
            <w:r>
              <w:rPr>
                <w:vertAlign w:val="subscript"/>
              </w:rPr>
              <w:t>2</w:t>
            </w:r>
            <w:r>
              <w:t>）：桐乡市2019年NO</w:t>
            </w:r>
            <w:r>
              <w:rPr>
                <w:vertAlign w:val="subscript"/>
              </w:rPr>
              <w:t>2</w:t>
            </w:r>
            <w:r>
              <w:t>年均浓度、百分位（98%）日平均质量浓度均低于《环境空气质量标准》（GB3095-2012）中的二级标准限值，可满足环境空气功能区的要求。</w:t>
            </w:r>
          </w:p>
          <w:p>
            <w:pPr>
              <w:ind w:firstLine="480"/>
              <w:textAlignment w:val="auto"/>
              <w:rPr>
                <w:kern w:val="0"/>
              </w:rPr>
            </w:pPr>
            <w:r>
              <w:rPr>
                <w:kern w:val="0"/>
              </w:rPr>
              <w:t>③可吸入颗粒物（PM</w:t>
            </w:r>
            <w:r>
              <w:rPr>
                <w:kern w:val="0"/>
                <w:vertAlign w:val="subscript"/>
              </w:rPr>
              <w:t>10</w:t>
            </w:r>
            <w:r>
              <w:rPr>
                <w:kern w:val="0"/>
              </w:rPr>
              <w:t>）：桐乡市2019年PM</w:t>
            </w:r>
            <w:r>
              <w:rPr>
                <w:kern w:val="0"/>
                <w:vertAlign w:val="subscript"/>
              </w:rPr>
              <w:t>10</w:t>
            </w:r>
            <w:r>
              <w:rPr>
                <w:kern w:val="0"/>
              </w:rPr>
              <w:t>年均浓度、百分位（95%）日平均质量浓度均低于《环境空气质量标准》（GB3095-2012）中的二级标准限值，可满足环境空气功能区的要求。</w:t>
            </w:r>
          </w:p>
          <w:p>
            <w:pPr>
              <w:ind w:firstLine="480"/>
              <w:textAlignment w:val="auto"/>
              <w:rPr>
                <w:kern w:val="0"/>
              </w:rPr>
            </w:pPr>
            <w:r>
              <w:rPr>
                <w:kern w:val="0"/>
              </w:rPr>
              <w:t>④</w:t>
            </w:r>
            <w:r>
              <w:rPr>
                <w:rFonts w:hint="eastAsia"/>
                <w:kern w:val="0"/>
              </w:rPr>
              <w:t>细</w:t>
            </w:r>
            <w:r>
              <w:rPr>
                <w:kern w:val="0"/>
              </w:rPr>
              <w:t>颗粒物（PM</w:t>
            </w:r>
            <w:r>
              <w:rPr>
                <w:kern w:val="0"/>
                <w:vertAlign w:val="subscript"/>
              </w:rPr>
              <w:t>2.5</w:t>
            </w:r>
            <w:r>
              <w:rPr>
                <w:kern w:val="0"/>
              </w:rPr>
              <w:t>）：桐乡市2019年PM</w:t>
            </w:r>
            <w:r>
              <w:rPr>
                <w:kern w:val="0"/>
                <w:vertAlign w:val="subscript"/>
              </w:rPr>
              <w:t>2.5</w:t>
            </w:r>
            <w:r>
              <w:rPr>
                <w:kern w:val="0"/>
              </w:rPr>
              <w:t>年均浓度、百分位（95%）日平均质量浓度均低于《环境空气质量标准》（GB3095-2012）中的二级标准限值，可满足环境空气功能区的要求。</w:t>
            </w:r>
          </w:p>
          <w:p>
            <w:pPr>
              <w:ind w:firstLine="480"/>
              <w:textAlignment w:val="auto"/>
              <w:rPr>
                <w:kern w:val="0"/>
              </w:rPr>
            </w:pPr>
            <w:r>
              <w:rPr>
                <w:kern w:val="0"/>
              </w:rPr>
              <w:t>⑤一氧化碳（CO）：桐乡市2019年CO百分位（95%）日平均质量浓度低于《环境空气质量标准》（GB3095-2012）中的二级标准限值，可满足环境空气功能区的要求。</w:t>
            </w:r>
          </w:p>
          <w:p>
            <w:pPr>
              <w:ind w:firstLine="480"/>
              <w:textAlignment w:val="auto"/>
              <w:rPr>
                <w:kern w:val="0"/>
              </w:rPr>
            </w:pPr>
            <w:r>
              <w:rPr>
                <w:kern w:val="0"/>
              </w:rPr>
              <w:t>⑥臭氧（O</w:t>
            </w:r>
            <w:r>
              <w:rPr>
                <w:kern w:val="0"/>
                <w:vertAlign w:val="subscript"/>
              </w:rPr>
              <w:t>3</w:t>
            </w:r>
            <w:r>
              <w:rPr>
                <w:kern w:val="0"/>
              </w:rPr>
              <w:t>）：桐乡市2019年O</w:t>
            </w:r>
            <w:r>
              <w:rPr>
                <w:kern w:val="0"/>
                <w:vertAlign w:val="subscript"/>
              </w:rPr>
              <w:t>3</w:t>
            </w:r>
            <w:r>
              <w:rPr>
                <w:kern w:val="0"/>
              </w:rPr>
              <w:t>百分位（90%）8h平均质量浓度占标率为101.2%，超标倍数为0.1。百分位（90%）8h平均质量浓度高于《环境空气质量标准》（GB3095-2012）中的二级标准限值，不能满足环境空气功能区的要求。</w:t>
            </w:r>
          </w:p>
          <w:p>
            <w:pPr>
              <w:ind w:firstLine="480"/>
              <w:textAlignment w:val="auto"/>
              <w:rPr>
                <w:kern w:val="0"/>
              </w:rPr>
            </w:pPr>
            <w:r>
              <w:rPr>
                <w:kern w:val="0"/>
              </w:rPr>
              <w:t>综上可知， 2019年桐乡市空气质量不达标因子为O</w:t>
            </w:r>
            <w:r>
              <w:rPr>
                <w:kern w:val="0"/>
                <w:vertAlign w:val="subscript"/>
              </w:rPr>
              <w:t>3</w:t>
            </w:r>
            <w:r>
              <w:rPr>
                <w:kern w:val="0"/>
              </w:rPr>
              <w:t>，项目所在地区属于非达标区。桐乡市目前已编制完成《桐乡市大气环境质量限期达标规划实施方案》，同时随着《嘉兴市环境状况公报》大气污染物防治行动和措施、《浙江省打赢蓝天保卫战三年行动计划》、《桐乡市环境保护“十三五”规划》的实施，桐乡市空气质量将稳步改善。</w:t>
            </w:r>
          </w:p>
          <w:p>
            <w:pPr>
              <w:ind w:firstLine="480"/>
            </w:pPr>
            <w:r>
              <w:t>2、大气环境特征因子环境质量现状</w:t>
            </w:r>
          </w:p>
          <w:p>
            <w:pPr>
              <w:ind w:firstLine="480"/>
              <w:rPr>
                <w:szCs w:val="22"/>
              </w:rPr>
            </w:pPr>
            <w:r>
              <w:rPr>
                <w:rFonts w:hint="eastAsia"/>
                <w:szCs w:val="22"/>
              </w:rPr>
              <w:t>根据工程分析，本项目环境空气特征污染因子为非甲烷总烃。</w:t>
            </w:r>
            <w:r>
              <w:rPr>
                <w:szCs w:val="22"/>
              </w:rPr>
              <w:t>为了解本项目所在区域大气环境特征因子</w:t>
            </w:r>
            <w:r>
              <w:rPr>
                <w:rFonts w:hint="eastAsia"/>
                <w:szCs w:val="22"/>
              </w:rPr>
              <w:t>环境</w:t>
            </w:r>
            <w:r>
              <w:rPr>
                <w:szCs w:val="22"/>
              </w:rPr>
              <w:t>质量现状，本环评引用《桐乡市崇福工业区四期控制性详细规划环境影响报告书》</w:t>
            </w:r>
            <w:r>
              <w:rPr>
                <w:rFonts w:hint="eastAsia"/>
                <w:szCs w:val="22"/>
              </w:rPr>
              <w:t>编制期间委托浙江华标检测技术有限公司对项目周边大气特征污染因子进行的环境空气监测数据</w:t>
            </w:r>
            <w:r>
              <w:rPr>
                <w:szCs w:val="22"/>
              </w:rPr>
              <w:t>，具体内容如下：</w:t>
            </w:r>
          </w:p>
          <w:p>
            <w:pPr>
              <w:ind w:firstLine="480"/>
              <w:rPr>
                <w:szCs w:val="22"/>
              </w:rPr>
            </w:pPr>
            <w:r>
              <w:rPr>
                <w:szCs w:val="22"/>
              </w:rPr>
              <w:t>（1）监测时间：2019年9月23日~2019年9月29日，连续7天，小时浓度（02、08、14、20时）。</w:t>
            </w:r>
          </w:p>
          <w:p>
            <w:pPr>
              <w:ind w:firstLine="480"/>
              <w:rPr>
                <w:szCs w:val="22"/>
              </w:rPr>
            </w:pPr>
            <w:r>
              <w:rPr>
                <w:szCs w:val="22"/>
              </w:rPr>
              <w:t>（2）监测内容：非甲烷总烃。</w:t>
            </w:r>
          </w:p>
          <w:p>
            <w:pPr>
              <w:ind w:firstLine="480"/>
              <w:rPr>
                <w:szCs w:val="22"/>
              </w:rPr>
            </w:pPr>
            <w:r>
              <w:rPr>
                <w:szCs w:val="22"/>
              </w:rPr>
              <w:t>（3）监测点位：锦绣大道与杭福路交叉口，距本项目约380m，监测点位图见图3-1。</w:t>
            </w:r>
          </w:p>
          <w:p>
            <w:pPr>
              <w:ind w:firstLine="480"/>
              <w:rPr>
                <w:szCs w:val="22"/>
              </w:rPr>
            </w:pPr>
            <w:r>
              <w:rPr>
                <w:szCs w:val="22"/>
              </w:rPr>
              <w:t>（4）监测结果：</w:t>
            </w:r>
            <w:r>
              <w:t>具体非甲烷总烃监测数据见表3-3。</w:t>
            </w:r>
          </w:p>
          <w:p>
            <w:pPr>
              <w:pStyle w:val="46"/>
            </w:pPr>
            <w:r>
              <w:t xml:space="preserve">表3-3 </w:t>
            </w:r>
            <w:r>
              <w:rPr>
                <w:rFonts w:hint="eastAsia"/>
              </w:rPr>
              <w:t>大气环境特征因子环境质量现状</w:t>
            </w:r>
            <w:r>
              <w:t>监测结果</w:t>
            </w:r>
          </w:p>
          <w:tbl>
            <w:tblPr>
              <w:tblStyle w:val="3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857"/>
              <w:gridCol w:w="723"/>
              <w:gridCol w:w="1219"/>
              <w:gridCol w:w="1219"/>
              <w:gridCol w:w="1219"/>
              <w:gridCol w:w="1219"/>
              <w:gridCol w:w="918"/>
              <w:gridCol w:w="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vAlign w:val="center"/>
                </w:tcPr>
                <w:p>
                  <w:pPr>
                    <w:pStyle w:val="47"/>
                    <w:rPr>
                      <w:b/>
                      <w:bCs/>
                    </w:rPr>
                  </w:pPr>
                  <w:r>
                    <w:rPr>
                      <w:b/>
                      <w:bCs/>
                    </w:rPr>
                    <w:t>污染因子</w:t>
                  </w:r>
                </w:p>
              </w:tc>
              <w:tc>
                <w:tcPr>
                  <w:tcW w:w="524" w:type="pct"/>
                  <w:vAlign w:val="center"/>
                </w:tcPr>
                <w:p>
                  <w:pPr>
                    <w:pStyle w:val="47"/>
                    <w:rPr>
                      <w:b/>
                      <w:bCs/>
                    </w:rPr>
                  </w:pPr>
                  <w:r>
                    <w:rPr>
                      <w:b/>
                      <w:bCs/>
                    </w:rPr>
                    <w:t>监测</w:t>
                  </w:r>
                </w:p>
                <w:p>
                  <w:pPr>
                    <w:pStyle w:val="47"/>
                    <w:rPr>
                      <w:b/>
                      <w:bCs/>
                    </w:rPr>
                  </w:pPr>
                  <w:r>
                    <w:rPr>
                      <w:b/>
                      <w:bCs/>
                    </w:rPr>
                    <w:t>点位</w:t>
                  </w:r>
                </w:p>
              </w:tc>
              <w:tc>
                <w:tcPr>
                  <w:tcW w:w="447" w:type="pct"/>
                  <w:vAlign w:val="center"/>
                </w:tcPr>
                <w:p>
                  <w:pPr>
                    <w:pStyle w:val="47"/>
                    <w:rPr>
                      <w:b/>
                      <w:bCs/>
                    </w:rPr>
                  </w:pPr>
                  <w:r>
                    <w:rPr>
                      <w:b/>
                      <w:bCs/>
                    </w:rPr>
                    <w:t>监测时段</w:t>
                  </w:r>
                </w:p>
              </w:tc>
              <w:tc>
                <w:tcPr>
                  <w:tcW w:w="645" w:type="pct"/>
                  <w:vAlign w:val="center"/>
                </w:tcPr>
                <w:p>
                  <w:pPr>
                    <w:pStyle w:val="47"/>
                    <w:rPr>
                      <w:b/>
                      <w:bCs/>
                    </w:rPr>
                  </w:pPr>
                  <w:r>
                    <w:rPr>
                      <w:b/>
                      <w:bCs/>
                    </w:rPr>
                    <w:t>监测范围（mg/m</w:t>
                  </w:r>
                  <w:r>
                    <w:rPr>
                      <w:b/>
                      <w:bCs/>
                      <w:vertAlign w:val="superscript"/>
                    </w:rPr>
                    <w:t>3</w:t>
                  </w:r>
                  <w:r>
                    <w:rPr>
                      <w:b/>
                      <w:bCs/>
                    </w:rPr>
                    <w:t>）</w:t>
                  </w:r>
                </w:p>
              </w:tc>
              <w:tc>
                <w:tcPr>
                  <w:tcW w:w="654" w:type="pct"/>
                  <w:vAlign w:val="center"/>
                </w:tcPr>
                <w:p>
                  <w:pPr>
                    <w:pStyle w:val="47"/>
                    <w:rPr>
                      <w:b/>
                      <w:bCs/>
                    </w:rPr>
                  </w:pPr>
                  <w:r>
                    <w:rPr>
                      <w:b/>
                      <w:bCs/>
                    </w:rPr>
                    <w:t>最大值（mg/m</w:t>
                  </w:r>
                  <w:r>
                    <w:rPr>
                      <w:b/>
                      <w:bCs/>
                      <w:vertAlign w:val="superscript"/>
                    </w:rPr>
                    <w:t>3</w:t>
                  </w:r>
                  <w:r>
                    <w:rPr>
                      <w:b/>
                      <w:bCs/>
                    </w:rPr>
                    <w:t>）</w:t>
                  </w:r>
                </w:p>
              </w:tc>
              <w:tc>
                <w:tcPr>
                  <w:tcW w:w="645" w:type="pct"/>
                  <w:vAlign w:val="center"/>
                </w:tcPr>
                <w:p>
                  <w:pPr>
                    <w:pStyle w:val="47"/>
                    <w:rPr>
                      <w:b/>
                      <w:bCs/>
                    </w:rPr>
                  </w:pPr>
                  <w:r>
                    <w:rPr>
                      <w:b/>
                      <w:bCs/>
                    </w:rPr>
                    <w:t>平均值（mg/m</w:t>
                  </w:r>
                  <w:r>
                    <w:rPr>
                      <w:b/>
                      <w:bCs/>
                      <w:vertAlign w:val="superscript"/>
                    </w:rPr>
                    <w:t>3</w:t>
                  </w:r>
                  <w:r>
                    <w:rPr>
                      <w:b/>
                      <w:bCs/>
                    </w:rPr>
                    <w:t>）</w:t>
                  </w:r>
                </w:p>
              </w:tc>
              <w:tc>
                <w:tcPr>
                  <w:tcW w:w="688" w:type="pct"/>
                  <w:vAlign w:val="center"/>
                </w:tcPr>
                <w:p>
                  <w:pPr>
                    <w:pStyle w:val="47"/>
                    <w:rPr>
                      <w:b/>
                      <w:bCs/>
                    </w:rPr>
                  </w:pPr>
                  <w:r>
                    <w:rPr>
                      <w:b/>
                      <w:bCs/>
                    </w:rPr>
                    <w:t>标准值（mg/m</w:t>
                  </w:r>
                  <w:r>
                    <w:rPr>
                      <w:b/>
                      <w:bCs/>
                      <w:vertAlign w:val="superscript"/>
                    </w:rPr>
                    <w:t>3</w:t>
                  </w:r>
                  <w:r>
                    <w:rPr>
                      <w:b/>
                      <w:bCs/>
                    </w:rPr>
                    <w:t>）</w:t>
                  </w:r>
                </w:p>
              </w:tc>
              <w:tc>
                <w:tcPr>
                  <w:tcW w:w="559" w:type="pct"/>
                  <w:vAlign w:val="center"/>
                </w:tcPr>
                <w:p>
                  <w:pPr>
                    <w:pStyle w:val="47"/>
                    <w:rPr>
                      <w:b/>
                      <w:bCs/>
                    </w:rPr>
                  </w:pPr>
                  <w:r>
                    <w:rPr>
                      <w:b/>
                      <w:bCs/>
                    </w:rPr>
                    <w:t>最大浓度占标率（%）</w:t>
                  </w:r>
                </w:p>
              </w:tc>
              <w:tc>
                <w:tcPr>
                  <w:tcW w:w="402" w:type="pct"/>
                  <w:vAlign w:val="center"/>
                </w:tcPr>
                <w:p>
                  <w:pPr>
                    <w:pStyle w:val="47"/>
                    <w:rPr>
                      <w:b/>
                      <w:bCs/>
                    </w:rPr>
                  </w:pPr>
                  <w:r>
                    <w:rPr>
                      <w:b/>
                      <w:bCs/>
                    </w:rPr>
                    <w:t>超标率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vMerge w:val="restart"/>
                  <w:vAlign w:val="center"/>
                </w:tcPr>
                <w:p>
                  <w:pPr>
                    <w:pStyle w:val="47"/>
                  </w:pPr>
                  <w:r>
                    <w:t>非甲烷总烃</w:t>
                  </w:r>
                </w:p>
              </w:tc>
              <w:tc>
                <w:tcPr>
                  <w:tcW w:w="524" w:type="pct"/>
                  <w:vMerge w:val="restart"/>
                  <w:vAlign w:val="center"/>
                </w:tcPr>
                <w:p>
                  <w:pPr>
                    <w:pStyle w:val="47"/>
                  </w:pPr>
                  <w:r>
                    <w:rPr>
                      <w:szCs w:val="22"/>
                    </w:rPr>
                    <w:t>锦绣大道与杭福路交叉口</w:t>
                  </w:r>
                </w:p>
              </w:tc>
              <w:tc>
                <w:tcPr>
                  <w:tcW w:w="447" w:type="pct"/>
                  <w:vAlign w:val="center"/>
                </w:tcPr>
                <w:p>
                  <w:pPr>
                    <w:pStyle w:val="47"/>
                  </w:pPr>
                  <w:r>
                    <w:t>2:00</w:t>
                  </w:r>
                </w:p>
              </w:tc>
              <w:tc>
                <w:tcPr>
                  <w:tcW w:w="645" w:type="pct"/>
                  <w:vAlign w:val="center"/>
                </w:tcPr>
                <w:p>
                  <w:pPr>
                    <w:pStyle w:val="47"/>
                  </w:pPr>
                  <w:r>
                    <w:t>0.82~1.02</w:t>
                  </w:r>
                </w:p>
              </w:tc>
              <w:tc>
                <w:tcPr>
                  <w:tcW w:w="654" w:type="pct"/>
                  <w:vAlign w:val="center"/>
                </w:tcPr>
                <w:p>
                  <w:pPr>
                    <w:pStyle w:val="47"/>
                  </w:pPr>
                  <w:r>
                    <w:t>1.02</w:t>
                  </w:r>
                </w:p>
              </w:tc>
              <w:tc>
                <w:tcPr>
                  <w:tcW w:w="645" w:type="pct"/>
                  <w:vMerge w:val="restart"/>
                  <w:vAlign w:val="center"/>
                </w:tcPr>
                <w:p>
                  <w:pPr>
                    <w:pStyle w:val="47"/>
                  </w:pPr>
                  <w:r>
                    <w:t>0.91</w:t>
                  </w:r>
                </w:p>
              </w:tc>
              <w:tc>
                <w:tcPr>
                  <w:tcW w:w="688" w:type="pct"/>
                  <w:vMerge w:val="restart"/>
                  <w:vAlign w:val="center"/>
                </w:tcPr>
                <w:p>
                  <w:pPr>
                    <w:pStyle w:val="47"/>
                  </w:pPr>
                  <w:r>
                    <w:t>2.0</w:t>
                  </w:r>
                </w:p>
              </w:tc>
              <w:tc>
                <w:tcPr>
                  <w:tcW w:w="559" w:type="pct"/>
                  <w:vAlign w:val="center"/>
                </w:tcPr>
                <w:p>
                  <w:pPr>
                    <w:pStyle w:val="47"/>
                  </w:pPr>
                  <w:r>
                    <w:t>48.5</w:t>
                  </w:r>
                </w:p>
              </w:tc>
              <w:tc>
                <w:tcPr>
                  <w:tcW w:w="402" w:type="pct"/>
                  <w:vAlign w:val="center"/>
                </w:tcPr>
                <w:p>
                  <w:pPr>
                    <w:pStyle w:val="47"/>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vMerge w:val="continue"/>
                  <w:vAlign w:val="center"/>
                </w:tcPr>
                <w:p>
                  <w:pPr>
                    <w:pStyle w:val="47"/>
                  </w:pPr>
                </w:p>
              </w:tc>
              <w:tc>
                <w:tcPr>
                  <w:tcW w:w="524" w:type="pct"/>
                  <w:vMerge w:val="continue"/>
                  <w:vAlign w:val="center"/>
                </w:tcPr>
                <w:p>
                  <w:pPr>
                    <w:pStyle w:val="47"/>
                  </w:pPr>
                </w:p>
              </w:tc>
              <w:tc>
                <w:tcPr>
                  <w:tcW w:w="447" w:type="pct"/>
                  <w:vAlign w:val="center"/>
                </w:tcPr>
                <w:p>
                  <w:pPr>
                    <w:pStyle w:val="47"/>
                  </w:pPr>
                  <w:r>
                    <w:t>8:00</w:t>
                  </w:r>
                </w:p>
              </w:tc>
              <w:tc>
                <w:tcPr>
                  <w:tcW w:w="645" w:type="pct"/>
                  <w:vAlign w:val="center"/>
                </w:tcPr>
                <w:p>
                  <w:pPr>
                    <w:pStyle w:val="47"/>
                  </w:pPr>
                  <w:r>
                    <w:t>0.87~1.03</w:t>
                  </w:r>
                </w:p>
              </w:tc>
              <w:tc>
                <w:tcPr>
                  <w:tcW w:w="654" w:type="pct"/>
                  <w:vAlign w:val="center"/>
                </w:tcPr>
                <w:p>
                  <w:pPr>
                    <w:pStyle w:val="47"/>
                  </w:pPr>
                  <w:r>
                    <w:t>1.03</w:t>
                  </w:r>
                </w:p>
              </w:tc>
              <w:tc>
                <w:tcPr>
                  <w:tcW w:w="645" w:type="pct"/>
                  <w:vMerge w:val="continue"/>
                  <w:vAlign w:val="center"/>
                </w:tcPr>
                <w:p>
                  <w:pPr>
                    <w:pStyle w:val="47"/>
                  </w:pPr>
                </w:p>
              </w:tc>
              <w:tc>
                <w:tcPr>
                  <w:tcW w:w="688" w:type="pct"/>
                  <w:vMerge w:val="continue"/>
                  <w:vAlign w:val="center"/>
                </w:tcPr>
                <w:p>
                  <w:pPr>
                    <w:pStyle w:val="47"/>
                  </w:pPr>
                </w:p>
              </w:tc>
              <w:tc>
                <w:tcPr>
                  <w:tcW w:w="559" w:type="pct"/>
                  <w:vAlign w:val="center"/>
                </w:tcPr>
                <w:p>
                  <w:pPr>
                    <w:pStyle w:val="47"/>
                  </w:pPr>
                  <w:r>
                    <w:t>47.5</w:t>
                  </w:r>
                </w:p>
              </w:tc>
              <w:tc>
                <w:tcPr>
                  <w:tcW w:w="402" w:type="pct"/>
                  <w:vAlign w:val="center"/>
                </w:tcPr>
                <w:p>
                  <w:pPr>
                    <w:pStyle w:val="47"/>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vMerge w:val="continue"/>
                  <w:vAlign w:val="center"/>
                </w:tcPr>
                <w:p>
                  <w:pPr>
                    <w:pStyle w:val="47"/>
                  </w:pPr>
                </w:p>
              </w:tc>
              <w:tc>
                <w:tcPr>
                  <w:tcW w:w="524" w:type="pct"/>
                  <w:vMerge w:val="continue"/>
                  <w:vAlign w:val="center"/>
                </w:tcPr>
                <w:p>
                  <w:pPr>
                    <w:pStyle w:val="47"/>
                  </w:pPr>
                </w:p>
              </w:tc>
              <w:tc>
                <w:tcPr>
                  <w:tcW w:w="447" w:type="pct"/>
                  <w:vAlign w:val="center"/>
                </w:tcPr>
                <w:p>
                  <w:pPr>
                    <w:pStyle w:val="47"/>
                  </w:pPr>
                  <w:r>
                    <w:t>14:00</w:t>
                  </w:r>
                </w:p>
              </w:tc>
              <w:tc>
                <w:tcPr>
                  <w:tcW w:w="645" w:type="pct"/>
                  <w:vAlign w:val="center"/>
                </w:tcPr>
                <w:p>
                  <w:pPr>
                    <w:pStyle w:val="47"/>
                  </w:pPr>
                  <w:r>
                    <w:t>0.87~0.96</w:t>
                  </w:r>
                </w:p>
              </w:tc>
              <w:tc>
                <w:tcPr>
                  <w:tcW w:w="654" w:type="pct"/>
                  <w:vAlign w:val="center"/>
                </w:tcPr>
                <w:p>
                  <w:pPr>
                    <w:pStyle w:val="47"/>
                  </w:pPr>
                  <w:r>
                    <w:t>0.96</w:t>
                  </w:r>
                </w:p>
              </w:tc>
              <w:tc>
                <w:tcPr>
                  <w:tcW w:w="645" w:type="pct"/>
                  <w:vMerge w:val="continue"/>
                  <w:vAlign w:val="center"/>
                </w:tcPr>
                <w:p>
                  <w:pPr>
                    <w:pStyle w:val="47"/>
                  </w:pPr>
                </w:p>
              </w:tc>
              <w:tc>
                <w:tcPr>
                  <w:tcW w:w="688" w:type="pct"/>
                  <w:vMerge w:val="continue"/>
                  <w:vAlign w:val="center"/>
                </w:tcPr>
                <w:p>
                  <w:pPr>
                    <w:pStyle w:val="47"/>
                  </w:pPr>
                </w:p>
              </w:tc>
              <w:tc>
                <w:tcPr>
                  <w:tcW w:w="559" w:type="pct"/>
                  <w:vAlign w:val="center"/>
                </w:tcPr>
                <w:p>
                  <w:pPr>
                    <w:pStyle w:val="47"/>
                  </w:pPr>
                  <w:r>
                    <w:t>48.0</w:t>
                  </w:r>
                </w:p>
              </w:tc>
              <w:tc>
                <w:tcPr>
                  <w:tcW w:w="402" w:type="pct"/>
                  <w:vAlign w:val="center"/>
                </w:tcPr>
                <w:p>
                  <w:pPr>
                    <w:pStyle w:val="47"/>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vMerge w:val="continue"/>
                  <w:vAlign w:val="center"/>
                </w:tcPr>
                <w:p>
                  <w:pPr>
                    <w:pStyle w:val="47"/>
                  </w:pPr>
                </w:p>
              </w:tc>
              <w:tc>
                <w:tcPr>
                  <w:tcW w:w="524" w:type="pct"/>
                  <w:vMerge w:val="continue"/>
                  <w:vAlign w:val="center"/>
                </w:tcPr>
                <w:p>
                  <w:pPr>
                    <w:pStyle w:val="47"/>
                  </w:pPr>
                </w:p>
              </w:tc>
              <w:tc>
                <w:tcPr>
                  <w:tcW w:w="447" w:type="pct"/>
                  <w:vAlign w:val="center"/>
                </w:tcPr>
                <w:p>
                  <w:pPr>
                    <w:pStyle w:val="47"/>
                  </w:pPr>
                  <w:r>
                    <w:t>20:00</w:t>
                  </w:r>
                </w:p>
              </w:tc>
              <w:tc>
                <w:tcPr>
                  <w:tcW w:w="645" w:type="pct"/>
                  <w:vAlign w:val="center"/>
                </w:tcPr>
                <w:p>
                  <w:pPr>
                    <w:pStyle w:val="47"/>
                  </w:pPr>
                  <w:r>
                    <w:t>0.80~0.94</w:t>
                  </w:r>
                </w:p>
              </w:tc>
              <w:tc>
                <w:tcPr>
                  <w:tcW w:w="654" w:type="pct"/>
                  <w:vAlign w:val="center"/>
                </w:tcPr>
                <w:p>
                  <w:pPr>
                    <w:pStyle w:val="47"/>
                  </w:pPr>
                  <w:r>
                    <w:t>0.94</w:t>
                  </w:r>
                </w:p>
              </w:tc>
              <w:tc>
                <w:tcPr>
                  <w:tcW w:w="645" w:type="pct"/>
                  <w:vMerge w:val="continue"/>
                  <w:vAlign w:val="center"/>
                </w:tcPr>
                <w:p>
                  <w:pPr>
                    <w:pStyle w:val="47"/>
                  </w:pPr>
                </w:p>
              </w:tc>
              <w:tc>
                <w:tcPr>
                  <w:tcW w:w="688" w:type="pct"/>
                  <w:vMerge w:val="continue"/>
                  <w:vAlign w:val="center"/>
                </w:tcPr>
                <w:p>
                  <w:pPr>
                    <w:pStyle w:val="47"/>
                  </w:pPr>
                </w:p>
              </w:tc>
              <w:tc>
                <w:tcPr>
                  <w:tcW w:w="559" w:type="pct"/>
                  <w:vAlign w:val="center"/>
                </w:tcPr>
                <w:p>
                  <w:pPr>
                    <w:pStyle w:val="47"/>
                  </w:pPr>
                  <w:r>
                    <w:t>47.0</w:t>
                  </w:r>
                </w:p>
              </w:tc>
              <w:tc>
                <w:tcPr>
                  <w:tcW w:w="402" w:type="pct"/>
                  <w:vAlign w:val="center"/>
                </w:tcPr>
                <w:p>
                  <w:pPr>
                    <w:pStyle w:val="47"/>
                  </w:pPr>
                  <w:r>
                    <w:t>0</w:t>
                  </w:r>
                </w:p>
              </w:tc>
            </w:tr>
          </w:tbl>
          <w:p>
            <w:pPr>
              <w:ind w:firstLine="480"/>
            </w:pPr>
            <w:r>
              <w:t>由监测结果可知，项目区域周边环境空气中非甲烷总烃浓度能够满足《大气污染物综合排放标准详解》（GB16297-1996）中的相关取值，区域环境空气质量较好。</w:t>
            </w:r>
          </w:p>
          <w:p>
            <w:pPr>
              <w:pStyle w:val="6"/>
              <w:rPr>
                <w:kern w:val="2"/>
              </w:rPr>
            </w:pPr>
            <w:bookmarkStart w:id="88" w:name="_Toc29380604"/>
            <w:bookmarkStart w:id="89" w:name="_Toc29388555"/>
            <w:r>
              <w:rPr>
                <w:kern w:val="2"/>
              </w:rPr>
              <w:t>3.1.3声环境质量现状</w:t>
            </w:r>
            <w:bookmarkEnd w:id="88"/>
            <w:bookmarkEnd w:id="89"/>
          </w:p>
          <w:p>
            <w:pPr>
              <w:ind w:firstLine="480"/>
            </w:pPr>
            <w:r>
              <w:t>本项目实行单班制生产，每天生产时间8小时，夜间不生产。为了解项目所在地附近声环境质量现状，因此本环</w:t>
            </w:r>
            <w:r>
              <w:rPr>
                <w:szCs w:val="22"/>
              </w:rPr>
              <w:t>评于2020年</w:t>
            </w:r>
            <w:r>
              <w:rPr>
                <w:rFonts w:hint="eastAsia"/>
                <w:szCs w:val="22"/>
              </w:rPr>
              <w:t>12</w:t>
            </w:r>
            <w:r>
              <w:rPr>
                <w:szCs w:val="22"/>
              </w:rPr>
              <w:t>月21日对项</w:t>
            </w:r>
            <w:r>
              <w:t>目拟建地厂界昼间声环境进行了监测，</w:t>
            </w:r>
            <w:r>
              <w:rPr>
                <w:rFonts w:hint="eastAsia"/>
              </w:rPr>
              <w:t>由于本项目厂界西侧与其他工业企业厂房紧邻，不符合监测条件，因此本环评对项目拟建地厂界东侧、南侧、北侧共布设</w:t>
            </w:r>
            <w:r>
              <w:t>3</w:t>
            </w:r>
            <w:r>
              <w:rPr>
                <w:rFonts w:hint="eastAsia"/>
              </w:rPr>
              <w:t>个监测点，进行昼间声环境现状监测，</w:t>
            </w:r>
            <w:r>
              <w:t>监测结果见下表。</w:t>
            </w:r>
          </w:p>
          <w:p>
            <w:pPr>
              <w:pStyle w:val="46"/>
            </w:pPr>
            <w:r>
              <w:t>表3-4  选址区域现状噪声监测评价结果  单位：</w:t>
            </w:r>
            <w:r>
              <w:rPr>
                <w:bCs/>
              </w:rPr>
              <w:t xml:space="preserve">dB（A）        </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1929"/>
              <w:gridCol w:w="2091"/>
              <w:gridCol w:w="1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76" w:type="pct"/>
                  <w:vMerge w:val="restart"/>
                  <w:tcBorders>
                    <w:top w:val="single" w:color="auto" w:sz="4" w:space="0"/>
                    <w:left w:val="single" w:color="auto" w:sz="4" w:space="0"/>
                    <w:bottom w:val="single" w:color="auto" w:sz="4" w:space="0"/>
                    <w:right w:val="single" w:color="auto" w:sz="4" w:space="0"/>
                  </w:tcBorders>
                  <w:vAlign w:val="center"/>
                </w:tcPr>
                <w:p>
                  <w:pPr>
                    <w:pStyle w:val="46"/>
                  </w:pPr>
                  <w:r>
                    <w:t>测点</w:t>
                  </w:r>
                </w:p>
              </w:tc>
              <w:tc>
                <w:tcPr>
                  <w:tcW w:w="3223" w:type="pct"/>
                  <w:gridSpan w:val="3"/>
                  <w:tcBorders>
                    <w:top w:val="single" w:color="auto" w:sz="4" w:space="0"/>
                    <w:left w:val="single" w:color="auto" w:sz="4" w:space="0"/>
                    <w:bottom w:val="single" w:color="auto" w:sz="4" w:space="0"/>
                    <w:right w:val="single" w:color="auto" w:sz="4" w:space="0"/>
                  </w:tcBorders>
                  <w:vAlign w:val="center"/>
                </w:tcPr>
                <w:p>
                  <w:pPr>
                    <w:pStyle w:val="46"/>
                  </w:pPr>
                  <w: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76" w:type="pct"/>
                  <w:vMerge w:val="continue"/>
                  <w:tcBorders>
                    <w:top w:val="single" w:color="auto" w:sz="4" w:space="0"/>
                    <w:left w:val="single" w:color="auto" w:sz="4" w:space="0"/>
                    <w:bottom w:val="single" w:color="auto" w:sz="4" w:space="0"/>
                    <w:right w:val="single" w:color="auto" w:sz="4" w:space="0"/>
                  </w:tcBorders>
                  <w:vAlign w:val="center"/>
                </w:tcPr>
                <w:p>
                  <w:pPr>
                    <w:pStyle w:val="46"/>
                  </w:pPr>
                </w:p>
              </w:tc>
              <w:tc>
                <w:tcPr>
                  <w:tcW w:w="1106" w:type="pct"/>
                  <w:tcBorders>
                    <w:top w:val="single" w:color="auto" w:sz="4" w:space="0"/>
                    <w:left w:val="single" w:color="auto" w:sz="4" w:space="0"/>
                    <w:bottom w:val="single" w:color="auto" w:sz="4" w:space="0"/>
                    <w:right w:val="single" w:color="auto" w:sz="4" w:space="0"/>
                  </w:tcBorders>
                  <w:vAlign w:val="center"/>
                </w:tcPr>
                <w:p>
                  <w:pPr>
                    <w:pStyle w:val="46"/>
                  </w:pPr>
                  <w:r>
                    <w:t>Leq</w:t>
                  </w:r>
                </w:p>
              </w:tc>
              <w:tc>
                <w:tcPr>
                  <w:tcW w:w="1199" w:type="pct"/>
                  <w:tcBorders>
                    <w:top w:val="single" w:color="auto" w:sz="4" w:space="0"/>
                    <w:left w:val="single" w:color="auto" w:sz="4" w:space="0"/>
                    <w:bottom w:val="single" w:color="auto" w:sz="4" w:space="0"/>
                    <w:right w:val="single" w:color="auto" w:sz="4" w:space="0"/>
                  </w:tcBorders>
                  <w:vAlign w:val="center"/>
                </w:tcPr>
                <w:p>
                  <w:pPr>
                    <w:pStyle w:val="46"/>
                  </w:pPr>
                  <w:r>
                    <w:t>标准值</w:t>
                  </w:r>
                </w:p>
              </w:tc>
              <w:tc>
                <w:tcPr>
                  <w:tcW w:w="917" w:type="pct"/>
                  <w:tcBorders>
                    <w:top w:val="single" w:color="auto" w:sz="4" w:space="0"/>
                    <w:left w:val="single" w:color="auto" w:sz="4" w:space="0"/>
                    <w:bottom w:val="single" w:color="auto" w:sz="4" w:space="0"/>
                    <w:right w:val="single" w:color="auto" w:sz="4" w:space="0"/>
                  </w:tcBorders>
                  <w:vAlign w:val="center"/>
                </w:tcPr>
                <w:p>
                  <w:pPr>
                    <w:pStyle w:val="46"/>
                  </w:pPr>
                  <w:r>
                    <w:t>超标值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76" w:type="pct"/>
                  <w:tcBorders>
                    <w:top w:val="single" w:color="auto" w:sz="4" w:space="0"/>
                    <w:left w:val="single" w:color="auto" w:sz="4" w:space="0"/>
                    <w:bottom w:val="single" w:color="auto" w:sz="4" w:space="0"/>
                    <w:right w:val="single" w:color="auto" w:sz="4" w:space="0"/>
                  </w:tcBorders>
                  <w:vAlign w:val="center"/>
                </w:tcPr>
                <w:p>
                  <w:pPr>
                    <w:pStyle w:val="47"/>
                  </w:pPr>
                  <w:r>
                    <w:t>1#(东厂界)</w:t>
                  </w:r>
                </w:p>
              </w:tc>
              <w:tc>
                <w:tcPr>
                  <w:tcW w:w="1106" w:type="pct"/>
                  <w:tcBorders>
                    <w:top w:val="single" w:color="auto" w:sz="4" w:space="0"/>
                    <w:left w:val="single" w:color="auto" w:sz="4" w:space="0"/>
                    <w:bottom w:val="single" w:color="auto" w:sz="4" w:space="0"/>
                    <w:right w:val="single" w:color="auto" w:sz="4" w:space="0"/>
                  </w:tcBorders>
                  <w:vAlign w:val="bottom"/>
                </w:tcPr>
                <w:p>
                  <w:pPr>
                    <w:pStyle w:val="47"/>
                  </w:pPr>
                  <w:r>
                    <w:rPr>
                      <w:rFonts w:hint="eastAsia"/>
                    </w:rPr>
                    <w:t>56.2</w:t>
                  </w:r>
                </w:p>
              </w:tc>
              <w:tc>
                <w:tcPr>
                  <w:tcW w:w="1199" w:type="pct"/>
                  <w:tcBorders>
                    <w:top w:val="single" w:color="auto" w:sz="4" w:space="0"/>
                    <w:left w:val="single" w:color="auto" w:sz="4" w:space="0"/>
                    <w:bottom w:val="single" w:color="auto" w:sz="4" w:space="0"/>
                    <w:right w:val="single" w:color="auto" w:sz="4" w:space="0"/>
                  </w:tcBorders>
                  <w:vAlign w:val="center"/>
                </w:tcPr>
                <w:p>
                  <w:pPr>
                    <w:pStyle w:val="47"/>
                  </w:pPr>
                  <w:r>
                    <w:t>65</w:t>
                  </w:r>
                </w:p>
              </w:tc>
              <w:tc>
                <w:tcPr>
                  <w:tcW w:w="917" w:type="pct"/>
                  <w:tcBorders>
                    <w:top w:val="single" w:color="auto" w:sz="4" w:space="0"/>
                    <w:left w:val="single" w:color="auto" w:sz="4" w:space="0"/>
                    <w:bottom w:val="single" w:color="auto" w:sz="4" w:space="0"/>
                    <w:right w:val="single" w:color="auto" w:sz="4" w:space="0"/>
                  </w:tcBorders>
                  <w:vAlign w:val="center"/>
                </w:tcPr>
                <w:p>
                  <w:pPr>
                    <w:pStyle w:val="47"/>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76" w:type="pct"/>
                  <w:tcBorders>
                    <w:top w:val="single" w:color="auto" w:sz="4" w:space="0"/>
                    <w:left w:val="single" w:color="auto" w:sz="4" w:space="0"/>
                    <w:bottom w:val="single" w:color="auto" w:sz="4" w:space="0"/>
                    <w:right w:val="single" w:color="auto" w:sz="4" w:space="0"/>
                  </w:tcBorders>
                  <w:vAlign w:val="center"/>
                </w:tcPr>
                <w:p>
                  <w:pPr>
                    <w:pStyle w:val="47"/>
                  </w:pPr>
                  <w:r>
                    <w:t>2#(南厂界)</w:t>
                  </w:r>
                </w:p>
              </w:tc>
              <w:tc>
                <w:tcPr>
                  <w:tcW w:w="1106" w:type="pct"/>
                  <w:tcBorders>
                    <w:top w:val="single" w:color="auto" w:sz="4" w:space="0"/>
                    <w:left w:val="single" w:color="auto" w:sz="4" w:space="0"/>
                    <w:bottom w:val="single" w:color="auto" w:sz="4" w:space="0"/>
                    <w:right w:val="single" w:color="auto" w:sz="4" w:space="0"/>
                  </w:tcBorders>
                  <w:vAlign w:val="bottom"/>
                </w:tcPr>
                <w:p>
                  <w:pPr>
                    <w:pStyle w:val="47"/>
                  </w:pPr>
                  <w:r>
                    <w:rPr>
                      <w:rFonts w:hint="eastAsia"/>
                    </w:rPr>
                    <w:t>57.1</w:t>
                  </w:r>
                </w:p>
              </w:tc>
              <w:tc>
                <w:tcPr>
                  <w:tcW w:w="1199" w:type="pct"/>
                  <w:tcBorders>
                    <w:top w:val="single" w:color="auto" w:sz="4" w:space="0"/>
                    <w:left w:val="single" w:color="auto" w:sz="4" w:space="0"/>
                    <w:bottom w:val="single" w:color="auto" w:sz="4" w:space="0"/>
                    <w:right w:val="single" w:color="auto" w:sz="4" w:space="0"/>
                  </w:tcBorders>
                  <w:vAlign w:val="center"/>
                </w:tcPr>
                <w:p>
                  <w:pPr>
                    <w:pStyle w:val="47"/>
                  </w:pPr>
                  <w:r>
                    <w:t>65</w:t>
                  </w:r>
                </w:p>
              </w:tc>
              <w:tc>
                <w:tcPr>
                  <w:tcW w:w="917" w:type="pct"/>
                  <w:tcBorders>
                    <w:top w:val="single" w:color="auto" w:sz="4" w:space="0"/>
                    <w:left w:val="single" w:color="auto" w:sz="4" w:space="0"/>
                    <w:bottom w:val="single" w:color="auto" w:sz="4" w:space="0"/>
                    <w:right w:val="single" w:color="auto" w:sz="4" w:space="0"/>
                  </w:tcBorders>
                  <w:vAlign w:val="center"/>
                </w:tcPr>
                <w:p>
                  <w:pPr>
                    <w:pStyle w:val="47"/>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76"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3</w:t>
                  </w:r>
                  <w:r>
                    <w:t>#(北厂界)</w:t>
                  </w:r>
                </w:p>
              </w:tc>
              <w:tc>
                <w:tcPr>
                  <w:tcW w:w="1106" w:type="pct"/>
                  <w:tcBorders>
                    <w:top w:val="single" w:color="auto" w:sz="4" w:space="0"/>
                    <w:left w:val="single" w:color="auto" w:sz="4" w:space="0"/>
                    <w:bottom w:val="single" w:color="auto" w:sz="4" w:space="0"/>
                    <w:right w:val="single" w:color="auto" w:sz="4" w:space="0"/>
                  </w:tcBorders>
                  <w:vAlign w:val="bottom"/>
                </w:tcPr>
                <w:p>
                  <w:pPr>
                    <w:pStyle w:val="47"/>
                  </w:pPr>
                  <w:r>
                    <w:rPr>
                      <w:rFonts w:hint="eastAsia"/>
                    </w:rPr>
                    <w:t>57.3</w:t>
                  </w:r>
                </w:p>
              </w:tc>
              <w:tc>
                <w:tcPr>
                  <w:tcW w:w="1199" w:type="pct"/>
                  <w:tcBorders>
                    <w:top w:val="single" w:color="auto" w:sz="4" w:space="0"/>
                    <w:left w:val="single" w:color="auto" w:sz="4" w:space="0"/>
                    <w:bottom w:val="single" w:color="auto" w:sz="4" w:space="0"/>
                    <w:right w:val="single" w:color="auto" w:sz="4" w:space="0"/>
                  </w:tcBorders>
                  <w:vAlign w:val="center"/>
                </w:tcPr>
                <w:p>
                  <w:pPr>
                    <w:pStyle w:val="47"/>
                  </w:pPr>
                  <w:r>
                    <w:t>65</w:t>
                  </w:r>
                </w:p>
              </w:tc>
              <w:tc>
                <w:tcPr>
                  <w:tcW w:w="917" w:type="pct"/>
                  <w:tcBorders>
                    <w:top w:val="single" w:color="auto" w:sz="4" w:space="0"/>
                    <w:left w:val="single" w:color="auto" w:sz="4" w:space="0"/>
                    <w:bottom w:val="single" w:color="auto" w:sz="4" w:space="0"/>
                    <w:right w:val="single" w:color="auto" w:sz="4" w:space="0"/>
                  </w:tcBorders>
                  <w:vAlign w:val="center"/>
                </w:tcPr>
                <w:p>
                  <w:pPr>
                    <w:pStyle w:val="47"/>
                  </w:pPr>
                  <w:r>
                    <w:t>0</w:t>
                  </w:r>
                </w:p>
              </w:tc>
            </w:tr>
          </w:tbl>
          <w:p>
            <w:pPr>
              <w:ind w:firstLine="480"/>
            </w:pPr>
            <w:r>
              <w:rPr>
                <w:szCs w:val="24"/>
              </w:rPr>
              <w:t>从</w:t>
            </w:r>
            <w:r>
              <w:t>上述噪声监测结果可见，</w:t>
            </w:r>
            <w:r>
              <w:rPr>
                <w:rFonts w:hint="eastAsia"/>
              </w:rPr>
              <w:t>本项目</w:t>
            </w:r>
            <w:r>
              <w:t>厂界昼间噪声能达到《声环境质量标准》（GB3096-2008）中的相应标准。</w:t>
            </w:r>
          </w:p>
          <w:p>
            <w:pPr>
              <w:pStyle w:val="6"/>
              <w:rPr>
                <w:kern w:val="2"/>
              </w:rPr>
            </w:pPr>
            <w:bookmarkStart w:id="90" w:name="_Toc29380605"/>
            <w:bookmarkStart w:id="91" w:name="_Toc29388556"/>
            <w:r>
              <w:rPr>
                <w:kern w:val="2"/>
              </w:rPr>
              <w:t>3.1.4土壤环境质量现状</w:t>
            </w:r>
          </w:p>
          <w:p>
            <w:pPr>
              <w:ind w:firstLine="480"/>
            </w:pPr>
            <w:r>
              <w:rPr>
                <w:rFonts w:hint="eastAsia"/>
              </w:rPr>
              <w:t>根据中华人民共和国生态环境部于2020年8月10日关于“土壤破坏性监测问题”的回复：“根据建设项目实际情况，如果项目场地已经做了防腐防渗（包括硬化）处理无法取样，可不取样监测，但需要详细说明无法取样原因”。本项目所在厂房已经建成，场地内已经完成防腐防渗及地面硬化，且本项目主要对土壤环境产生污染影响的工段真空浸漆设置在厂房2层，项目占地范围内土壤环境质量不具备监测条件。</w:t>
            </w:r>
          </w:p>
          <w:p>
            <w:pPr>
              <w:ind w:firstLine="480"/>
            </w:pPr>
            <w:r>
              <w:t>为了解本项目所在区域土壤环境质量现状，企业委托</w:t>
            </w:r>
            <w:r>
              <w:rPr>
                <w:szCs w:val="22"/>
              </w:rPr>
              <w:t>嘉兴弘正检测有限公司对</w:t>
            </w:r>
            <w:r>
              <w:t>本项目</w:t>
            </w:r>
            <w:r>
              <w:rPr>
                <w:rFonts w:hint="eastAsia"/>
              </w:rPr>
              <w:t>占地范围外</w:t>
            </w:r>
            <w:r>
              <w:t>土壤进行了现状监测，根据</w:t>
            </w:r>
            <w:r>
              <w:rPr>
                <w:szCs w:val="22"/>
              </w:rPr>
              <w:t>检测报告（2020113000202-01），具体</w:t>
            </w:r>
            <w:r>
              <w:t>监测结果如下：</w:t>
            </w:r>
          </w:p>
          <w:p>
            <w:pPr>
              <w:ind w:firstLine="480"/>
            </w:pPr>
            <w:r>
              <w:t>（1）监测点位：本次土壤监测点位具体见表3-5，图3-1。</w:t>
            </w:r>
          </w:p>
          <w:p>
            <w:pPr>
              <w:pStyle w:val="46"/>
            </w:pPr>
            <w:r>
              <w:t>表3-5  土壤采样对照表</w:t>
            </w:r>
          </w:p>
          <w:tbl>
            <w:tblPr>
              <w:tblStyle w:val="3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
              <w:gridCol w:w="1558"/>
              <w:gridCol w:w="1150"/>
              <w:gridCol w:w="1132"/>
              <w:gridCol w:w="1549"/>
              <w:gridCol w:w="1373"/>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6" w:type="pct"/>
                  <w:vAlign w:val="center"/>
                </w:tcPr>
                <w:p>
                  <w:pPr>
                    <w:pStyle w:val="47"/>
                    <w:rPr>
                      <w:b/>
                      <w:bCs/>
                      <w:szCs w:val="21"/>
                    </w:rPr>
                  </w:pPr>
                  <w:r>
                    <w:rPr>
                      <w:b/>
                      <w:bCs/>
                      <w:szCs w:val="21"/>
                    </w:rPr>
                    <w:t>编号</w:t>
                  </w:r>
                </w:p>
              </w:tc>
              <w:tc>
                <w:tcPr>
                  <w:tcW w:w="893" w:type="pct"/>
                  <w:vAlign w:val="center"/>
                </w:tcPr>
                <w:p>
                  <w:pPr>
                    <w:pStyle w:val="47"/>
                    <w:rPr>
                      <w:b/>
                      <w:bCs/>
                      <w:szCs w:val="21"/>
                    </w:rPr>
                  </w:pPr>
                  <w:r>
                    <w:rPr>
                      <w:b/>
                      <w:bCs/>
                      <w:szCs w:val="21"/>
                    </w:rPr>
                    <w:t>点位</w:t>
                  </w:r>
                </w:p>
              </w:tc>
              <w:tc>
                <w:tcPr>
                  <w:tcW w:w="659" w:type="pct"/>
                  <w:vAlign w:val="center"/>
                </w:tcPr>
                <w:p>
                  <w:pPr>
                    <w:pStyle w:val="47"/>
                    <w:rPr>
                      <w:b/>
                      <w:bCs/>
                      <w:szCs w:val="21"/>
                    </w:rPr>
                  </w:pPr>
                  <w:r>
                    <w:rPr>
                      <w:rFonts w:hint="eastAsia"/>
                      <w:b/>
                      <w:bCs/>
                      <w:szCs w:val="21"/>
                    </w:rPr>
                    <w:t>土壤类别</w:t>
                  </w:r>
                </w:p>
              </w:tc>
              <w:tc>
                <w:tcPr>
                  <w:tcW w:w="649" w:type="pct"/>
                  <w:vAlign w:val="center"/>
                </w:tcPr>
                <w:p>
                  <w:pPr>
                    <w:pStyle w:val="47"/>
                    <w:rPr>
                      <w:b/>
                      <w:bCs/>
                      <w:szCs w:val="21"/>
                    </w:rPr>
                  </w:pPr>
                  <w:r>
                    <w:rPr>
                      <w:rFonts w:hint="eastAsia"/>
                      <w:b/>
                      <w:bCs/>
                      <w:szCs w:val="21"/>
                    </w:rPr>
                    <w:t>与本项目距离（m）</w:t>
                  </w:r>
                </w:p>
              </w:tc>
              <w:tc>
                <w:tcPr>
                  <w:tcW w:w="888" w:type="pct"/>
                  <w:vAlign w:val="center"/>
                </w:tcPr>
                <w:p>
                  <w:pPr>
                    <w:pStyle w:val="47"/>
                    <w:rPr>
                      <w:b/>
                      <w:bCs/>
                      <w:szCs w:val="21"/>
                    </w:rPr>
                  </w:pPr>
                  <w:r>
                    <w:rPr>
                      <w:b/>
                      <w:bCs/>
                      <w:szCs w:val="21"/>
                    </w:rPr>
                    <w:t>经度</w:t>
                  </w:r>
                </w:p>
              </w:tc>
              <w:tc>
                <w:tcPr>
                  <w:tcW w:w="787" w:type="pct"/>
                  <w:vAlign w:val="center"/>
                </w:tcPr>
                <w:p>
                  <w:pPr>
                    <w:pStyle w:val="47"/>
                    <w:rPr>
                      <w:b/>
                      <w:bCs/>
                      <w:szCs w:val="21"/>
                    </w:rPr>
                  </w:pPr>
                  <w:r>
                    <w:rPr>
                      <w:b/>
                      <w:bCs/>
                      <w:szCs w:val="21"/>
                    </w:rPr>
                    <w:t>纬度</w:t>
                  </w:r>
                </w:p>
              </w:tc>
              <w:tc>
                <w:tcPr>
                  <w:tcW w:w="834" w:type="pct"/>
                  <w:vAlign w:val="center"/>
                </w:tcPr>
                <w:p>
                  <w:pPr>
                    <w:pStyle w:val="47"/>
                    <w:rPr>
                      <w:b/>
                      <w:bCs/>
                      <w:szCs w:val="21"/>
                    </w:rPr>
                  </w:pPr>
                  <w:r>
                    <w:rPr>
                      <w:b/>
                      <w:bCs/>
                      <w:szCs w:val="21"/>
                    </w:rPr>
                    <w:t>土壤采样深度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286" w:type="pct"/>
                  <w:vAlign w:val="center"/>
                </w:tcPr>
                <w:p>
                  <w:pPr>
                    <w:pStyle w:val="47"/>
                    <w:rPr>
                      <w:szCs w:val="21"/>
                    </w:rPr>
                  </w:pPr>
                  <w:r>
                    <w:rPr>
                      <w:szCs w:val="21"/>
                    </w:rPr>
                    <w:t>1#</w:t>
                  </w:r>
                </w:p>
              </w:tc>
              <w:tc>
                <w:tcPr>
                  <w:tcW w:w="893" w:type="pct"/>
                  <w:vAlign w:val="center"/>
                </w:tcPr>
                <w:p>
                  <w:pPr>
                    <w:pStyle w:val="47"/>
                    <w:rPr>
                      <w:szCs w:val="21"/>
                    </w:rPr>
                  </w:pPr>
                  <w:r>
                    <w:rPr>
                      <w:szCs w:val="21"/>
                    </w:rPr>
                    <w:t>厂区外绿化带</w:t>
                  </w:r>
                </w:p>
              </w:tc>
              <w:tc>
                <w:tcPr>
                  <w:tcW w:w="659" w:type="pct"/>
                  <w:vAlign w:val="center"/>
                </w:tcPr>
                <w:p>
                  <w:pPr>
                    <w:pStyle w:val="47"/>
                    <w:rPr>
                      <w:szCs w:val="21"/>
                    </w:rPr>
                  </w:pPr>
                  <w:r>
                    <w:rPr>
                      <w:rFonts w:hint="eastAsia"/>
                      <w:szCs w:val="21"/>
                    </w:rPr>
                    <w:t>建设用地</w:t>
                  </w:r>
                </w:p>
              </w:tc>
              <w:tc>
                <w:tcPr>
                  <w:tcW w:w="649" w:type="pct"/>
                  <w:vAlign w:val="center"/>
                </w:tcPr>
                <w:p>
                  <w:pPr>
                    <w:pStyle w:val="47"/>
                    <w:rPr>
                      <w:szCs w:val="21"/>
                    </w:rPr>
                  </w:pPr>
                  <w:r>
                    <w:rPr>
                      <w:rFonts w:hint="eastAsia"/>
                      <w:szCs w:val="21"/>
                    </w:rPr>
                    <w:t>5</w:t>
                  </w:r>
                </w:p>
              </w:tc>
              <w:tc>
                <w:tcPr>
                  <w:tcW w:w="888" w:type="pct"/>
                  <w:vAlign w:val="center"/>
                </w:tcPr>
                <w:p>
                  <w:pPr>
                    <w:pStyle w:val="47"/>
                    <w:rPr>
                      <w:szCs w:val="21"/>
                    </w:rPr>
                  </w:pPr>
                  <w:r>
                    <w:rPr>
                      <w:szCs w:val="21"/>
                    </w:rPr>
                    <w:t>E120.437432°</w:t>
                  </w:r>
                </w:p>
              </w:tc>
              <w:tc>
                <w:tcPr>
                  <w:tcW w:w="787" w:type="pct"/>
                  <w:vAlign w:val="center"/>
                </w:tcPr>
                <w:p>
                  <w:pPr>
                    <w:pStyle w:val="47"/>
                    <w:rPr>
                      <w:szCs w:val="21"/>
                    </w:rPr>
                  </w:pPr>
                  <w:r>
                    <w:rPr>
                      <w:szCs w:val="21"/>
                    </w:rPr>
                    <w:t>N30.547192°</w:t>
                  </w:r>
                </w:p>
              </w:tc>
              <w:tc>
                <w:tcPr>
                  <w:tcW w:w="834" w:type="pct"/>
                  <w:vMerge w:val="restart"/>
                  <w:vAlign w:val="center"/>
                </w:tcPr>
                <w:p>
                  <w:pPr>
                    <w:pStyle w:val="47"/>
                    <w:rPr>
                      <w:szCs w:val="21"/>
                    </w:rPr>
                  </w:pPr>
                  <w:r>
                    <w:rPr>
                      <w:szCs w:val="21"/>
                    </w:rPr>
                    <w:t>0~0.2m</w:t>
                  </w:r>
                  <w:r>
                    <w:rPr>
                      <w:rFonts w:hint="eastAsia"/>
                      <w:szCs w:val="21"/>
                    </w:rPr>
                    <w:t>均取土壤</w:t>
                  </w:r>
                  <w:r>
                    <w:rPr>
                      <w:szCs w:val="21"/>
                    </w:rPr>
                    <w:t>表层样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6" w:type="pct"/>
                  <w:vAlign w:val="center"/>
                </w:tcPr>
                <w:p>
                  <w:pPr>
                    <w:pStyle w:val="47"/>
                    <w:rPr>
                      <w:szCs w:val="21"/>
                    </w:rPr>
                  </w:pPr>
                  <w:r>
                    <w:rPr>
                      <w:szCs w:val="21"/>
                    </w:rPr>
                    <w:t>2#</w:t>
                  </w:r>
                </w:p>
              </w:tc>
              <w:tc>
                <w:tcPr>
                  <w:tcW w:w="893" w:type="pct"/>
                  <w:vAlign w:val="center"/>
                </w:tcPr>
                <w:p>
                  <w:pPr>
                    <w:pStyle w:val="47"/>
                    <w:rPr>
                      <w:szCs w:val="21"/>
                    </w:rPr>
                  </w:pPr>
                  <w:r>
                    <w:rPr>
                      <w:szCs w:val="21"/>
                    </w:rPr>
                    <w:t>厂区外北侧河对面农田</w:t>
                  </w:r>
                </w:p>
              </w:tc>
              <w:tc>
                <w:tcPr>
                  <w:tcW w:w="659" w:type="pct"/>
                  <w:vAlign w:val="center"/>
                </w:tcPr>
                <w:p>
                  <w:pPr>
                    <w:pStyle w:val="47"/>
                    <w:rPr>
                      <w:szCs w:val="21"/>
                    </w:rPr>
                  </w:pPr>
                  <w:r>
                    <w:rPr>
                      <w:rFonts w:hint="eastAsia"/>
                      <w:szCs w:val="21"/>
                    </w:rPr>
                    <w:t>农用地</w:t>
                  </w:r>
                </w:p>
              </w:tc>
              <w:tc>
                <w:tcPr>
                  <w:tcW w:w="649" w:type="pct"/>
                  <w:vAlign w:val="center"/>
                </w:tcPr>
                <w:p>
                  <w:pPr>
                    <w:pStyle w:val="47"/>
                    <w:rPr>
                      <w:szCs w:val="21"/>
                    </w:rPr>
                  </w:pPr>
                  <w:r>
                    <w:rPr>
                      <w:rFonts w:hint="eastAsia"/>
                      <w:szCs w:val="21"/>
                    </w:rPr>
                    <w:t>150</w:t>
                  </w:r>
                </w:p>
              </w:tc>
              <w:tc>
                <w:tcPr>
                  <w:tcW w:w="888" w:type="pct"/>
                  <w:vAlign w:val="center"/>
                </w:tcPr>
                <w:p>
                  <w:pPr>
                    <w:pStyle w:val="47"/>
                    <w:rPr>
                      <w:szCs w:val="21"/>
                    </w:rPr>
                  </w:pPr>
                  <w:r>
                    <w:rPr>
                      <w:szCs w:val="21"/>
                    </w:rPr>
                    <w:t>E120.437143°</w:t>
                  </w:r>
                </w:p>
              </w:tc>
              <w:tc>
                <w:tcPr>
                  <w:tcW w:w="787" w:type="pct"/>
                  <w:vAlign w:val="center"/>
                </w:tcPr>
                <w:p>
                  <w:pPr>
                    <w:pStyle w:val="47"/>
                    <w:rPr>
                      <w:szCs w:val="21"/>
                    </w:rPr>
                  </w:pPr>
                  <w:r>
                    <w:rPr>
                      <w:szCs w:val="21"/>
                    </w:rPr>
                    <w:t>N30.548607°</w:t>
                  </w:r>
                </w:p>
              </w:tc>
              <w:tc>
                <w:tcPr>
                  <w:tcW w:w="834" w:type="pct"/>
                  <w:vMerge w:val="continue"/>
                  <w:vAlign w:val="center"/>
                </w:tcPr>
                <w:p>
                  <w:pPr>
                    <w:pStyle w:val="47"/>
                    <w:rPr>
                      <w:szCs w:val="21"/>
                    </w:rPr>
                  </w:pPr>
                </w:p>
              </w:tc>
            </w:tr>
          </w:tbl>
          <w:p>
            <w:pPr>
              <w:ind w:firstLine="480"/>
            </w:pPr>
            <w:r>
              <w:t>（2）监测因子：</w:t>
            </w:r>
          </w:p>
          <w:p>
            <w:pPr>
              <w:ind w:firstLine="480"/>
            </w:pPr>
            <w:r>
              <w:t>1#点位：</w:t>
            </w:r>
            <w:r>
              <w:rPr>
                <w:rFonts w:hint="eastAsia"/>
              </w:rPr>
              <w:t>pH值、六价铬、砷、汞、铜、镍、铅、镉、四氯化碳、氯仿、氯甲烷、</w:t>
            </w:r>
            <w:r>
              <w:t>1,1-</w:t>
            </w:r>
            <w:r>
              <w:rPr>
                <w:rFonts w:hint="eastAsia"/>
              </w:rPr>
              <w:t>二氯乙烷、</w:t>
            </w:r>
            <w:r>
              <w:t>1,2-</w:t>
            </w:r>
            <w:r>
              <w:rPr>
                <w:rFonts w:hint="eastAsia"/>
              </w:rPr>
              <w:t>二氯乙烷、</w:t>
            </w:r>
            <w:r>
              <w:t>1,1-</w:t>
            </w:r>
            <w:r>
              <w:rPr>
                <w:rFonts w:hint="eastAsia"/>
              </w:rPr>
              <w:t>二氯乙烯、顺</w:t>
            </w:r>
            <w:r>
              <w:t>-1,2-</w:t>
            </w:r>
            <w:r>
              <w:rPr>
                <w:rFonts w:hint="eastAsia"/>
              </w:rPr>
              <w:t>二氯乙烯、反</w:t>
            </w:r>
            <w:r>
              <w:t>-1,2-</w:t>
            </w:r>
            <w:r>
              <w:rPr>
                <w:rFonts w:hint="eastAsia"/>
              </w:rPr>
              <w:t>二氯乙烯、二氯甲烷、</w:t>
            </w:r>
            <w:r>
              <w:t>1,2-</w:t>
            </w:r>
            <w:r>
              <w:rPr>
                <w:rFonts w:hint="eastAsia"/>
              </w:rPr>
              <w:t>二氯丙烷、</w:t>
            </w:r>
            <w:r>
              <w:t>1,1,1,2-</w:t>
            </w:r>
            <w:r>
              <w:rPr>
                <w:rFonts w:hint="eastAsia"/>
              </w:rPr>
              <w:t>四氯乙烷、</w:t>
            </w:r>
            <w:r>
              <w:t>1,1,2,2-</w:t>
            </w:r>
            <w:r>
              <w:rPr>
                <w:rFonts w:hint="eastAsia"/>
              </w:rPr>
              <w:t>四氯乙烷、四氯乙烯、</w:t>
            </w:r>
            <w:r>
              <w:t>1,1,1-</w:t>
            </w:r>
            <w:r>
              <w:rPr>
                <w:rFonts w:hint="eastAsia"/>
              </w:rPr>
              <w:t>三氯乙烷、</w:t>
            </w:r>
            <w:r>
              <w:t>1,1,2-</w:t>
            </w:r>
            <w:r>
              <w:rPr>
                <w:rFonts w:hint="eastAsia"/>
              </w:rPr>
              <w:t>三氯乙烷、三氯乙烯、</w:t>
            </w:r>
            <w:r>
              <w:t>1,2,3-</w:t>
            </w:r>
            <w:r>
              <w:rPr>
                <w:rFonts w:hint="eastAsia"/>
              </w:rPr>
              <w:t>三氯丙烷、氯乙烯、苯、氯苯、</w:t>
            </w:r>
            <w:r>
              <w:t>1,2-</w:t>
            </w:r>
            <w:r>
              <w:rPr>
                <w:rFonts w:hint="eastAsia"/>
              </w:rPr>
              <w:t>二氯苯、</w:t>
            </w:r>
            <w:r>
              <w:t>1,4-</w:t>
            </w:r>
            <w:r>
              <w:rPr>
                <w:rFonts w:hint="eastAsia"/>
              </w:rPr>
              <w:t>二氯苯、乙苯、苯乙烯、甲苯、间二甲苯</w:t>
            </w:r>
            <w:r>
              <w:t>+</w:t>
            </w:r>
            <w:r>
              <w:rPr>
                <w:rFonts w:hint="eastAsia"/>
              </w:rPr>
              <w:t>对二甲苯、邻二甲苯、硝基苯、苯胺、</w:t>
            </w:r>
            <w:r>
              <w:t>2-</w:t>
            </w:r>
            <w:r>
              <w:rPr>
                <w:rFonts w:hint="eastAsia"/>
              </w:rPr>
              <w:t>氯酚、苯并</w:t>
            </w:r>
            <w:r>
              <w:t>[a]</w:t>
            </w:r>
            <w:r>
              <w:rPr>
                <w:rFonts w:hint="eastAsia"/>
              </w:rPr>
              <w:t>蒽、苯并</w:t>
            </w:r>
            <w:r>
              <w:t>[a]</w:t>
            </w:r>
            <w:r>
              <w:rPr>
                <w:rFonts w:hint="eastAsia"/>
              </w:rPr>
              <w:t>芘、苯并</w:t>
            </w:r>
            <w:r>
              <w:t>[b]</w:t>
            </w:r>
            <w:r>
              <w:rPr>
                <w:rFonts w:hint="eastAsia"/>
              </w:rPr>
              <w:t>荧蒽、苯并</w:t>
            </w:r>
            <w:r>
              <w:t>[k]</w:t>
            </w:r>
            <w:r>
              <w:rPr>
                <w:rFonts w:hint="eastAsia"/>
              </w:rPr>
              <w:t>荧蒽、䓛、二苯并</w:t>
            </w:r>
            <w:r>
              <w:t>[a,h]</w:t>
            </w:r>
            <w:r>
              <w:rPr>
                <w:rFonts w:hint="eastAsia"/>
              </w:rPr>
              <w:t>蒽、茚并</w:t>
            </w:r>
            <w:r>
              <w:t>[1,2,3</w:t>
            </w:r>
            <w:r>
              <w:rPr>
                <w:rFonts w:hint="eastAsia"/>
              </w:rPr>
              <w:t>-c,d]芘、萘、石油烃（C</w:t>
            </w:r>
            <w:r>
              <w:rPr>
                <w:rFonts w:hint="eastAsia"/>
                <w:vertAlign w:val="subscript"/>
              </w:rPr>
              <w:t>10</w:t>
            </w:r>
            <w:r>
              <w:rPr>
                <w:rFonts w:hint="eastAsia"/>
              </w:rPr>
              <w:t>~C</w:t>
            </w:r>
            <w:r>
              <w:rPr>
                <w:rFonts w:hint="eastAsia"/>
                <w:vertAlign w:val="subscript"/>
              </w:rPr>
              <w:t>40</w:t>
            </w:r>
            <w:r>
              <w:rPr>
                <w:rFonts w:hint="eastAsia"/>
              </w:rPr>
              <w:t>）</w:t>
            </w:r>
            <w:r>
              <w:t>。</w:t>
            </w:r>
          </w:p>
          <w:p>
            <w:pPr>
              <w:ind w:firstLine="480"/>
            </w:pPr>
            <w:r>
              <w:t>2#点位：</w:t>
            </w:r>
            <w:r>
              <w:rPr>
                <w:rFonts w:hint="eastAsia"/>
              </w:rPr>
              <w:t>pH值、镉、汞、砷、铅、铬、铜、镍、锌、石油烃（C</w:t>
            </w:r>
            <w:r>
              <w:rPr>
                <w:rFonts w:hint="eastAsia"/>
                <w:vertAlign w:val="subscript"/>
              </w:rPr>
              <w:t>10</w:t>
            </w:r>
            <w:r>
              <w:rPr>
                <w:rFonts w:hint="eastAsia"/>
              </w:rPr>
              <w:t>~C</w:t>
            </w:r>
            <w:r>
              <w:rPr>
                <w:rFonts w:hint="eastAsia"/>
                <w:vertAlign w:val="subscript"/>
              </w:rPr>
              <w:t>40</w:t>
            </w:r>
            <w:r>
              <w:rPr>
                <w:rFonts w:hint="eastAsia"/>
              </w:rPr>
              <w:t>）</w:t>
            </w:r>
            <w:r>
              <w:t>。</w:t>
            </w:r>
          </w:p>
          <w:p>
            <w:pPr>
              <w:ind w:firstLine="480"/>
            </w:pPr>
            <w:r>
              <w:t>（3）监测</w:t>
            </w:r>
            <w:r>
              <w:rPr>
                <w:rFonts w:hint="eastAsia"/>
              </w:rPr>
              <w:t>时间及</w:t>
            </w:r>
            <w:r>
              <w:t>频率：</w:t>
            </w:r>
            <w:r>
              <w:rPr>
                <w:rFonts w:hint="eastAsia"/>
              </w:rPr>
              <w:t>2020年12月7日，</w:t>
            </w:r>
            <w:r>
              <w:t>每个样品采样一次。</w:t>
            </w:r>
          </w:p>
          <w:p>
            <w:pPr>
              <w:ind w:firstLine="480"/>
            </w:pPr>
            <w:r>
              <w:t>（4）监测结果：具体土壤质量监测数据见表3-6~表3-7。</w:t>
            </w:r>
          </w:p>
          <w:p>
            <w:pPr>
              <w:pStyle w:val="2"/>
              <w:ind w:left="480" w:firstLine="400"/>
            </w:pPr>
          </w:p>
          <w:p>
            <w:pPr>
              <w:pStyle w:val="2"/>
              <w:ind w:left="480" w:firstLine="400"/>
            </w:pPr>
          </w:p>
          <w:p>
            <w:pPr>
              <w:pStyle w:val="2"/>
              <w:ind w:left="480" w:firstLine="400"/>
            </w:pPr>
          </w:p>
          <w:p>
            <w:pPr>
              <w:pStyle w:val="2"/>
              <w:ind w:left="480" w:firstLine="400"/>
            </w:pPr>
          </w:p>
          <w:p>
            <w:pPr>
              <w:pStyle w:val="2"/>
              <w:ind w:left="480" w:firstLine="400"/>
            </w:pPr>
          </w:p>
          <w:p>
            <w:pPr>
              <w:pStyle w:val="2"/>
              <w:ind w:left="480" w:firstLine="400"/>
            </w:pPr>
          </w:p>
          <w:p>
            <w:pPr>
              <w:pStyle w:val="2"/>
              <w:ind w:left="480" w:firstLine="400"/>
            </w:pPr>
          </w:p>
          <w:p>
            <w:pPr>
              <w:pStyle w:val="2"/>
              <w:ind w:left="480" w:firstLine="400"/>
            </w:pPr>
          </w:p>
          <w:p>
            <w:pPr>
              <w:pStyle w:val="2"/>
              <w:ind w:left="480" w:firstLine="400"/>
            </w:pPr>
          </w:p>
          <w:p>
            <w:pPr>
              <w:pStyle w:val="2"/>
              <w:ind w:left="480" w:firstLine="400"/>
            </w:pPr>
          </w:p>
          <w:p>
            <w:pPr>
              <w:pStyle w:val="2"/>
              <w:ind w:left="480" w:firstLine="400"/>
            </w:pPr>
          </w:p>
          <w:p>
            <w:pPr>
              <w:pStyle w:val="2"/>
              <w:ind w:left="480" w:firstLine="400"/>
            </w:pPr>
          </w:p>
          <w:p>
            <w:pPr>
              <w:pStyle w:val="2"/>
              <w:ind w:left="480" w:firstLine="400"/>
            </w:pPr>
          </w:p>
          <w:p>
            <w:pPr>
              <w:pStyle w:val="2"/>
              <w:ind w:left="480" w:firstLine="400"/>
            </w:pPr>
          </w:p>
          <w:p>
            <w:pPr>
              <w:pStyle w:val="2"/>
              <w:ind w:left="480" w:firstLine="400"/>
            </w:pPr>
          </w:p>
          <w:p>
            <w:pPr>
              <w:pStyle w:val="2"/>
              <w:ind w:left="480" w:firstLine="400"/>
            </w:pPr>
          </w:p>
          <w:p>
            <w:pPr>
              <w:pStyle w:val="2"/>
              <w:ind w:left="480" w:firstLine="400"/>
            </w:pPr>
          </w:p>
          <w:p>
            <w:pPr>
              <w:pStyle w:val="2"/>
              <w:ind w:left="480" w:firstLine="400"/>
            </w:pPr>
          </w:p>
          <w:p>
            <w:pPr>
              <w:pStyle w:val="2"/>
              <w:ind w:left="480" w:firstLine="400"/>
            </w:pPr>
          </w:p>
          <w:p>
            <w:pPr>
              <w:pStyle w:val="2"/>
              <w:ind w:left="480" w:firstLine="400"/>
            </w:pPr>
          </w:p>
          <w:bookmarkEnd w:id="90"/>
          <w:bookmarkEnd w:id="91"/>
          <w:p>
            <w:pPr>
              <w:ind w:firstLine="0" w:firstLineChars="0"/>
              <w:rPr>
                <w:sz w:val="18"/>
                <w:szCs w:val="13"/>
              </w:rPr>
            </w:pPr>
          </w:p>
        </w:tc>
      </w:tr>
    </w:tbl>
    <w:p>
      <w:pPr>
        <w:pStyle w:val="4"/>
        <w:sectPr>
          <w:footerReference r:id="rId14" w:type="default"/>
          <w:pgSz w:w="11906" w:h="16838"/>
          <w:pgMar w:top="1474" w:right="1588" w:bottom="1418" w:left="1588" w:header="851" w:footer="907" w:gutter="0"/>
          <w:cols w:space="720" w:num="1"/>
          <w:docGrid w:linePitch="312" w:charSpace="0"/>
        </w:sectPr>
      </w:pP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auto" w:sz="12" w:space="0"/>
              <w:left w:val="single" w:color="auto" w:sz="12" w:space="0"/>
              <w:bottom w:val="single" w:color="auto" w:sz="12" w:space="0"/>
              <w:right w:val="single" w:color="auto" w:sz="12" w:space="0"/>
            </w:tcBorders>
          </w:tcPr>
          <w:p>
            <w:pPr>
              <w:pStyle w:val="46"/>
            </w:pPr>
            <w:r>
              <w:t>表3-6   1#点位土壤</w:t>
            </w:r>
            <w:r>
              <w:rPr>
                <w:rFonts w:hint="eastAsia"/>
              </w:rPr>
              <w:t>环境</w:t>
            </w:r>
            <w:r>
              <w:t>质量现状监测数据   单位：除pH值外，mg/kg</w:t>
            </w:r>
          </w:p>
          <w:tbl>
            <w:tblPr>
              <w:tblStyle w:val="3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1589"/>
              <w:gridCol w:w="1589"/>
              <w:gridCol w:w="1589"/>
              <w:gridCol w:w="1589"/>
              <w:gridCol w:w="1589"/>
              <w:gridCol w:w="1589"/>
              <w:gridCol w:w="1589"/>
              <w:gridCol w:w="1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1" w:type="dxa"/>
                  <w:vAlign w:val="center"/>
                </w:tcPr>
                <w:p>
                  <w:pPr>
                    <w:pStyle w:val="46"/>
                  </w:pPr>
                  <w:r>
                    <w:rPr>
                      <w:rFonts w:hint="eastAsia"/>
                    </w:rPr>
                    <w:t>样品性状</w:t>
                  </w:r>
                </w:p>
              </w:tc>
              <w:tc>
                <w:tcPr>
                  <w:tcW w:w="12717" w:type="dxa"/>
                  <w:gridSpan w:val="8"/>
                  <w:vAlign w:val="center"/>
                </w:tcPr>
                <w:p>
                  <w:pPr>
                    <w:pStyle w:val="46"/>
                  </w:pPr>
                  <w:r>
                    <w:rPr>
                      <w:rFonts w:hint="eastAsia"/>
                      <w:b w:val="0"/>
                      <w:bCs/>
                    </w:rPr>
                    <w:t>褐色，潮，轻壤土</w:t>
                  </w:r>
                </w:p>
              </w:tc>
            </w:tr>
            <w:tr>
              <w:tblPrEx>
                <w:tblCellMar>
                  <w:top w:w="0" w:type="dxa"/>
                  <w:left w:w="108" w:type="dxa"/>
                  <w:bottom w:w="0" w:type="dxa"/>
                  <w:right w:w="108" w:type="dxa"/>
                </w:tblCellMar>
              </w:tblPrEx>
              <w:trPr>
                <w:trHeight w:val="340" w:hRule="atLeast"/>
              </w:trPr>
              <w:tc>
                <w:tcPr>
                  <w:tcW w:w="1211" w:type="dxa"/>
                  <w:vAlign w:val="center"/>
                </w:tcPr>
                <w:p>
                  <w:pPr>
                    <w:pStyle w:val="46"/>
                  </w:pPr>
                  <w:r>
                    <w:t>检测因子</w:t>
                  </w:r>
                </w:p>
              </w:tc>
              <w:tc>
                <w:tcPr>
                  <w:tcW w:w="1589" w:type="dxa"/>
                  <w:vAlign w:val="center"/>
                </w:tcPr>
                <w:p>
                  <w:pPr>
                    <w:pStyle w:val="46"/>
                  </w:pPr>
                  <w:r>
                    <w:t>砷</w:t>
                  </w:r>
                </w:p>
              </w:tc>
              <w:tc>
                <w:tcPr>
                  <w:tcW w:w="1589" w:type="dxa"/>
                  <w:vAlign w:val="center"/>
                </w:tcPr>
                <w:p>
                  <w:pPr>
                    <w:pStyle w:val="46"/>
                  </w:pPr>
                  <w:r>
                    <w:t>镉</w:t>
                  </w:r>
                </w:p>
              </w:tc>
              <w:tc>
                <w:tcPr>
                  <w:tcW w:w="1589" w:type="dxa"/>
                  <w:vAlign w:val="center"/>
                </w:tcPr>
                <w:p>
                  <w:pPr>
                    <w:pStyle w:val="46"/>
                  </w:pPr>
                  <w:r>
                    <w:t>铬（六价）</w:t>
                  </w:r>
                </w:p>
              </w:tc>
              <w:tc>
                <w:tcPr>
                  <w:tcW w:w="1589" w:type="dxa"/>
                  <w:vAlign w:val="center"/>
                </w:tcPr>
                <w:p>
                  <w:pPr>
                    <w:pStyle w:val="46"/>
                  </w:pPr>
                  <w:r>
                    <w:t>铜</w:t>
                  </w:r>
                </w:p>
              </w:tc>
              <w:tc>
                <w:tcPr>
                  <w:tcW w:w="1589" w:type="dxa"/>
                  <w:vAlign w:val="center"/>
                </w:tcPr>
                <w:p>
                  <w:pPr>
                    <w:pStyle w:val="46"/>
                  </w:pPr>
                  <w:r>
                    <w:t>铅</w:t>
                  </w:r>
                </w:p>
              </w:tc>
              <w:tc>
                <w:tcPr>
                  <w:tcW w:w="1589" w:type="dxa"/>
                  <w:vAlign w:val="center"/>
                </w:tcPr>
                <w:p>
                  <w:pPr>
                    <w:pStyle w:val="46"/>
                  </w:pPr>
                  <w:r>
                    <w:t>汞</w:t>
                  </w:r>
                </w:p>
              </w:tc>
              <w:tc>
                <w:tcPr>
                  <w:tcW w:w="1589" w:type="dxa"/>
                  <w:vAlign w:val="center"/>
                </w:tcPr>
                <w:p>
                  <w:pPr>
                    <w:pStyle w:val="46"/>
                  </w:pPr>
                  <w:r>
                    <w:t>镍</w:t>
                  </w:r>
                </w:p>
              </w:tc>
              <w:tc>
                <w:tcPr>
                  <w:tcW w:w="1594" w:type="dxa"/>
                  <w:vAlign w:val="center"/>
                </w:tcPr>
                <w:p>
                  <w:pPr>
                    <w:pStyle w:val="46"/>
                  </w:pPr>
                  <w:r>
                    <w:t>四氯化碳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1" w:type="dxa"/>
                  <w:vAlign w:val="center"/>
                </w:tcPr>
                <w:p>
                  <w:pPr>
                    <w:pStyle w:val="46"/>
                    <w:rPr>
                      <w:b w:val="0"/>
                      <w:bCs/>
                    </w:rPr>
                  </w:pPr>
                  <w:r>
                    <w:rPr>
                      <w:b w:val="0"/>
                      <w:bCs/>
                    </w:rPr>
                    <w:t>检测结果</w:t>
                  </w:r>
                </w:p>
              </w:tc>
              <w:tc>
                <w:tcPr>
                  <w:tcW w:w="1589" w:type="dxa"/>
                  <w:vAlign w:val="center"/>
                </w:tcPr>
                <w:p>
                  <w:pPr>
                    <w:pStyle w:val="46"/>
                    <w:rPr>
                      <w:b w:val="0"/>
                      <w:bCs/>
                    </w:rPr>
                  </w:pPr>
                  <w:r>
                    <w:rPr>
                      <w:rFonts w:hint="eastAsia"/>
                      <w:b w:val="0"/>
                      <w:bCs/>
                    </w:rPr>
                    <w:t>8.86</w:t>
                  </w:r>
                </w:p>
              </w:tc>
              <w:tc>
                <w:tcPr>
                  <w:tcW w:w="1589" w:type="dxa"/>
                  <w:vAlign w:val="center"/>
                </w:tcPr>
                <w:p>
                  <w:pPr>
                    <w:pStyle w:val="46"/>
                    <w:rPr>
                      <w:b w:val="0"/>
                      <w:bCs/>
                    </w:rPr>
                  </w:pPr>
                  <w:r>
                    <w:rPr>
                      <w:rFonts w:hint="eastAsia"/>
                      <w:b w:val="0"/>
                      <w:bCs/>
                    </w:rPr>
                    <w:t>0.10</w:t>
                  </w:r>
                </w:p>
              </w:tc>
              <w:tc>
                <w:tcPr>
                  <w:tcW w:w="1589" w:type="dxa"/>
                  <w:vAlign w:val="center"/>
                </w:tcPr>
                <w:p>
                  <w:pPr>
                    <w:pStyle w:val="46"/>
                    <w:rPr>
                      <w:b w:val="0"/>
                      <w:bCs/>
                    </w:rPr>
                  </w:pPr>
                  <w:r>
                    <w:rPr>
                      <w:b w:val="0"/>
                      <w:bCs/>
                    </w:rPr>
                    <w:t>&lt;</w:t>
                  </w:r>
                  <w:r>
                    <w:rPr>
                      <w:rFonts w:hint="eastAsia"/>
                      <w:b w:val="0"/>
                      <w:bCs/>
                    </w:rPr>
                    <w:t>0.05</w:t>
                  </w:r>
                </w:p>
              </w:tc>
              <w:tc>
                <w:tcPr>
                  <w:tcW w:w="1589" w:type="dxa"/>
                  <w:vAlign w:val="center"/>
                </w:tcPr>
                <w:p>
                  <w:pPr>
                    <w:pStyle w:val="46"/>
                    <w:rPr>
                      <w:b w:val="0"/>
                      <w:bCs/>
                    </w:rPr>
                  </w:pPr>
                  <w:r>
                    <w:rPr>
                      <w:rFonts w:hint="eastAsia"/>
                      <w:b w:val="0"/>
                      <w:bCs/>
                    </w:rPr>
                    <w:t>26</w:t>
                  </w:r>
                </w:p>
              </w:tc>
              <w:tc>
                <w:tcPr>
                  <w:tcW w:w="1589" w:type="dxa"/>
                  <w:vAlign w:val="center"/>
                </w:tcPr>
                <w:p>
                  <w:pPr>
                    <w:pStyle w:val="46"/>
                    <w:rPr>
                      <w:b w:val="0"/>
                      <w:bCs/>
                    </w:rPr>
                  </w:pPr>
                  <w:r>
                    <w:rPr>
                      <w:rFonts w:hint="eastAsia"/>
                      <w:b w:val="0"/>
                      <w:bCs/>
                    </w:rPr>
                    <w:t>20</w:t>
                  </w:r>
                </w:p>
              </w:tc>
              <w:tc>
                <w:tcPr>
                  <w:tcW w:w="1589" w:type="dxa"/>
                  <w:vAlign w:val="center"/>
                </w:tcPr>
                <w:p>
                  <w:pPr>
                    <w:pStyle w:val="46"/>
                    <w:rPr>
                      <w:b w:val="0"/>
                      <w:bCs/>
                    </w:rPr>
                  </w:pPr>
                  <w:r>
                    <w:rPr>
                      <w:rFonts w:hint="eastAsia"/>
                      <w:b w:val="0"/>
                      <w:bCs/>
                    </w:rPr>
                    <w:t>0.116</w:t>
                  </w:r>
                </w:p>
              </w:tc>
              <w:tc>
                <w:tcPr>
                  <w:tcW w:w="1589" w:type="dxa"/>
                  <w:vAlign w:val="center"/>
                </w:tcPr>
                <w:p>
                  <w:pPr>
                    <w:pStyle w:val="46"/>
                    <w:rPr>
                      <w:b w:val="0"/>
                      <w:bCs/>
                    </w:rPr>
                  </w:pPr>
                  <w:r>
                    <w:rPr>
                      <w:rFonts w:hint="eastAsia"/>
                      <w:b w:val="0"/>
                      <w:bCs/>
                    </w:rPr>
                    <w:t>30</w:t>
                  </w:r>
                </w:p>
              </w:tc>
              <w:tc>
                <w:tcPr>
                  <w:tcW w:w="1594" w:type="dxa"/>
                  <w:vAlign w:val="center"/>
                </w:tcPr>
                <w:p>
                  <w:pPr>
                    <w:pStyle w:val="46"/>
                    <w:rPr>
                      <w:b w:val="0"/>
                      <w:bCs/>
                    </w:rPr>
                  </w:pPr>
                  <w:r>
                    <w:rPr>
                      <w:b w:val="0"/>
                      <w:bCs/>
                    </w:rPr>
                    <w:t>&lt;1.3</w:t>
                  </w:r>
                  <w:r>
                    <w:rPr>
                      <w:rFonts w:ascii="Arial" w:hAnsi="Arial" w:cs="Arial"/>
                      <w:b w:val="0"/>
                      <w:bCs/>
                    </w:rPr>
                    <w:t>×</w:t>
                  </w:r>
                  <w:r>
                    <w:rPr>
                      <w:rFonts w:hint="eastAsia"/>
                      <w:b w:val="0"/>
                      <w:bCs/>
                    </w:rPr>
                    <w:t>10</w:t>
                  </w:r>
                  <w:r>
                    <w:rPr>
                      <w:rFonts w:hint="eastAsia"/>
                      <w:b w:val="0"/>
                      <w:bCs/>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1" w:type="dxa"/>
                  <w:vAlign w:val="center"/>
                </w:tcPr>
                <w:p>
                  <w:pPr>
                    <w:pStyle w:val="46"/>
                    <w:rPr>
                      <w:b w:val="0"/>
                      <w:bCs/>
                    </w:rPr>
                  </w:pPr>
                  <w:r>
                    <w:rPr>
                      <w:b w:val="0"/>
                      <w:bCs/>
                    </w:rPr>
                    <w:t>二类用地筛选值</w:t>
                  </w:r>
                </w:p>
              </w:tc>
              <w:tc>
                <w:tcPr>
                  <w:tcW w:w="1589" w:type="dxa"/>
                  <w:vAlign w:val="center"/>
                </w:tcPr>
                <w:p>
                  <w:pPr>
                    <w:pStyle w:val="46"/>
                    <w:rPr>
                      <w:b w:val="0"/>
                      <w:bCs/>
                    </w:rPr>
                  </w:pPr>
                  <w:r>
                    <w:rPr>
                      <w:b w:val="0"/>
                      <w:bCs/>
                    </w:rPr>
                    <w:t>60</w:t>
                  </w:r>
                </w:p>
              </w:tc>
              <w:tc>
                <w:tcPr>
                  <w:tcW w:w="1589" w:type="dxa"/>
                  <w:vAlign w:val="center"/>
                </w:tcPr>
                <w:p>
                  <w:pPr>
                    <w:pStyle w:val="46"/>
                    <w:rPr>
                      <w:b w:val="0"/>
                      <w:bCs/>
                    </w:rPr>
                  </w:pPr>
                  <w:r>
                    <w:rPr>
                      <w:b w:val="0"/>
                      <w:bCs/>
                    </w:rPr>
                    <w:t>65</w:t>
                  </w:r>
                </w:p>
              </w:tc>
              <w:tc>
                <w:tcPr>
                  <w:tcW w:w="1589" w:type="dxa"/>
                  <w:vAlign w:val="center"/>
                </w:tcPr>
                <w:p>
                  <w:pPr>
                    <w:pStyle w:val="46"/>
                    <w:rPr>
                      <w:b w:val="0"/>
                      <w:bCs/>
                    </w:rPr>
                  </w:pPr>
                  <w:r>
                    <w:rPr>
                      <w:b w:val="0"/>
                      <w:bCs/>
                    </w:rPr>
                    <w:t>5.7</w:t>
                  </w:r>
                </w:p>
              </w:tc>
              <w:tc>
                <w:tcPr>
                  <w:tcW w:w="1589" w:type="dxa"/>
                  <w:vAlign w:val="center"/>
                </w:tcPr>
                <w:p>
                  <w:pPr>
                    <w:pStyle w:val="46"/>
                    <w:rPr>
                      <w:b w:val="0"/>
                      <w:bCs/>
                    </w:rPr>
                  </w:pPr>
                  <w:r>
                    <w:rPr>
                      <w:b w:val="0"/>
                      <w:bCs/>
                    </w:rPr>
                    <w:t>18000</w:t>
                  </w:r>
                </w:p>
              </w:tc>
              <w:tc>
                <w:tcPr>
                  <w:tcW w:w="1589" w:type="dxa"/>
                  <w:vAlign w:val="center"/>
                </w:tcPr>
                <w:p>
                  <w:pPr>
                    <w:pStyle w:val="46"/>
                    <w:rPr>
                      <w:b w:val="0"/>
                      <w:bCs/>
                    </w:rPr>
                  </w:pPr>
                  <w:r>
                    <w:rPr>
                      <w:b w:val="0"/>
                      <w:bCs/>
                    </w:rPr>
                    <w:t>800</w:t>
                  </w:r>
                </w:p>
              </w:tc>
              <w:tc>
                <w:tcPr>
                  <w:tcW w:w="1589" w:type="dxa"/>
                  <w:vAlign w:val="center"/>
                </w:tcPr>
                <w:p>
                  <w:pPr>
                    <w:pStyle w:val="46"/>
                    <w:rPr>
                      <w:b w:val="0"/>
                      <w:bCs/>
                    </w:rPr>
                  </w:pPr>
                  <w:r>
                    <w:rPr>
                      <w:b w:val="0"/>
                      <w:bCs/>
                    </w:rPr>
                    <w:t>38</w:t>
                  </w:r>
                </w:p>
              </w:tc>
              <w:tc>
                <w:tcPr>
                  <w:tcW w:w="1589" w:type="dxa"/>
                  <w:vAlign w:val="center"/>
                </w:tcPr>
                <w:p>
                  <w:pPr>
                    <w:pStyle w:val="46"/>
                    <w:rPr>
                      <w:b w:val="0"/>
                      <w:bCs/>
                    </w:rPr>
                  </w:pPr>
                  <w:r>
                    <w:rPr>
                      <w:b w:val="0"/>
                      <w:bCs/>
                    </w:rPr>
                    <w:t>900</w:t>
                  </w:r>
                </w:p>
              </w:tc>
              <w:tc>
                <w:tcPr>
                  <w:tcW w:w="1594" w:type="dxa"/>
                  <w:vAlign w:val="center"/>
                </w:tcPr>
                <w:p>
                  <w:pPr>
                    <w:pStyle w:val="46"/>
                    <w:rPr>
                      <w:b w:val="0"/>
                      <w:bCs/>
                    </w:rPr>
                  </w:pPr>
                  <w:r>
                    <w:rPr>
                      <w:b w:val="0"/>
                      <w:bCs/>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1" w:type="dxa"/>
                  <w:vAlign w:val="center"/>
                </w:tcPr>
                <w:p>
                  <w:pPr>
                    <w:pStyle w:val="46"/>
                    <w:rPr>
                      <w:b w:val="0"/>
                      <w:bCs/>
                    </w:rPr>
                  </w:pPr>
                  <w:r>
                    <w:rPr>
                      <w:b w:val="0"/>
                      <w:bCs/>
                    </w:rPr>
                    <w:t>是否达标</w:t>
                  </w:r>
                </w:p>
              </w:tc>
              <w:tc>
                <w:tcPr>
                  <w:tcW w:w="1589" w:type="dxa"/>
                  <w:vAlign w:val="center"/>
                </w:tcPr>
                <w:p>
                  <w:pPr>
                    <w:spacing w:line="240" w:lineRule="auto"/>
                    <w:ind w:firstLine="0" w:firstLineChars="0"/>
                    <w:jc w:val="center"/>
                    <w:rPr>
                      <w:sz w:val="21"/>
                      <w:szCs w:val="21"/>
                    </w:rPr>
                  </w:pPr>
                  <w:r>
                    <w:rPr>
                      <w:sz w:val="21"/>
                      <w:szCs w:val="21"/>
                    </w:rPr>
                    <w:t>是</w:t>
                  </w:r>
                </w:p>
              </w:tc>
              <w:tc>
                <w:tcPr>
                  <w:tcW w:w="1589" w:type="dxa"/>
                  <w:vAlign w:val="center"/>
                </w:tcPr>
                <w:p>
                  <w:pPr>
                    <w:spacing w:line="240" w:lineRule="auto"/>
                    <w:ind w:firstLine="0" w:firstLineChars="0"/>
                    <w:jc w:val="center"/>
                    <w:rPr>
                      <w:sz w:val="21"/>
                      <w:szCs w:val="21"/>
                    </w:rPr>
                  </w:pPr>
                  <w:r>
                    <w:rPr>
                      <w:sz w:val="21"/>
                      <w:szCs w:val="21"/>
                    </w:rPr>
                    <w:t>是</w:t>
                  </w:r>
                </w:p>
              </w:tc>
              <w:tc>
                <w:tcPr>
                  <w:tcW w:w="1589" w:type="dxa"/>
                  <w:vAlign w:val="center"/>
                </w:tcPr>
                <w:p>
                  <w:pPr>
                    <w:spacing w:line="240" w:lineRule="auto"/>
                    <w:ind w:firstLine="0" w:firstLineChars="0"/>
                    <w:jc w:val="center"/>
                    <w:rPr>
                      <w:sz w:val="21"/>
                      <w:szCs w:val="21"/>
                    </w:rPr>
                  </w:pPr>
                  <w:r>
                    <w:rPr>
                      <w:sz w:val="21"/>
                      <w:szCs w:val="21"/>
                    </w:rPr>
                    <w:t>是</w:t>
                  </w:r>
                </w:p>
              </w:tc>
              <w:tc>
                <w:tcPr>
                  <w:tcW w:w="1589" w:type="dxa"/>
                  <w:vAlign w:val="center"/>
                </w:tcPr>
                <w:p>
                  <w:pPr>
                    <w:spacing w:line="240" w:lineRule="auto"/>
                    <w:ind w:firstLine="0" w:firstLineChars="0"/>
                    <w:jc w:val="center"/>
                    <w:rPr>
                      <w:sz w:val="21"/>
                      <w:szCs w:val="21"/>
                    </w:rPr>
                  </w:pPr>
                  <w:r>
                    <w:rPr>
                      <w:sz w:val="21"/>
                      <w:szCs w:val="21"/>
                    </w:rPr>
                    <w:t>是</w:t>
                  </w:r>
                </w:p>
              </w:tc>
              <w:tc>
                <w:tcPr>
                  <w:tcW w:w="1589" w:type="dxa"/>
                  <w:vAlign w:val="center"/>
                </w:tcPr>
                <w:p>
                  <w:pPr>
                    <w:spacing w:line="240" w:lineRule="auto"/>
                    <w:ind w:firstLine="0" w:firstLineChars="0"/>
                    <w:jc w:val="center"/>
                    <w:rPr>
                      <w:sz w:val="21"/>
                      <w:szCs w:val="21"/>
                    </w:rPr>
                  </w:pPr>
                  <w:r>
                    <w:rPr>
                      <w:sz w:val="21"/>
                      <w:szCs w:val="21"/>
                    </w:rPr>
                    <w:t>是</w:t>
                  </w:r>
                </w:p>
              </w:tc>
              <w:tc>
                <w:tcPr>
                  <w:tcW w:w="1589" w:type="dxa"/>
                  <w:vAlign w:val="center"/>
                </w:tcPr>
                <w:p>
                  <w:pPr>
                    <w:spacing w:line="240" w:lineRule="auto"/>
                    <w:ind w:firstLine="0" w:firstLineChars="0"/>
                    <w:jc w:val="center"/>
                    <w:rPr>
                      <w:sz w:val="21"/>
                      <w:szCs w:val="21"/>
                    </w:rPr>
                  </w:pPr>
                  <w:r>
                    <w:rPr>
                      <w:sz w:val="21"/>
                      <w:szCs w:val="21"/>
                    </w:rPr>
                    <w:t>是</w:t>
                  </w:r>
                </w:p>
              </w:tc>
              <w:tc>
                <w:tcPr>
                  <w:tcW w:w="1589" w:type="dxa"/>
                  <w:vAlign w:val="center"/>
                </w:tcPr>
                <w:p>
                  <w:pPr>
                    <w:spacing w:line="240" w:lineRule="auto"/>
                    <w:ind w:firstLine="0" w:firstLineChars="0"/>
                    <w:jc w:val="center"/>
                    <w:rPr>
                      <w:sz w:val="21"/>
                      <w:szCs w:val="21"/>
                    </w:rPr>
                  </w:pPr>
                  <w:r>
                    <w:rPr>
                      <w:sz w:val="21"/>
                      <w:szCs w:val="21"/>
                    </w:rPr>
                    <w:t>是</w:t>
                  </w:r>
                </w:p>
              </w:tc>
              <w:tc>
                <w:tcPr>
                  <w:tcW w:w="1594" w:type="dxa"/>
                  <w:vAlign w:val="center"/>
                </w:tcPr>
                <w:p>
                  <w:pPr>
                    <w:spacing w:line="240" w:lineRule="auto"/>
                    <w:ind w:firstLine="0" w:firstLineChars="0"/>
                    <w:jc w:val="center"/>
                    <w:rPr>
                      <w:sz w:val="21"/>
                      <w:szCs w:val="21"/>
                    </w:rPr>
                  </w:pPr>
                  <w:r>
                    <w:rPr>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1" w:type="dxa"/>
                  <w:vAlign w:val="center"/>
                </w:tcPr>
                <w:p>
                  <w:pPr>
                    <w:pStyle w:val="46"/>
                  </w:pPr>
                  <w:r>
                    <w:t>检测因子</w:t>
                  </w:r>
                </w:p>
              </w:tc>
              <w:tc>
                <w:tcPr>
                  <w:tcW w:w="1589" w:type="dxa"/>
                  <w:vAlign w:val="center"/>
                </w:tcPr>
                <w:p>
                  <w:pPr>
                    <w:pStyle w:val="46"/>
                  </w:pPr>
                  <w:r>
                    <w:t>氯仿</w:t>
                  </w:r>
                </w:p>
              </w:tc>
              <w:tc>
                <w:tcPr>
                  <w:tcW w:w="1589" w:type="dxa"/>
                  <w:vAlign w:val="center"/>
                </w:tcPr>
                <w:p>
                  <w:pPr>
                    <w:pStyle w:val="46"/>
                  </w:pPr>
                  <w:r>
                    <w:t>氯甲烷</w:t>
                  </w:r>
                </w:p>
              </w:tc>
              <w:tc>
                <w:tcPr>
                  <w:tcW w:w="1589" w:type="dxa"/>
                  <w:vAlign w:val="center"/>
                </w:tcPr>
                <w:p>
                  <w:pPr>
                    <w:pStyle w:val="46"/>
                  </w:pPr>
                  <w:r>
                    <w:t>1,1-二氯乙烷</w:t>
                  </w:r>
                </w:p>
              </w:tc>
              <w:tc>
                <w:tcPr>
                  <w:tcW w:w="1589" w:type="dxa"/>
                  <w:vAlign w:val="center"/>
                </w:tcPr>
                <w:p>
                  <w:pPr>
                    <w:pStyle w:val="46"/>
                  </w:pPr>
                  <w:r>
                    <w:t>1,2-二氯乙烷</w:t>
                  </w:r>
                </w:p>
              </w:tc>
              <w:tc>
                <w:tcPr>
                  <w:tcW w:w="1589" w:type="dxa"/>
                  <w:vAlign w:val="center"/>
                </w:tcPr>
                <w:p>
                  <w:pPr>
                    <w:pStyle w:val="46"/>
                  </w:pPr>
                  <w:r>
                    <w:t>1,1-二氯乙烯</w:t>
                  </w:r>
                </w:p>
              </w:tc>
              <w:tc>
                <w:tcPr>
                  <w:tcW w:w="1589" w:type="dxa"/>
                  <w:vAlign w:val="center"/>
                </w:tcPr>
                <w:p>
                  <w:pPr>
                    <w:pStyle w:val="46"/>
                  </w:pPr>
                  <w:r>
                    <w:t>顺-1,2-二氯乙烯</w:t>
                  </w:r>
                </w:p>
              </w:tc>
              <w:tc>
                <w:tcPr>
                  <w:tcW w:w="1589" w:type="dxa"/>
                  <w:vAlign w:val="center"/>
                </w:tcPr>
                <w:p>
                  <w:pPr>
                    <w:pStyle w:val="46"/>
                  </w:pPr>
                  <w:r>
                    <w:t>反-1,2-二氯乙烯</w:t>
                  </w:r>
                </w:p>
              </w:tc>
              <w:tc>
                <w:tcPr>
                  <w:tcW w:w="1594" w:type="dxa"/>
                  <w:vAlign w:val="center"/>
                </w:tcPr>
                <w:p>
                  <w:pPr>
                    <w:pStyle w:val="46"/>
                  </w:pPr>
                  <w:r>
                    <w:t>二氯甲烷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1" w:type="dxa"/>
                  <w:vAlign w:val="center"/>
                </w:tcPr>
                <w:p>
                  <w:pPr>
                    <w:pStyle w:val="46"/>
                    <w:rPr>
                      <w:b w:val="0"/>
                      <w:bCs/>
                    </w:rPr>
                  </w:pPr>
                  <w:r>
                    <w:rPr>
                      <w:b w:val="0"/>
                      <w:bCs/>
                    </w:rPr>
                    <w:t>检测结果</w:t>
                  </w:r>
                </w:p>
              </w:tc>
              <w:tc>
                <w:tcPr>
                  <w:tcW w:w="1589" w:type="dxa"/>
                  <w:vAlign w:val="center"/>
                </w:tcPr>
                <w:p>
                  <w:pPr>
                    <w:pStyle w:val="46"/>
                    <w:rPr>
                      <w:b w:val="0"/>
                      <w:bCs/>
                    </w:rPr>
                  </w:pPr>
                  <w:r>
                    <w:rPr>
                      <w:b w:val="0"/>
                      <w:bCs/>
                    </w:rPr>
                    <w:t>&lt;1.1</w:t>
                  </w:r>
                  <w:r>
                    <w:rPr>
                      <w:b w:val="0"/>
                    </w:rPr>
                    <w:t>×10</w:t>
                  </w:r>
                  <w:r>
                    <w:rPr>
                      <w:b w:val="0"/>
                      <w:vertAlign w:val="superscript"/>
                    </w:rPr>
                    <w:t>-3</w:t>
                  </w:r>
                </w:p>
              </w:tc>
              <w:tc>
                <w:tcPr>
                  <w:tcW w:w="1589" w:type="dxa"/>
                  <w:vAlign w:val="center"/>
                </w:tcPr>
                <w:p>
                  <w:pPr>
                    <w:pStyle w:val="46"/>
                    <w:rPr>
                      <w:b w:val="0"/>
                      <w:bCs/>
                    </w:rPr>
                  </w:pPr>
                  <w:r>
                    <w:rPr>
                      <w:b w:val="0"/>
                      <w:bCs/>
                    </w:rPr>
                    <w:t>&lt;1.0</w:t>
                  </w:r>
                  <w:r>
                    <w:rPr>
                      <w:b w:val="0"/>
                    </w:rPr>
                    <w:t>×10</w:t>
                  </w:r>
                  <w:r>
                    <w:rPr>
                      <w:b w:val="0"/>
                      <w:vertAlign w:val="superscript"/>
                    </w:rPr>
                    <w:t>-3</w:t>
                  </w:r>
                </w:p>
              </w:tc>
              <w:tc>
                <w:tcPr>
                  <w:tcW w:w="1589" w:type="dxa"/>
                  <w:vAlign w:val="center"/>
                </w:tcPr>
                <w:p>
                  <w:pPr>
                    <w:pStyle w:val="46"/>
                    <w:rPr>
                      <w:b w:val="0"/>
                      <w:bCs/>
                    </w:rPr>
                  </w:pPr>
                  <w:r>
                    <w:rPr>
                      <w:b w:val="0"/>
                      <w:bCs/>
                    </w:rPr>
                    <w:t>&lt;1.2</w:t>
                  </w:r>
                  <w:r>
                    <w:rPr>
                      <w:b w:val="0"/>
                    </w:rPr>
                    <w:t>×10</w:t>
                  </w:r>
                  <w:r>
                    <w:rPr>
                      <w:b w:val="0"/>
                      <w:vertAlign w:val="superscript"/>
                    </w:rPr>
                    <w:t>-3</w:t>
                  </w:r>
                </w:p>
              </w:tc>
              <w:tc>
                <w:tcPr>
                  <w:tcW w:w="1589" w:type="dxa"/>
                  <w:vAlign w:val="center"/>
                </w:tcPr>
                <w:p>
                  <w:pPr>
                    <w:pStyle w:val="46"/>
                    <w:rPr>
                      <w:b w:val="0"/>
                      <w:bCs/>
                    </w:rPr>
                  </w:pPr>
                  <w:r>
                    <w:rPr>
                      <w:b w:val="0"/>
                      <w:bCs/>
                    </w:rPr>
                    <w:t>&lt;1.3</w:t>
                  </w:r>
                  <w:r>
                    <w:rPr>
                      <w:b w:val="0"/>
                    </w:rPr>
                    <w:t>×10</w:t>
                  </w:r>
                  <w:r>
                    <w:rPr>
                      <w:b w:val="0"/>
                      <w:vertAlign w:val="superscript"/>
                    </w:rPr>
                    <w:t>-3</w:t>
                  </w:r>
                </w:p>
              </w:tc>
              <w:tc>
                <w:tcPr>
                  <w:tcW w:w="1589" w:type="dxa"/>
                  <w:vAlign w:val="center"/>
                </w:tcPr>
                <w:p>
                  <w:pPr>
                    <w:pStyle w:val="46"/>
                    <w:rPr>
                      <w:b w:val="0"/>
                      <w:bCs/>
                    </w:rPr>
                  </w:pPr>
                  <w:r>
                    <w:rPr>
                      <w:b w:val="0"/>
                      <w:bCs/>
                    </w:rPr>
                    <w:t>&lt;1.0</w:t>
                  </w:r>
                  <w:r>
                    <w:rPr>
                      <w:b w:val="0"/>
                    </w:rPr>
                    <w:t>×10</w:t>
                  </w:r>
                  <w:r>
                    <w:rPr>
                      <w:b w:val="0"/>
                      <w:vertAlign w:val="superscript"/>
                    </w:rPr>
                    <w:t>-3</w:t>
                  </w:r>
                </w:p>
              </w:tc>
              <w:tc>
                <w:tcPr>
                  <w:tcW w:w="1589" w:type="dxa"/>
                  <w:vAlign w:val="center"/>
                </w:tcPr>
                <w:p>
                  <w:pPr>
                    <w:pStyle w:val="46"/>
                    <w:rPr>
                      <w:b w:val="0"/>
                      <w:bCs/>
                    </w:rPr>
                  </w:pPr>
                  <w:r>
                    <w:rPr>
                      <w:b w:val="0"/>
                      <w:bCs/>
                    </w:rPr>
                    <w:t>&lt;1.3</w:t>
                  </w:r>
                  <w:r>
                    <w:rPr>
                      <w:b w:val="0"/>
                    </w:rPr>
                    <w:t>×10</w:t>
                  </w:r>
                  <w:r>
                    <w:rPr>
                      <w:b w:val="0"/>
                      <w:vertAlign w:val="superscript"/>
                    </w:rPr>
                    <w:t>-3</w:t>
                  </w:r>
                </w:p>
              </w:tc>
              <w:tc>
                <w:tcPr>
                  <w:tcW w:w="1589" w:type="dxa"/>
                  <w:vAlign w:val="center"/>
                </w:tcPr>
                <w:p>
                  <w:pPr>
                    <w:pStyle w:val="46"/>
                    <w:rPr>
                      <w:b w:val="0"/>
                      <w:bCs/>
                    </w:rPr>
                  </w:pPr>
                  <w:r>
                    <w:rPr>
                      <w:b w:val="0"/>
                      <w:bCs/>
                    </w:rPr>
                    <w:t>&lt;1.4</w:t>
                  </w:r>
                  <w:r>
                    <w:rPr>
                      <w:b w:val="0"/>
                    </w:rPr>
                    <w:t>×10</w:t>
                  </w:r>
                  <w:r>
                    <w:rPr>
                      <w:b w:val="0"/>
                      <w:vertAlign w:val="superscript"/>
                    </w:rPr>
                    <w:t>-3</w:t>
                  </w:r>
                </w:p>
              </w:tc>
              <w:tc>
                <w:tcPr>
                  <w:tcW w:w="1594" w:type="dxa"/>
                  <w:vAlign w:val="center"/>
                </w:tcPr>
                <w:p>
                  <w:pPr>
                    <w:pStyle w:val="46"/>
                    <w:rPr>
                      <w:b w:val="0"/>
                      <w:bCs/>
                    </w:rPr>
                  </w:pPr>
                  <w:r>
                    <w:rPr>
                      <w:b w:val="0"/>
                      <w:bCs/>
                    </w:rPr>
                    <w:t>&lt;1.5</w:t>
                  </w:r>
                  <w:r>
                    <w:rPr>
                      <w:b w:val="0"/>
                    </w:rPr>
                    <w:t>×10</w:t>
                  </w:r>
                  <w:r>
                    <w:rPr>
                      <w:b w:val="0"/>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1" w:type="dxa"/>
                  <w:vAlign w:val="center"/>
                </w:tcPr>
                <w:p>
                  <w:pPr>
                    <w:pStyle w:val="46"/>
                    <w:rPr>
                      <w:b w:val="0"/>
                      <w:bCs/>
                    </w:rPr>
                  </w:pPr>
                  <w:r>
                    <w:rPr>
                      <w:b w:val="0"/>
                      <w:bCs/>
                    </w:rPr>
                    <w:t>二类用地筛选值</w:t>
                  </w:r>
                </w:p>
              </w:tc>
              <w:tc>
                <w:tcPr>
                  <w:tcW w:w="1589" w:type="dxa"/>
                  <w:vAlign w:val="center"/>
                </w:tcPr>
                <w:p>
                  <w:pPr>
                    <w:pStyle w:val="46"/>
                    <w:rPr>
                      <w:b w:val="0"/>
                      <w:bCs/>
                    </w:rPr>
                  </w:pPr>
                  <w:r>
                    <w:rPr>
                      <w:b w:val="0"/>
                      <w:bCs/>
                    </w:rPr>
                    <w:t>0.9</w:t>
                  </w:r>
                </w:p>
              </w:tc>
              <w:tc>
                <w:tcPr>
                  <w:tcW w:w="1589" w:type="dxa"/>
                  <w:vAlign w:val="center"/>
                </w:tcPr>
                <w:p>
                  <w:pPr>
                    <w:pStyle w:val="46"/>
                    <w:rPr>
                      <w:b w:val="0"/>
                      <w:bCs/>
                    </w:rPr>
                  </w:pPr>
                  <w:r>
                    <w:rPr>
                      <w:b w:val="0"/>
                      <w:bCs/>
                    </w:rPr>
                    <w:t>37</w:t>
                  </w:r>
                </w:p>
              </w:tc>
              <w:tc>
                <w:tcPr>
                  <w:tcW w:w="1589" w:type="dxa"/>
                  <w:vAlign w:val="center"/>
                </w:tcPr>
                <w:p>
                  <w:pPr>
                    <w:pStyle w:val="46"/>
                    <w:rPr>
                      <w:b w:val="0"/>
                      <w:bCs/>
                    </w:rPr>
                  </w:pPr>
                  <w:r>
                    <w:rPr>
                      <w:b w:val="0"/>
                      <w:bCs/>
                    </w:rPr>
                    <w:t>9</w:t>
                  </w:r>
                </w:p>
              </w:tc>
              <w:tc>
                <w:tcPr>
                  <w:tcW w:w="1589" w:type="dxa"/>
                  <w:vAlign w:val="center"/>
                </w:tcPr>
                <w:p>
                  <w:pPr>
                    <w:pStyle w:val="46"/>
                    <w:rPr>
                      <w:b w:val="0"/>
                      <w:bCs/>
                    </w:rPr>
                  </w:pPr>
                  <w:r>
                    <w:rPr>
                      <w:b w:val="0"/>
                      <w:bCs/>
                    </w:rPr>
                    <w:t>5</w:t>
                  </w:r>
                </w:p>
              </w:tc>
              <w:tc>
                <w:tcPr>
                  <w:tcW w:w="1589" w:type="dxa"/>
                  <w:vAlign w:val="center"/>
                </w:tcPr>
                <w:p>
                  <w:pPr>
                    <w:pStyle w:val="46"/>
                    <w:rPr>
                      <w:b w:val="0"/>
                      <w:bCs/>
                    </w:rPr>
                  </w:pPr>
                  <w:r>
                    <w:rPr>
                      <w:b w:val="0"/>
                      <w:bCs/>
                    </w:rPr>
                    <w:t>66</w:t>
                  </w:r>
                </w:p>
              </w:tc>
              <w:tc>
                <w:tcPr>
                  <w:tcW w:w="1589" w:type="dxa"/>
                  <w:vAlign w:val="center"/>
                </w:tcPr>
                <w:p>
                  <w:pPr>
                    <w:pStyle w:val="46"/>
                    <w:rPr>
                      <w:b w:val="0"/>
                      <w:bCs/>
                    </w:rPr>
                  </w:pPr>
                  <w:r>
                    <w:rPr>
                      <w:b w:val="0"/>
                      <w:bCs/>
                    </w:rPr>
                    <w:t>596</w:t>
                  </w:r>
                </w:p>
              </w:tc>
              <w:tc>
                <w:tcPr>
                  <w:tcW w:w="1589" w:type="dxa"/>
                  <w:vAlign w:val="center"/>
                </w:tcPr>
                <w:p>
                  <w:pPr>
                    <w:pStyle w:val="46"/>
                    <w:rPr>
                      <w:b w:val="0"/>
                      <w:bCs/>
                    </w:rPr>
                  </w:pPr>
                  <w:r>
                    <w:rPr>
                      <w:b w:val="0"/>
                      <w:bCs/>
                    </w:rPr>
                    <w:t>54</w:t>
                  </w:r>
                </w:p>
              </w:tc>
              <w:tc>
                <w:tcPr>
                  <w:tcW w:w="1594" w:type="dxa"/>
                  <w:vAlign w:val="center"/>
                </w:tcPr>
                <w:p>
                  <w:pPr>
                    <w:pStyle w:val="46"/>
                    <w:rPr>
                      <w:b w:val="0"/>
                      <w:bCs/>
                    </w:rPr>
                  </w:pPr>
                  <w:r>
                    <w:rPr>
                      <w:b w:val="0"/>
                      <w:bCs/>
                    </w:rPr>
                    <w:t>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1" w:type="dxa"/>
                  <w:vAlign w:val="center"/>
                </w:tcPr>
                <w:p>
                  <w:pPr>
                    <w:pStyle w:val="46"/>
                    <w:rPr>
                      <w:b w:val="0"/>
                      <w:bCs/>
                    </w:rPr>
                  </w:pPr>
                  <w:r>
                    <w:rPr>
                      <w:b w:val="0"/>
                      <w:bCs/>
                    </w:rPr>
                    <w:t>是否达标</w:t>
                  </w:r>
                </w:p>
              </w:tc>
              <w:tc>
                <w:tcPr>
                  <w:tcW w:w="1589" w:type="dxa"/>
                  <w:vAlign w:val="center"/>
                </w:tcPr>
                <w:p>
                  <w:pPr>
                    <w:spacing w:line="240" w:lineRule="auto"/>
                    <w:ind w:firstLine="0" w:firstLineChars="0"/>
                    <w:jc w:val="center"/>
                    <w:rPr>
                      <w:sz w:val="21"/>
                      <w:szCs w:val="21"/>
                    </w:rPr>
                  </w:pPr>
                  <w:r>
                    <w:rPr>
                      <w:sz w:val="21"/>
                      <w:szCs w:val="21"/>
                    </w:rPr>
                    <w:t>是</w:t>
                  </w:r>
                </w:p>
              </w:tc>
              <w:tc>
                <w:tcPr>
                  <w:tcW w:w="1589" w:type="dxa"/>
                  <w:vAlign w:val="center"/>
                </w:tcPr>
                <w:p>
                  <w:pPr>
                    <w:spacing w:line="240" w:lineRule="auto"/>
                    <w:ind w:firstLine="0" w:firstLineChars="0"/>
                    <w:jc w:val="center"/>
                    <w:rPr>
                      <w:sz w:val="21"/>
                      <w:szCs w:val="21"/>
                    </w:rPr>
                  </w:pPr>
                  <w:r>
                    <w:rPr>
                      <w:sz w:val="21"/>
                      <w:szCs w:val="21"/>
                    </w:rPr>
                    <w:t>是</w:t>
                  </w:r>
                </w:p>
              </w:tc>
              <w:tc>
                <w:tcPr>
                  <w:tcW w:w="1589" w:type="dxa"/>
                  <w:vAlign w:val="center"/>
                </w:tcPr>
                <w:p>
                  <w:pPr>
                    <w:spacing w:line="240" w:lineRule="auto"/>
                    <w:ind w:firstLine="0" w:firstLineChars="0"/>
                    <w:jc w:val="center"/>
                    <w:rPr>
                      <w:sz w:val="21"/>
                      <w:szCs w:val="21"/>
                    </w:rPr>
                  </w:pPr>
                  <w:r>
                    <w:rPr>
                      <w:sz w:val="21"/>
                      <w:szCs w:val="21"/>
                    </w:rPr>
                    <w:t>是</w:t>
                  </w:r>
                </w:p>
              </w:tc>
              <w:tc>
                <w:tcPr>
                  <w:tcW w:w="1589" w:type="dxa"/>
                  <w:vAlign w:val="center"/>
                </w:tcPr>
                <w:p>
                  <w:pPr>
                    <w:spacing w:line="240" w:lineRule="auto"/>
                    <w:ind w:firstLine="0" w:firstLineChars="0"/>
                    <w:jc w:val="center"/>
                    <w:rPr>
                      <w:sz w:val="21"/>
                      <w:szCs w:val="21"/>
                    </w:rPr>
                  </w:pPr>
                  <w:r>
                    <w:rPr>
                      <w:sz w:val="21"/>
                      <w:szCs w:val="21"/>
                    </w:rPr>
                    <w:t>是</w:t>
                  </w:r>
                </w:p>
              </w:tc>
              <w:tc>
                <w:tcPr>
                  <w:tcW w:w="1589" w:type="dxa"/>
                  <w:vAlign w:val="center"/>
                </w:tcPr>
                <w:p>
                  <w:pPr>
                    <w:spacing w:line="240" w:lineRule="auto"/>
                    <w:ind w:firstLine="0" w:firstLineChars="0"/>
                    <w:jc w:val="center"/>
                    <w:rPr>
                      <w:sz w:val="21"/>
                      <w:szCs w:val="21"/>
                    </w:rPr>
                  </w:pPr>
                  <w:r>
                    <w:rPr>
                      <w:sz w:val="21"/>
                      <w:szCs w:val="21"/>
                    </w:rPr>
                    <w:t>是</w:t>
                  </w:r>
                </w:p>
              </w:tc>
              <w:tc>
                <w:tcPr>
                  <w:tcW w:w="1589" w:type="dxa"/>
                  <w:vAlign w:val="center"/>
                </w:tcPr>
                <w:p>
                  <w:pPr>
                    <w:spacing w:line="240" w:lineRule="auto"/>
                    <w:ind w:firstLine="0" w:firstLineChars="0"/>
                    <w:jc w:val="center"/>
                    <w:rPr>
                      <w:sz w:val="21"/>
                      <w:szCs w:val="21"/>
                    </w:rPr>
                  </w:pPr>
                  <w:r>
                    <w:rPr>
                      <w:sz w:val="21"/>
                      <w:szCs w:val="21"/>
                    </w:rPr>
                    <w:t>是</w:t>
                  </w:r>
                </w:p>
              </w:tc>
              <w:tc>
                <w:tcPr>
                  <w:tcW w:w="1589" w:type="dxa"/>
                  <w:vAlign w:val="center"/>
                </w:tcPr>
                <w:p>
                  <w:pPr>
                    <w:spacing w:line="240" w:lineRule="auto"/>
                    <w:ind w:firstLine="0" w:firstLineChars="0"/>
                    <w:jc w:val="center"/>
                    <w:rPr>
                      <w:sz w:val="21"/>
                      <w:szCs w:val="21"/>
                    </w:rPr>
                  </w:pPr>
                  <w:r>
                    <w:rPr>
                      <w:sz w:val="21"/>
                      <w:szCs w:val="21"/>
                    </w:rPr>
                    <w:t>是</w:t>
                  </w:r>
                </w:p>
              </w:tc>
              <w:tc>
                <w:tcPr>
                  <w:tcW w:w="1594" w:type="dxa"/>
                  <w:vAlign w:val="center"/>
                </w:tcPr>
                <w:p>
                  <w:pPr>
                    <w:spacing w:line="240" w:lineRule="auto"/>
                    <w:ind w:firstLine="0" w:firstLineChars="0"/>
                    <w:jc w:val="center"/>
                    <w:rPr>
                      <w:sz w:val="21"/>
                      <w:szCs w:val="21"/>
                    </w:rPr>
                  </w:pPr>
                  <w:r>
                    <w:rPr>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1" w:type="dxa"/>
                  <w:vAlign w:val="center"/>
                </w:tcPr>
                <w:p>
                  <w:pPr>
                    <w:pStyle w:val="46"/>
                  </w:pPr>
                  <w:r>
                    <w:t>检测因子</w:t>
                  </w:r>
                </w:p>
              </w:tc>
              <w:tc>
                <w:tcPr>
                  <w:tcW w:w="1589" w:type="dxa"/>
                  <w:vAlign w:val="center"/>
                </w:tcPr>
                <w:p>
                  <w:pPr>
                    <w:pStyle w:val="46"/>
                  </w:pPr>
                  <w:r>
                    <w:t>1,2-二氯丙烷</w:t>
                  </w:r>
                </w:p>
              </w:tc>
              <w:tc>
                <w:tcPr>
                  <w:tcW w:w="1589" w:type="dxa"/>
                  <w:vAlign w:val="center"/>
                </w:tcPr>
                <w:p>
                  <w:pPr>
                    <w:pStyle w:val="46"/>
                  </w:pPr>
                  <w:r>
                    <w:t>1,1,1,2-四氯乙烷</w:t>
                  </w:r>
                </w:p>
              </w:tc>
              <w:tc>
                <w:tcPr>
                  <w:tcW w:w="1589" w:type="dxa"/>
                  <w:vAlign w:val="center"/>
                </w:tcPr>
                <w:p>
                  <w:pPr>
                    <w:pStyle w:val="46"/>
                  </w:pPr>
                  <w:r>
                    <w:t>1,1,2,2-四氯乙烷</w:t>
                  </w:r>
                </w:p>
              </w:tc>
              <w:tc>
                <w:tcPr>
                  <w:tcW w:w="1589" w:type="dxa"/>
                  <w:vAlign w:val="center"/>
                </w:tcPr>
                <w:p>
                  <w:pPr>
                    <w:pStyle w:val="46"/>
                  </w:pPr>
                  <w:r>
                    <w:t>四氯乙烯</w:t>
                  </w:r>
                </w:p>
              </w:tc>
              <w:tc>
                <w:tcPr>
                  <w:tcW w:w="1589" w:type="dxa"/>
                  <w:vAlign w:val="center"/>
                </w:tcPr>
                <w:p>
                  <w:pPr>
                    <w:pStyle w:val="46"/>
                  </w:pPr>
                  <w:r>
                    <w:t>1,1,1-三氯乙烷</w:t>
                  </w:r>
                </w:p>
              </w:tc>
              <w:tc>
                <w:tcPr>
                  <w:tcW w:w="1589" w:type="dxa"/>
                  <w:vAlign w:val="center"/>
                </w:tcPr>
                <w:p>
                  <w:pPr>
                    <w:pStyle w:val="46"/>
                  </w:pPr>
                  <w:r>
                    <w:t>1,1,2-三氯乙烷</w:t>
                  </w:r>
                </w:p>
              </w:tc>
              <w:tc>
                <w:tcPr>
                  <w:tcW w:w="1589" w:type="dxa"/>
                  <w:vAlign w:val="center"/>
                </w:tcPr>
                <w:p>
                  <w:pPr>
                    <w:pStyle w:val="46"/>
                  </w:pPr>
                  <w:r>
                    <w:t>三氯乙烯</w:t>
                  </w:r>
                </w:p>
              </w:tc>
              <w:tc>
                <w:tcPr>
                  <w:tcW w:w="1594" w:type="dxa"/>
                  <w:vAlign w:val="center"/>
                </w:tcPr>
                <w:p>
                  <w:pPr>
                    <w:pStyle w:val="46"/>
                  </w:pPr>
                  <w:r>
                    <w:t>1,2,3-三氯丙烷</w:t>
                  </w:r>
                </w:p>
              </w:tc>
            </w:tr>
            <w:tr>
              <w:tblPrEx>
                <w:tblCellMar>
                  <w:top w:w="0" w:type="dxa"/>
                  <w:left w:w="108" w:type="dxa"/>
                  <w:bottom w:w="0" w:type="dxa"/>
                  <w:right w:w="108" w:type="dxa"/>
                </w:tblCellMar>
              </w:tblPrEx>
              <w:trPr>
                <w:trHeight w:val="340" w:hRule="atLeast"/>
              </w:trPr>
              <w:tc>
                <w:tcPr>
                  <w:tcW w:w="1211" w:type="dxa"/>
                  <w:vAlign w:val="center"/>
                </w:tcPr>
                <w:p>
                  <w:pPr>
                    <w:pStyle w:val="46"/>
                    <w:rPr>
                      <w:b w:val="0"/>
                      <w:bCs/>
                    </w:rPr>
                  </w:pPr>
                  <w:r>
                    <w:rPr>
                      <w:b w:val="0"/>
                      <w:bCs/>
                    </w:rPr>
                    <w:t>检测结果</w:t>
                  </w:r>
                </w:p>
              </w:tc>
              <w:tc>
                <w:tcPr>
                  <w:tcW w:w="1589" w:type="dxa"/>
                  <w:vAlign w:val="center"/>
                </w:tcPr>
                <w:p>
                  <w:pPr>
                    <w:pStyle w:val="46"/>
                    <w:rPr>
                      <w:b w:val="0"/>
                      <w:bCs/>
                    </w:rPr>
                  </w:pPr>
                  <w:r>
                    <w:rPr>
                      <w:b w:val="0"/>
                      <w:bCs/>
                    </w:rPr>
                    <w:t>&lt;1.1</w:t>
                  </w:r>
                  <w:r>
                    <w:rPr>
                      <w:b w:val="0"/>
                    </w:rPr>
                    <w:t>×10</w:t>
                  </w:r>
                  <w:r>
                    <w:rPr>
                      <w:b w:val="0"/>
                      <w:vertAlign w:val="superscript"/>
                    </w:rPr>
                    <w:t>-3</w:t>
                  </w:r>
                </w:p>
              </w:tc>
              <w:tc>
                <w:tcPr>
                  <w:tcW w:w="1589" w:type="dxa"/>
                  <w:vAlign w:val="center"/>
                </w:tcPr>
                <w:p>
                  <w:pPr>
                    <w:pStyle w:val="46"/>
                    <w:rPr>
                      <w:b w:val="0"/>
                      <w:bCs/>
                    </w:rPr>
                  </w:pPr>
                  <w:r>
                    <w:rPr>
                      <w:b w:val="0"/>
                      <w:bCs/>
                    </w:rPr>
                    <w:t>&lt;1.2</w:t>
                  </w:r>
                  <w:r>
                    <w:rPr>
                      <w:b w:val="0"/>
                    </w:rPr>
                    <w:t>×10</w:t>
                  </w:r>
                  <w:r>
                    <w:rPr>
                      <w:b w:val="0"/>
                      <w:vertAlign w:val="superscript"/>
                    </w:rPr>
                    <w:t>-3</w:t>
                  </w:r>
                </w:p>
              </w:tc>
              <w:tc>
                <w:tcPr>
                  <w:tcW w:w="1589" w:type="dxa"/>
                  <w:vAlign w:val="center"/>
                </w:tcPr>
                <w:p>
                  <w:pPr>
                    <w:pStyle w:val="46"/>
                    <w:rPr>
                      <w:b w:val="0"/>
                      <w:bCs/>
                    </w:rPr>
                  </w:pPr>
                  <w:r>
                    <w:rPr>
                      <w:b w:val="0"/>
                      <w:bCs/>
                    </w:rPr>
                    <w:t>&lt;1.2</w:t>
                  </w:r>
                  <w:r>
                    <w:rPr>
                      <w:b w:val="0"/>
                    </w:rPr>
                    <w:t>×10</w:t>
                  </w:r>
                  <w:r>
                    <w:rPr>
                      <w:b w:val="0"/>
                      <w:vertAlign w:val="superscript"/>
                    </w:rPr>
                    <w:t>-3</w:t>
                  </w:r>
                </w:p>
              </w:tc>
              <w:tc>
                <w:tcPr>
                  <w:tcW w:w="1589" w:type="dxa"/>
                  <w:vAlign w:val="center"/>
                </w:tcPr>
                <w:p>
                  <w:pPr>
                    <w:pStyle w:val="46"/>
                    <w:rPr>
                      <w:b w:val="0"/>
                      <w:bCs/>
                    </w:rPr>
                  </w:pPr>
                  <w:r>
                    <w:rPr>
                      <w:b w:val="0"/>
                      <w:bCs/>
                    </w:rPr>
                    <w:t>&lt;1.4</w:t>
                  </w:r>
                  <w:r>
                    <w:rPr>
                      <w:b w:val="0"/>
                    </w:rPr>
                    <w:t>×10</w:t>
                  </w:r>
                  <w:r>
                    <w:rPr>
                      <w:b w:val="0"/>
                      <w:vertAlign w:val="superscript"/>
                    </w:rPr>
                    <w:t>-3</w:t>
                  </w:r>
                </w:p>
              </w:tc>
              <w:tc>
                <w:tcPr>
                  <w:tcW w:w="1589" w:type="dxa"/>
                  <w:vAlign w:val="center"/>
                </w:tcPr>
                <w:p>
                  <w:pPr>
                    <w:pStyle w:val="46"/>
                    <w:rPr>
                      <w:b w:val="0"/>
                      <w:bCs/>
                    </w:rPr>
                  </w:pPr>
                  <w:r>
                    <w:rPr>
                      <w:b w:val="0"/>
                      <w:bCs/>
                    </w:rPr>
                    <w:t>&lt;1.3</w:t>
                  </w:r>
                  <w:r>
                    <w:rPr>
                      <w:b w:val="0"/>
                    </w:rPr>
                    <w:t>×10</w:t>
                  </w:r>
                  <w:r>
                    <w:rPr>
                      <w:b w:val="0"/>
                      <w:vertAlign w:val="superscript"/>
                    </w:rPr>
                    <w:t>-3</w:t>
                  </w:r>
                </w:p>
              </w:tc>
              <w:tc>
                <w:tcPr>
                  <w:tcW w:w="1589" w:type="dxa"/>
                  <w:vAlign w:val="center"/>
                </w:tcPr>
                <w:p>
                  <w:pPr>
                    <w:pStyle w:val="46"/>
                    <w:rPr>
                      <w:b w:val="0"/>
                      <w:bCs/>
                    </w:rPr>
                  </w:pPr>
                  <w:r>
                    <w:rPr>
                      <w:b w:val="0"/>
                      <w:bCs/>
                    </w:rPr>
                    <w:t>&lt;1.2</w:t>
                  </w:r>
                  <w:r>
                    <w:rPr>
                      <w:b w:val="0"/>
                    </w:rPr>
                    <w:t>×10</w:t>
                  </w:r>
                  <w:r>
                    <w:rPr>
                      <w:b w:val="0"/>
                      <w:vertAlign w:val="superscript"/>
                    </w:rPr>
                    <w:t>-3</w:t>
                  </w:r>
                </w:p>
              </w:tc>
              <w:tc>
                <w:tcPr>
                  <w:tcW w:w="1589" w:type="dxa"/>
                  <w:vAlign w:val="center"/>
                </w:tcPr>
                <w:p>
                  <w:pPr>
                    <w:pStyle w:val="46"/>
                    <w:rPr>
                      <w:b w:val="0"/>
                      <w:bCs/>
                    </w:rPr>
                  </w:pPr>
                  <w:r>
                    <w:rPr>
                      <w:b w:val="0"/>
                      <w:bCs/>
                    </w:rPr>
                    <w:t>&lt;1.2</w:t>
                  </w:r>
                  <w:r>
                    <w:rPr>
                      <w:b w:val="0"/>
                    </w:rPr>
                    <w:t>×10</w:t>
                  </w:r>
                  <w:r>
                    <w:rPr>
                      <w:b w:val="0"/>
                      <w:vertAlign w:val="superscript"/>
                    </w:rPr>
                    <w:t>-3</w:t>
                  </w:r>
                </w:p>
              </w:tc>
              <w:tc>
                <w:tcPr>
                  <w:tcW w:w="1594" w:type="dxa"/>
                  <w:vAlign w:val="center"/>
                </w:tcPr>
                <w:p>
                  <w:pPr>
                    <w:pStyle w:val="46"/>
                    <w:rPr>
                      <w:b w:val="0"/>
                      <w:bCs/>
                    </w:rPr>
                  </w:pPr>
                  <w:r>
                    <w:rPr>
                      <w:b w:val="0"/>
                      <w:bCs/>
                    </w:rPr>
                    <w:t>&lt;1.2</w:t>
                  </w:r>
                  <w:r>
                    <w:rPr>
                      <w:b w:val="0"/>
                    </w:rPr>
                    <w:t>×10</w:t>
                  </w:r>
                  <w:r>
                    <w:rPr>
                      <w:b w:val="0"/>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1" w:type="dxa"/>
                  <w:vAlign w:val="center"/>
                </w:tcPr>
                <w:p>
                  <w:pPr>
                    <w:pStyle w:val="46"/>
                    <w:rPr>
                      <w:b w:val="0"/>
                      <w:bCs/>
                    </w:rPr>
                  </w:pPr>
                  <w:r>
                    <w:rPr>
                      <w:b w:val="0"/>
                      <w:bCs/>
                    </w:rPr>
                    <w:t>二类用地筛选值</w:t>
                  </w:r>
                </w:p>
              </w:tc>
              <w:tc>
                <w:tcPr>
                  <w:tcW w:w="1589" w:type="dxa"/>
                  <w:vAlign w:val="center"/>
                </w:tcPr>
                <w:p>
                  <w:pPr>
                    <w:pStyle w:val="46"/>
                    <w:rPr>
                      <w:b w:val="0"/>
                      <w:bCs/>
                    </w:rPr>
                  </w:pPr>
                  <w:r>
                    <w:rPr>
                      <w:b w:val="0"/>
                      <w:bCs/>
                    </w:rPr>
                    <w:t>5</w:t>
                  </w:r>
                </w:p>
              </w:tc>
              <w:tc>
                <w:tcPr>
                  <w:tcW w:w="1589" w:type="dxa"/>
                  <w:vAlign w:val="center"/>
                </w:tcPr>
                <w:p>
                  <w:pPr>
                    <w:pStyle w:val="46"/>
                    <w:rPr>
                      <w:b w:val="0"/>
                      <w:bCs/>
                    </w:rPr>
                  </w:pPr>
                  <w:r>
                    <w:rPr>
                      <w:b w:val="0"/>
                      <w:bCs/>
                    </w:rPr>
                    <w:t>10</w:t>
                  </w:r>
                </w:p>
              </w:tc>
              <w:tc>
                <w:tcPr>
                  <w:tcW w:w="1589" w:type="dxa"/>
                  <w:vAlign w:val="center"/>
                </w:tcPr>
                <w:p>
                  <w:pPr>
                    <w:pStyle w:val="46"/>
                    <w:rPr>
                      <w:b w:val="0"/>
                      <w:bCs/>
                    </w:rPr>
                  </w:pPr>
                  <w:r>
                    <w:rPr>
                      <w:b w:val="0"/>
                      <w:bCs/>
                    </w:rPr>
                    <w:t>6.8</w:t>
                  </w:r>
                </w:p>
              </w:tc>
              <w:tc>
                <w:tcPr>
                  <w:tcW w:w="1589" w:type="dxa"/>
                  <w:vAlign w:val="center"/>
                </w:tcPr>
                <w:p>
                  <w:pPr>
                    <w:pStyle w:val="46"/>
                    <w:rPr>
                      <w:b w:val="0"/>
                      <w:bCs/>
                    </w:rPr>
                  </w:pPr>
                  <w:r>
                    <w:rPr>
                      <w:b w:val="0"/>
                      <w:bCs/>
                    </w:rPr>
                    <w:t>53</w:t>
                  </w:r>
                </w:p>
              </w:tc>
              <w:tc>
                <w:tcPr>
                  <w:tcW w:w="1589" w:type="dxa"/>
                  <w:vAlign w:val="center"/>
                </w:tcPr>
                <w:p>
                  <w:pPr>
                    <w:pStyle w:val="46"/>
                    <w:rPr>
                      <w:b w:val="0"/>
                      <w:bCs/>
                    </w:rPr>
                  </w:pPr>
                  <w:r>
                    <w:rPr>
                      <w:b w:val="0"/>
                      <w:bCs/>
                    </w:rPr>
                    <w:t>840</w:t>
                  </w:r>
                </w:p>
              </w:tc>
              <w:tc>
                <w:tcPr>
                  <w:tcW w:w="1589" w:type="dxa"/>
                  <w:vAlign w:val="center"/>
                </w:tcPr>
                <w:p>
                  <w:pPr>
                    <w:pStyle w:val="46"/>
                    <w:rPr>
                      <w:b w:val="0"/>
                      <w:bCs/>
                    </w:rPr>
                  </w:pPr>
                  <w:r>
                    <w:rPr>
                      <w:b w:val="0"/>
                      <w:bCs/>
                    </w:rPr>
                    <w:t>2.8</w:t>
                  </w:r>
                </w:p>
              </w:tc>
              <w:tc>
                <w:tcPr>
                  <w:tcW w:w="1589" w:type="dxa"/>
                  <w:vAlign w:val="center"/>
                </w:tcPr>
                <w:p>
                  <w:pPr>
                    <w:pStyle w:val="46"/>
                    <w:rPr>
                      <w:b w:val="0"/>
                      <w:bCs/>
                    </w:rPr>
                  </w:pPr>
                  <w:r>
                    <w:rPr>
                      <w:b w:val="0"/>
                      <w:bCs/>
                    </w:rPr>
                    <w:t>2.8</w:t>
                  </w:r>
                </w:p>
              </w:tc>
              <w:tc>
                <w:tcPr>
                  <w:tcW w:w="1594" w:type="dxa"/>
                  <w:vAlign w:val="center"/>
                </w:tcPr>
                <w:p>
                  <w:pPr>
                    <w:pStyle w:val="46"/>
                    <w:rPr>
                      <w:b w:val="0"/>
                      <w:bCs/>
                    </w:rPr>
                  </w:pPr>
                  <w:r>
                    <w:rPr>
                      <w:b w:val="0"/>
                      <w:bCs/>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1" w:type="dxa"/>
                  <w:vAlign w:val="center"/>
                </w:tcPr>
                <w:p>
                  <w:pPr>
                    <w:pStyle w:val="46"/>
                    <w:rPr>
                      <w:b w:val="0"/>
                      <w:bCs/>
                    </w:rPr>
                  </w:pPr>
                  <w:r>
                    <w:rPr>
                      <w:b w:val="0"/>
                      <w:bCs/>
                    </w:rPr>
                    <w:t>是否达标</w:t>
                  </w:r>
                </w:p>
              </w:tc>
              <w:tc>
                <w:tcPr>
                  <w:tcW w:w="1589" w:type="dxa"/>
                  <w:vAlign w:val="center"/>
                </w:tcPr>
                <w:p>
                  <w:pPr>
                    <w:spacing w:line="240" w:lineRule="auto"/>
                    <w:ind w:firstLine="0" w:firstLineChars="0"/>
                    <w:jc w:val="center"/>
                    <w:rPr>
                      <w:sz w:val="21"/>
                      <w:szCs w:val="21"/>
                    </w:rPr>
                  </w:pPr>
                  <w:r>
                    <w:rPr>
                      <w:sz w:val="21"/>
                      <w:szCs w:val="21"/>
                    </w:rPr>
                    <w:t>是</w:t>
                  </w:r>
                </w:p>
              </w:tc>
              <w:tc>
                <w:tcPr>
                  <w:tcW w:w="1589" w:type="dxa"/>
                  <w:vAlign w:val="center"/>
                </w:tcPr>
                <w:p>
                  <w:pPr>
                    <w:spacing w:line="240" w:lineRule="auto"/>
                    <w:ind w:firstLine="0" w:firstLineChars="0"/>
                    <w:jc w:val="center"/>
                    <w:rPr>
                      <w:sz w:val="21"/>
                      <w:szCs w:val="21"/>
                    </w:rPr>
                  </w:pPr>
                  <w:r>
                    <w:rPr>
                      <w:sz w:val="21"/>
                      <w:szCs w:val="21"/>
                    </w:rPr>
                    <w:t>是</w:t>
                  </w:r>
                </w:p>
              </w:tc>
              <w:tc>
                <w:tcPr>
                  <w:tcW w:w="1589" w:type="dxa"/>
                  <w:vAlign w:val="center"/>
                </w:tcPr>
                <w:p>
                  <w:pPr>
                    <w:spacing w:line="240" w:lineRule="auto"/>
                    <w:ind w:firstLine="0" w:firstLineChars="0"/>
                    <w:jc w:val="center"/>
                    <w:rPr>
                      <w:sz w:val="21"/>
                      <w:szCs w:val="21"/>
                    </w:rPr>
                  </w:pPr>
                  <w:r>
                    <w:rPr>
                      <w:sz w:val="21"/>
                      <w:szCs w:val="21"/>
                    </w:rPr>
                    <w:t>是</w:t>
                  </w:r>
                </w:p>
              </w:tc>
              <w:tc>
                <w:tcPr>
                  <w:tcW w:w="1589" w:type="dxa"/>
                  <w:vAlign w:val="center"/>
                </w:tcPr>
                <w:p>
                  <w:pPr>
                    <w:spacing w:line="240" w:lineRule="auto"/>
                    <w:ind w:firstLine="0" w:firstLineChars="0"/>
                    <w:jc w:val="center"/>
                    <w:rPr>
                      <w:sz w:val="21"/>
                      <w:szCs w:val="21"/>
                    </w:rPr>
                  </w:pPr>
                  <w:r>
                    <w:rPr>
                      <w:sz w:val="21"/>
                      <w:szCs w:val="21"/>
                    </w:rPr>
                    <w:t>是</w:t>
                  </w:r>
                </w:p>
              </w:tc>
              <w:tc>
                <w:tcPr>
                  <w:tcW w:w="1589" w:type="dxa"/>
                  <w:vAlign w:val="center"/>
                </w:tcPr>
                <w:p>
                  <w:pPr>
                    <w:spacing w:line="240" w:lineRule="auto"/>
                    <w:ind w:firstLine="0" w:firstLineChars="0"/>
                    <w:jc w:val="center"/>
                    <w:rPr>
                      <w:sz w:val="21"/>
                      <w:szCs w:val="21"/>
                    </w:rPr>
                  </w:pPr>
                  <w:r>
                    <w:rPr>
                      <w:sz w:val="21"/>
                      <w:szCs w:val="21"/>
                    </w:rPr>
                    <w:t>是</w:t>
                  </w:r>
                </w:p>
              </w:tc>
              <w:tc>
                <w:tcPr>
                  <w:tcW w:w="1589" w:type="dxa"/>
                  <w:vAlign w:val="center"/>
                </w:tcPr>
                <w:p>
                  <w:pPr>
                    <w:spacing w:line="240" w:lineRule="auto"/>
                    <w:ind w:firstLine="0" w:firstLineChars="0"/>
                    <w:jc w:val="center"/>
                    <w:rPr>
                      <w:sz w:val="21"/>
                      <w:szCs w:val="21"/>
                    </w:rPr>
                  </w:pPr>
                  <w:r>
                    <w:rPr>
                      <w:sz w:val="21"/>
                      <w:szCs w:val="21"/>
                    </w:rPr>
                    <w:t>是</w:t>
                  </w:r>
                </w:p>
              </w:tc>
              <w:tc>
                <w:tcPr>
                  <w:tcW w:w="1589" w:type="dxa"/>
                  <w:vAlign w:val="center"/>
                </w:tcPr>
                <w:p>
                  <w:pPr>
                    <w:spacing w:line="240" w:lineRule="auto"/>
                    <w:ind w:firstLine="0" w:firstLineChars="0"/>
                    <w:jc w:val="center"/>
                    <w:rPr>
                      <w:sz w:val="21"/>
                      <w:szCs w:val="21"/>
                    </w:rPr>
                  </w:pPr>
                  <w:r>
                    <w:rPr>
                      <w:sz w:val="21"/>
                      <w:szCs w:val="21"/>
                    </w:rPr>
                    <w:t>是</w:t>
                  </w:r>
                </w:p>
              </w:tc>
              <w:tc>
                <w:tcPr>
                  <w:tcW w:w="1594" w:type="dxa"/>
                  <w:vAlign w:val="center"/>
                </w:tcPr>
                <w:p>
                  <w:pPr>
                    <w:spacing w:line="240" w:lineRule="auto"/>
                    <w:ind w:firstLine="0" w:firstLineChars="0"/>
                    <w:jc w:val="center"/>
                    <w:rPr>
                      <w:sz w:val="21"/>
                      <w:szCs w:val="21"/>
                    </w:rPr>
                  </w:pPr>
                  <w:r>
                    <w:rPr>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1" w:type="dxa"/>
                  <w:vAlign w:val="center"/>
                </w:tcPr>
                <w:p>
                  <w:pPr>
                    <w:pStyle w:val="46"/>
                  </w:pPr>
                  <w:r>
                    <w:t>检测因子</w:t>
                  </w:r>
                </w:p>
              </w:tc>
              <w:tc>
                <w:tcPr>
                  <w:tcW w:w="1589" w:type="dxa"/>
                  <w:vAlign w:val="center"/>
                </w:tcPr>
                <w:p>
                  <w:pPr>
                    <w:pStyle w:val="46"/>
                  </w:pPr>
                  <w:r>
                    <w:t>氯乙烯</w:t>
                  </w:r>
                </w:p>
              </w:tc>
              <w:tc>
                <w:tcPr>
                  <w:tcW w:w="1589" w:type="dxa"/>
                  <w:vAlign w:val="center"/>
                </w:tcPr>
                <w:p>
                  <w:pPr>
                    <w:pStyle w:val="46"/>
                  </w:pPr>
                  <w:r>
                    <w:t>苯</w:t>
                  </w:r>
                </w:p>
              </w:tc>
              <w:tc>
                <w:tcPr>
                  <w:tcW w:w="1589" w:type="dxa"/>
                  <w:vAlign w:val="center"/>
                </w:tcPr>
                <w:p>
                  <w:pPr>
                    <w:pStyle w:val="46"/>
                  </w:pPr>
                  <w:r>
                    <w:t>氯苯</w:t>
                  </w:r>
                </w:p>
              </w:tc>
              <w:tc>
                <w:tcPr>
                  <w:tcW w:w="1589" w:type="dxa"/>
                  <w:vAlign w:val="center"/>
                </w:tcPr>
                <w:p>
                  <w:pPr>
                    <w:pStyle w:val="46"/>
                  </w:pPr>
                  <w:r>
                    <w:t>1,2-二氯苯</w:t>
                  </w:r>
                </w:p>
              </w:tc>
              <w:tc>
                <w:tcPr>
                  <w:tcW w:w="1589" w:type="dxa"/>
                  <w:vAlign w:val="center"/>
                </w:tcPr>
                <w:p>
                  <w:pPr>
                    <w:pStyle w:val="46"/>
                  </w:pPr>
                  <w:r>
                    <w:t>1,4-二氯苯</w:t>
                  </w:r>
                </w:p>
              </w:tc>
              <w:tc>
                <w:tcPr>
                  <w:tcW w:w="1589" w:type="dxa"/>
                  <w:vAlign w:val="center"/>
                </w:tcPr>
                <w:p>
                  <w:pPr>
                    <w:pStyle w:val="46"/>
                  </w:pPr>
                  <w:r>
                    <w:t>乙苯</w:t>
                  </w:r>
                </w:p>
              </w:tc>
              <w:tc>
                <w:tcPr>
                  <w:tcW w:w="1589" w:type="dxa"/>
                  <w:vAlign w:val="center"/>
                </w:tcPr>
                <w:p>
                  <w:pPr>
                    <w:pStyle w:val="46"/>
                  </w:pPr>
                  <w:r>
                    <w:t>苯乙烯</w:t>
                  </w:r>
                </w:p>
              </w:tc>
              <w:tc>
                <w:tcPr>
                  <w:tcW w:w="1594" w:type="dxa"/>
                  <w:vAlign w:val="center"/>
                </w:tcPr>
                <w:p>
                  <w:pPr>
                    <w:pStyle w:val="46"/>
                  </w:pPr>
                  <w:r>
                    <w:t>甲苯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1" w:type="dxa"/>
                  <w:vAlign w:val="center"/>
                </w:tcPr>
                <w:p>
                  <w:pPr>
                    <w:pStyle w:val="46"/>
                    <w:rPr>
                      <w:b w:val="0"/>
                      <w:bCs/>
                    </w:rPr>
                  </w:pPr>
                  <w:r>
                    <w:rPr>
                      <w:b w:val="0"/>
                      <w:bCs/>
                    </w:rPr>
                    <w:t>检测结果</w:t>
                  </w:r>
                </w:p>
              </w:tc>
              <w:tc>
                <w:tcPr>
                  <w:tcW w:w="1589" w:type="dxa"/>
                  <w:vAlign w:val="center"/>
                </w:tcPr>
                <w:p>
                  <w:pPr>
                    <w:pStyle w:val="46"/>
                    <w:rPr>
                      <w:b w:val="0"/>
                      <w:bCs/>
                    </w:rPr>
                  </w:pPr>
                  <w:r>
                    <w:rPr>
                      <w:b w:val="0"/>
                      <w:bCs/>
                    </w:rPr>
                    <w:t>&lt;1.0</w:t>
                  </w:r>
                  <w:r>
                    <w:rPr>
                      <w:b w:val="0"/>
                    </w:rPr>
                    <w:t>×10</w:t>
                  </w:r>
                  <w:r>
                    <w:rPr>
                      <w:b w:val="0"/>
                      <w:vertAlign w:val="superscript"/>
                    </w:rPr>
                    <w:t>-3</w:t>
                  </w:r>
                </w:p>
              </w:tc>
              <w:tc>
                <w:tcPr>
                  <w:tcW w:w="1589" w:type="dxa"/>
                  <w:vAlign w:val="center"/>
                </w:tcPr>
                <w:p>
                  <w:pPr>
                    <w:pStyle w:val="46"/>
                    <w:rPr>
                      <w:b w:val="0"/>
                      <w:bCs/>
                    </w:rPr>
                  </w:pPr>
                  <w:r>
                    <w:rPr>
                      <w:b w:val="0"/>
                      <w:bCs/>
                    </w:rPr>
                    <w:t>&lt;1.9</w:t>
                  </w:r>
                  <w:r>
                    <w:rPr>
                      <w:b w:val="0"/>
                    </w:rPr>
                    <w:t>×10</w:t>
                  </w:r>
                  <w:r>
                    <w:rPr>
                      <w:b w:val="0"/>
                      <w:vertAlign w:val="superscript"/>
                    </w:rPr>
                    <w:t>-3</w:t>
                  </w:r>
                </w:p>
              </w:tc>
              <w:tc>
                <w:tcPr>
                  <w:tcW w:w="1589" w:type="dxa"/>
                  <w:vAlign w:val="center"/>
                </w:tcPr>
                <w:p>
                  <w:pPr>
                    <w:pStyle w:val="46"/>
                    <w:rPr>
                      <w:b w:val="0"/>
                      <w:bCs/>
                    </w:rPr>
                  </w:pPr>
                  <w:r>
                    <w:rPr>
                      <w:b w:val="0"/>
                      <w:bCs/>
                    </w:rPr>
                    <w:t>&lt;1.2</w:t>
                  </w:r>
                  <w:r>
                    <w:rPr>
                      <w:b w:val="0"/>
                    </w:rPr>
                    <w:t>×10</w:t>
                  </w:r>
                  <w:r>
                    <w:rPr>
                      <w:b w:val="0"/>
                      <w:vertAlign w:val="superscript"/>
                    </w:rPr>
                    <w:t>-3</w:t>
                  </w:r>
                </w:p>
              </w:tc>
              <w:tc>
                <w:tcPr>
                  <w:tcW w:w="1589" w:type="dxa"/>
                  <w:vAlign w:val="center"/>
                </w:tcPr>
                <w:p>
                  <w:pPr>
                    <w:pStyle w:val="46"/>
                    <w:rPr>
                      <w:b w:val="0"/>
                      <w:bCs/>
                    </w:rPr>
                  </w:pPr>
                  <w:r>
                    <w:rPr>
                      <w:b w:val="0"/>
                      <w:bCs/>
                    </w:rPr>
                    <w:t>&lt;1.5</w:t>
                  </w:r>
                  <w:r>
                    <w:rPr>
                      <w:b w:val="0"/>
                    </w:rPr>
                    <w:t>×10</w:t>
                  </w:r>
                  <w:r>
                    <w:rPr>
                      <w:b w:val="0"/>
                      <w:vertAlign w:val="superscript"/>
                    </w:rPr>
                    <w:t>-3</w:t>
                  </w:r>
                </w:p>
              </w:tc>
              <w:tc>
                <w:tcPr>
                  <w:tcW w:w="1589" w:type="dxa"/>
                  <w:vAlign w:val="center"/>
                </w:tcPr>
                <w:p>
                  <w:pPr>
                    <w:pStyle w:val="46"/>
                    <w:rPr>
                      <w:b w:val="0"/>
                      <w:bCs/>
                    </w:rPr>
                  </w:pPr>
                  <w:r>
                    <w:rPr>
                      <w:b w:val="0"/>
                      <w:bCs/>
                    </w:rPr>
                    <w:t>&lt;1.5</w:t>
                  </w:r>
                  <w:r>
                    <w:rPr>
                      <w:b w:val="0"/>
                    </w:rPr>
                    <w:t>×10</w:t>
                  </w:r>
                  <w:r>
                    <w:rPr>
                      <w:b w:val="0"/>
                      <w:vertAlign w:val="superscript"/>
                    </w:rPr>
                    <w:t>-3</w:t>
                  </w:r>
                </w:p>
              </w:tc>
              <w:tc>
                <w:tcPr>
                  <w:tcW w:w="1589" w:type="dxa"/>
                  <w:vAlign w:val="center"/>
                </w:tcPr>
                <w:p>
                  <w:pPr>
                    <w:pStyle w:val="46"/>
                    <w:rPr>
                      <w:b w:val="0"/>
                      <w:bCs/>
                    </w:rPr>
                  </w:pPr>
                  <w:r>
                    <w:rPr>
                      <w:b w:val="0"/>
                      <w:bCs/>
                    </w:rPr>
                    <w:t>&lt;1.2</w:t>
                  </w:r>
                  <w:r>
                    <w:rPr>
                      <w:b w:val="0"/>
                    </w:rPr>
                    <w:t>×10</w:t>
                  </w:r>
                  <w:r>
                    <w:rPr>
                      <w:b w:val="0"/>
                      <w:vertAlign w:val="superscript"/>
                    </w:rPr>
                    <w:t>-3</w:t>
                  </w:r>
                </w:p>
              </w:tc>
              <w:tc>
                <w:tcPr>
                  <w:tcW w:w="1589" w:type="dxa"/>
                  <w:vAlign w:val="center"/>
                </w:tcPr>
                <w:p>
                  <w:pPr>
                    <w:pStyle w:val="46"/>
                    <w:rPr>
                      <w:b w:val="0"/>
                      <w:bCs/>
                    </w:rPr>
                  </w:pPr>
                  <w:r>
                    <w:rPr>
                      <w:b w:val="0"/>
                      <w:bCs/>
                    </w:rPr>
                    <w:t>&lt;1.1</w:t>
                  </w:r>
                  <w:r>
                    <w:rPr>
                      <w:b w:val="0"/>
                    </w:rPr>
                    <w:t>×10</w:t>
                  </w:r>
                  <w:r>
                    <w:rPr>
                      <w:b w:val="0"/>
                      <w:vertAlign w:val="superscript"/>
                    </w:rPr>
                    <w:t>-3</w:t>
                  </w:r>
                </w:p>
              </w:tc>
              <w:tc>
                <w:tcPr>
                  <w:tcW w:w="1594" w:type="dxa"/>
                  <w:vAlign w:val="center"/>
                </w:tcPr>
                <w:p>
                  <w:pPr>
                    <w:pStyle w:val="46"/>
                    <w:rPr>
                      <w:b w:val="0"/>
                      <w:bCs/>
                    </w:rPr>
                  </w:pPr>
                  <w:r>
                    <w:rPr>
                      <w:b w:val="0"/>
                      <w:bCs/>
                    </w:rPr>
                    <w:t xml:space="preserve">&lt;1.3  </w:t>
                  </w:r>
                  <w:r>
                    <w:rPr>
                      <w:b w:val="0"/>
                    </w:rPr>
                    <w:t>×10</w:t>
                  </w:r>
                  <w:r>
                    <w:rPr>
                      <w:b w:val="0"/>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1" w:type="dxa"/>
                  <w:vAlign w:val="center"/>
                </w:tcPr>
                <w:p>
                  <w:pPr>
                    <w:pStyle w:val="46"/>
                    <w:rPr>
                      <w:b w:val="0"/>
                      <w:bCs/>
                    </w:rPr>
                  </w:pPr>
                  <w:r>
                    <w:rPr>
                      <w:b w:val="0"/>
                      <w:bCs/>
                    </w:rPr>
                    <w:t>二类用地筛选值</w:t>
                  </w:r>
                </w:p>
              </w:tc>
              <w:tc>
                <w:tcPr>
                  <w:tcW w:w="1589" w:type="dxa"/>
                  <w:vAlign w:val="center"/>
                </w:tcPr>
                <w:p>
                  <w:pPr>
                    <w:pStyle w:val="46"/>
                    <w:rPr>
                      <w:b w:val="0"/>
                      <w:bCs/>
                    </w:rPr>
                  </w:pPr>
                  <w:r>
                    <w:rPr>
                      <w:b w:val="0"/>
                      <w:bCs/>
                    </w:rPr>
                    <w:t>0.43</w:t>
                  </w:r>
                </w:p>
              </w:tc>
              <w:tc>
                <w:tcPr>
                  <w:tcW w:w="1589" w:type="dxa"/>
                  <w:vAlign w:val="center"/>
                </w:tcPr>
                <w:p>
                  <w:pPr>
                    <w:pStyle w:val="46"/>
                    <w:rPr>
                      <w:b w:val="0"/>
                      <w:bCs/>
                    </w:rPr>
                  </w:pPr>
                  <w:r>
                    <w:rPr>
                      <w:b w:val="0"/>
                      <w:bCs/>
                    </w:rPr>
                    <w:t>4</w:t>
                  </w:r>
                </w:p>
              </w:tc>
              <w:tc>
                <w:tcPr>
                  <w:tcW w:w="1589" w:type="dxa"/>
                  <w:vAlign w:val="center"/>
                </w:tcPr>
                <w:p>
                  <w:pPr>
                    <w:pStyle w:val="46"/>
                    <w:rPr>
                      <w:b w:val="0"/>
                      <w:bCs/>
                    </w:rPr>
                  </w:pPr>
                  <w:r>
                    <w:rPr>
                      <w:b w:val="0"/>
                      <w:bCs/>
                    </w:rPr>
                    <w:t>270</w:t>
                  </w:r>
                </w:p>
              </w:tc>
              <w:tc>
                <w:tcPr>
                  <w:tcW w:w="1589" w:type="dxa"/>
                  <w:vAlign w:val="center"/>
                </w:tcPr>
                <w:p>
                  <w:pPr>
                    <w:pStyle w:val="46"/>
                    <w:rPr>
                      <w:b w:val="0"/>
                      <w:bCs/>
                    </w:rPr>
                  </w:pPr>
                  <w:r>
                    <w:rPr>
                      <w:b w:val="0"/>
                      <w:bCs/>
                    </w:rPr>
                    <w:t>560</w:t>
                  </w:r>
                </w:p>
              </w:tc>
              <w:tc>
                <w:tcPr>
                  <w:tcW w:w="1589" w:type="dxa"/>
                  <w:vAlign w:val="center"/>
                </w:tcPr>
                <w:p>
                  <w:pPr>
                    <w:pStyle w:val="46"/>
                    <w:rPr>
                      <w:b w:val="0"/>
                      <w:bCs/>
                    </w:rPr>
                  </w:pPr>
                  <w:r>
                    <w:rPr>
                      <w:b w:val="0"/>
                      <w:bCs/>
                    </w:rPr>
                    <w:t>20</w:t>
                  </w:r>
                </w:p>
              </w:tc>
              <w:tc>
                <w:tcPr>
                  <w:tcW w:w="1589" w:type="dxa"/>
                  <w:vAlign w:val="center"/>
                </w:tcPr>
                <w:p>
                  <w:pPr>
                    <w:pStyle w:val="46"/>
                    <w:rPr>
                      <w:b w:val="0"/>
                      <w:bCs/>
                    </w:rPr>
                  </w:pPr>
                  <w:r>
                    <w:rPr>
                      <w:b w:val="0"/>
                      <w:bCs/>
                    </w:rPr>
                    <w:t>28</w:t>
                  </w:r>
                </w:p>
              </w:tc>
              <w:tc>
                <w:tcPr>
                  <w:tcW w:w="1589" w:type="dxa"/>
                  <w:vAlign w:val="center"/>
                </w:tcPr>
                <w:p>
                  <w:pPr>
                    <w:pStyle w:val="46"/>
                    <w:rPr>
                      <w:b w:val="0"/>
                      <w:bCs/>
                    </w:rPr>
                  </w:pPr>
                  <w:r>
                    <w:rPr>
                      <w:b w:val="0"/>
                      <w:bCs/>
                    </w:rPr>
                    <w:t>1290</w:t>
                  </w:r>
                </w:p>
              </w:tc>
              <w:tc>
                <w:tcPr>
                  <w:tcW w:w="1594" w:type="dxa"/>
                  <w:vAlign w:val="center"/>
                </w:tcPr>
                <w:p>
                  <w:pPr>
                    <w:pStyle w:val="46"/>
                    <w:rPr>
                      <w:b w:val="0"/>
                      <w:bCs/>
                    </w:rPr>
                  </w:pPr>
                  <w:r>
                    <w:rPr>
                      <w:b w:val="0"/>
                      <w:bCs/>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1" w:type="dxa"/>
                  <w:vAlign w:val="center"/>
                </w:tcPr>
                <w:p>
                  <w:pPr>
                    <w:pStyle w:val="46"/>
                    <w:rPr>
                      <w:b w:val="0"/>
                      <w:bCs/>
                    </w:rPr>
                  </w:pPr>
                  <w:r>
                    <w:rPr>
                      <w:b w:val="0"/>
                      <w:bCs/>
                    </w:rPr>
                    <w:t>是否达标</w:t>
                  </w:r>
                </w:p>
              </w:tc>
              <w:tc>
                <w:tcPr>
                  <w:tcW w:w="1589" w:type="dxa"/>
                  <w:vAlign w:val="center"/>
                </w:tcPr>
                <w:p>
                  <w:pPr>
                    <w:spacing w:line="240" w:lineRule="auto"/>
                    <w:ind w:firstLine="0" w:firstLineChars="0"/>
                    <w:jc w:val="center"/>
                    <w:rPr>
                      <w:sz w:val="21"/>
                      <w:szCs w:val="21"/>
                    </w:rPr>
                  </w:pPr>
                  <w:r>
                    <w:rPr>
                      <w:sz w:val="21"/>
                      <w:szCs w:val="21"/>
                    </w:rPr>
                    <w:t>是</w:t>
                  </w:r>
                </w:p>
              </w:tc>
              <w:tc>
                <w:tcPr>
                  <w:tcW w:w="1589" w:type="dxa"/>
                  <w:vAlign w:val="center"/>
                </w:tcPr>
                <w:p>
                  <w:pPr>
                    <w:spacing w:line="240" w:lineRule="auto"/>
                    <w:ind w:firstLine="0" w:firstLineChars="0"/>
                    <w:jc w:val="center"/>
                    <w:rPr>
                      <w:sz w:val="21"/>
                      <w:szCs w:val="21"/>
                    </w:rPr>
                  </w:pPr>
                  <w:r>
                    <w:rPr>
                      <w:sz w:val="21"/>
                      <w:szCs w:val="21"/>
                    </w:rPr>
                    <w:t>是</w:t>
                  </w:r>
                </w:p>
              </w:tc>
              <w:tc>
                <w:tcPr>
                  <w:tcW w:w="1589" w:type="dxa"/>
                  <w:vAlign w:val="center"/>
                </w:tcPr>
                <w:p>
                  <w:pPr>
                    <w:spacing w:line="240" w:lineRule="auto"/>
                    <w:ind w:firstLine="0" w:firstLineChars="0"/>
                    <w:jc w:val="center"/>
                    <w:rPr>
                      <w:sz w:val="21"/>
                      <w:szCs w:val="21"/>
                    </w:rPr>
                  </w:pPr>
                  <w:r>
                    <w:rPr>
                      <w:sz w:val="21"/>
                      <w:szCs w:val="21"/>
                    </w:rPr>
                    <w:t>是</w:t>
                  </w:r>
                </w:p>
              </w:tc>
              <w:tc>
                <w:tcPr>
                  <w:tcW w:w="1589" w:type="dxa"/>
                  <w:vAlign w:val="center"/>
                </w:tcPr>
                <w:p>
                  <w:pPr>
                    <w:spacing w:line="240" w:lineRule="auto"/>
                    <w:ind w:firstLine="0" w:firstLineChars="0"/>
                    <w:jc w:val="center"/>
                    <w:rPr>
                      <w:sz w:val="21"/>
                      <w:szCs w:val="21"/>
                    </w:rPr>
                  </w:pPr>
                  <w:r>
                    <w:rPr>
                      <w:sz w:val="21"/>
                      <w:szCs w:val="21"/>
                    </w:rPr>
                    <w:t>是</w:t>
                  </w:r>
                </w:p>
              </w:tc>
              <w:tc>
                <w:tcPr>
                  <w:tcW w:w="1589" w:type="dxa"/>
                  <w:vAlign w:val="center"/>
                </w:tcPr>
                <w:p>
                  <w:pPr>
                    <w:spacing w:line="240" w:lineRule="auto"/>
                    <w:ind w:firstLine="0" w:firstLineChars="0"/>
                    <w:jc w:val="center"/>
                    <w:rPr>
                      <w:sz w:val="21"/>
                      <w:szCs w:val="21"/>
                    </w:rPr>
                  </w:pPr>
                  <w:r>
                    <w:rPr>
                      <w:sz w:val="21"/>
                      <w:szCs w:val="21"/>
                    </w:rPr>
                    <w:t>是</w:t>
                  </w:r>
                </w:p>
              </w:tc>
              <w:tc>
                <w:tcPr>
                  <w:tcW w:w="1589" w:type="dxa"/>
                  <w:vAlign w:val="center"/>
                </w:tcPr>
                <w:p>
                  <w:pPr>
                    <w:spacing w:line="240" w:lineRule="auto"/>
                    <w:ind w:firstLine="0" w:firstLineChars="0"/>
                    <w:jc w:val="center"/>
                    <w:rPr>
                      <w:sz w:val="21"/>
                      <w:szCs w:val="21"/>
                    </w:rPr>
                  </w:pPr>
                  <w:r>
                    <w:rPr>
                      <w:sz w:val="21"/>
                      <w:szCs w:val="21"/>
                    </w:rPr>
                    <w:t>是</w:t>
                  </w:r>
                </w:p>
              </w:tc>
              <w:tc>
                <w:tcPr>
                  <w:tcW w:w="1589" w:type="dxa"/>
                  <w:vAlign w:val="center"/>
                </w:tcPr>
                <w:p>
                  <w:pPr>
                    <w:spacing w:line="240" w:lineRule="auto"/>
                    <w:ind w:firstLine="0" w:firstLineChars="0"/>
                    <w:jc w:val="center"/>
                    <w:rPr>
                      <w:sz w:val="21"/>
                      <w:szCs w:val="21"/>
                    </w:rPr>
                  </w:pPr>
                  <w:r>
                    <w:rPr>
                      <w:sz w:val="21"/>
                      <w:szCs w:val="21"/>
                    </w:rPr>
                    <w:t>是</w:t>
                  </w:r>
                </w:p>
              </w:tc>
              <w:tc>
                <w:tcPr>
                  <w:tcW w:w="1594" w:type="dxa"/>
                  <w:vAlign w:val="center"/>
                </w:tcPr>
                <w:p>
                  <w:pPr>
                    <w:spacing w:line="240" w:lineRule="auto"/>
                    <w:ind w:firstLine="0" w:firstLineChars="0"/>
                    <w:jc w:val="center"/>
                    <w:rPr>
                      <w:sz w:val="21"/>
                      <w:szCs w:val="21"/>
                    </w:rPr>
                  </w:pPr>
                  <w:r>
                    <w:rPr>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1" w:type="dxa"/>
                  <w:vAlign w:val="center"/>
                </w:tcPr>
                <w:p>
                  <w:pPr>
                    <w:pStyle w:val="46"/>
                  </w:pPr>
                  <w:r>
                    <w:t>检测因子</w:t>
                  </w:r>
                </w:p>
              </w:tc>
              <w:tc>
                <w:tcPr>
                  <w:tcW w:w="1589" w:type="dxa"/>
                  <w:vAlign w:val="center"/>
                </w:tcPr>
                <w:p>
                  <w:pPr>
                    <w:pStyle w:val="46"/>
                  </w:pPr>
                  <w:r>
                    <w:t>间、对二甲苯</w:t>
                  </w:r>
                </w:p>
              </w:tc>
              <w:tc>
                <w:tcPr>
                  <w:tcW w:w="1589" w:type="dxa"/>
                  <w:vAlign w:val="center"/>
                </w:tcPr>
                <w:p>
                  <w:pPr>
                    <w:pStyle w:val="46"/>
                  </w:pPr>
                  <w:r>
                    <w:t>邻-二甲苯</w:t>
                  </w:r>
                </w:p>
              </w:tc>
              <w:tc>
                <w:tcPr>
                  <w:tcW w:w="1589" w:type="dxa"/>
                  <w:vAlign w:val="center"/>
                </w:tcPr>
                <w:p>
                  <w:pPr>
                    <w:pStyle w:val="46"/>
                  </w:pPr>
                  <w:r>
                    <w:t>硝基苯</w:t>
                  </w:r>
                </w:p>
              </w:tc>
              <w:tc>
                <w:tcPr>
                  <w:tcW w:w="1589" w:type="dxa"/>
                  <w:vAlign w:val="center"/>
                </w:tcPr>
                <w:p>
                  <w:pPr>
                    <w:pStyle w:val="46"/>
                  </w:pPr>
                  <w:r>
                    <w:t>苯胺</w:t>
                  </w:r>
                </w:p>
              </w:tc>
              <w:tc>
                <w:tcPr>
                  <w:tcW w:w="1589" w:type="dxa"/>
                  <w:vAlign w:val="center"/>
                </w:tcPr>
                <w:p>
                  <w:pPr>
                    <w:pStyle w:val="46"/>
                  </w:pPr>
                  <w:r>
                    <w:t>2-氯苯酚</w:t>
                  </w:r>
                </w:p>
              </w:tc>
              <w:tc>
                <w:tcPr>
                  <w:tcW w:w="1589" w:type="dxa"/>
                  <w:vAlign w:val="center"/>
                </w:tcPr>
                <w:p>
                  <w:pPr>
                    <w:pStyle w:val="46"/>
                  </w:pPr>
                  <w:r>
                    <w:t>苯并（a）蒽</w:t>
                  </w:r>
                </w:p>
              </w:tc>
              <w:tc>
                <w:tcPr>
                  <w:tcW w:w="1589" w:type="dxa"/>
                  <w:vAlign w:val="center"/>
                </w:tcPr>
                <w:p>
                  <w:pPr>
                    <w:pStyle w:val="46"/>
                  </w:pPr>
                  <w:r>
                    <w:t>苯并（a）芘</w:t>
                  </w:r>
                </w:p>
              </w:tc>
              <w:tc>
                <w:tcPr>
                  <w:tcW w:w="1594" w:type="dxa"/>
                  <w:vAlign w:val="center"/>
                </w:tcPr>
                <w:p>
                  <w:pPr>
                    <w:pStyle w:val="46"/>
                  </w:pPr>
                  <w:r>
                    <w:t>苯并（b）荧蒽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1" w:type="dxa"/>
                  <w:vAlign w:val="center"/>
                </w:tcPr>
                <w:p>
                  <w:pPr>
                    <w:pStyle w:val="46"/>
                    <w:rPr>
                      <w:b w:val="0"/>
                      <w:bCs/>
                    </w:rPr>
                  </w:pPr>
                  <w:r>
                    <w:rPr>
                      <w:b w:val="0"/>
                      <w:bCs/>
                    </w:rPr>
                    <w:t>检测结果</w:t>
                  </w:r>
                </w:p>
              </w:tc>
              <w:tc>
                <w:tcPr>
                  <w:tcW w:w="1589" w:type="dxa"/>
                  <w:vAlign w:val="center"/>
                </w:tcPr>
                <w:p>
                  <w:pPr>
                    <w:pStyle w:val="46"/>
                    <w:rPr>
                      <w:b w:val="0"/>
                      <w:bCs/>
                    </w:rPr>
                  </w:pPr>
                  <w:r>
                    <w:rPr>
                      <w:b w:val="0"/>
                      <w:bCs/>
                    </w:rPr>
                    <w:t>&lt;1.2</w:t>
                  </w:r>
                  <w:r>
                    <w:rPr>
                      <w:b w:val="0"/>
                    </w:rPr>
                    <w:t>×10</w:t>
                  </w:r>
                  <w:r>
                    <w:rPr>
                      <w:b w:val="0"/>
                      <w:vertAlign w:val="superscript"/>
                    </w:rPr>
                    <w:t>-3</w:t>
                  </w:r>
                </w:p>
              </w:tc>
              <w:tc>
                <w:tcPr>
                  <w:tcW w:w="1589" w:type="dxa"/>
                  <w:vAlign w:val="center"/>
                </w:tcPr>
                <w:p>
                  <w:pPr>
                    <w:pStyle w:val="46"/>
                    <w:rPr>
                      <w:b w:val="0"/>
                      <w:bCs/>
                    </w:rPr>
                  </w:pPr>
                  <w:r>
                    <w:rPr>
                      <w:b w:val="0"/>
                      <w:bCs/>
                    </w:rPr>
                    <w:t>&lt;1.2</w:t>
                  </w:r>
                  <w:r>
                    <w:rPr>
                      <w:b w:val="0"/>
                    </w:rPr>
                    <w:t>×10</w:t>
                  </w:r>
                  <w:r>
                    <w:rPr>
                      <w:b w:val="0"/>
                      <w:vertAlign w:val="superscript"/>
                    </w:rPr>
                    <w:t>-3</w:t>
                  </w:r>
                </w:p>
              </w:tc>
              <w:tc>
                <w:tcPr>
                  <w:tcW w:w="1589" w:type="dxa"/>
                  <w:vAlign w:val="center"/>
                </w:tcPr>
                <w:p>
                  <w:pPr>
                    <w:pStyle w:val="46"/>
                    <w:rPr>
                      <w:b w:val="0"/>
                      <w:bCs/>
                    </w:rPr>
                  </w:pPr>
                  <w:r>
                    <w:rPr>
                      <w:b w:val="0"/>
                      <w:bCs/>
                    </w:rPr>
                    <w:t>&lt;0.09</w:t>
                  </w:r>
                </w:p>
              </w:tc>
              <w:tc>
                <w:tcPr>
                  <w:tcW w:w="1589" w:type="dxa"/>
                  <w:vAlign w:val="center"/>
                </w:tcPr>
                <w:p>
                  <w:pPr>
                    <w:pStyle w:val="46"/>
                    <w:rPr>
                      <w:b w:val="0"/>
                      <w:bCs/>
                    </w:rPr>
                  </w:pPr>
                  <w:r>
                    <w:rPr>
                      <w:b w:val="0"/>
                      <w:bCs/>
                    </w:rPr>
                    <w:t>&lt;0.1</w:t>
                  </w:r>
                </w:p>
              </w:tc>
              <w:tc>
                <w:tcPr>
                  <w:tcW w:w="1589" w:type="dxa"/>
                  <w:vAlign w:val="center"/>
                </w:tcPr>
                <w:p>
                  <w:pPr>
                    <w:pStyle w:val="46"/>
                    <w:rPr>
                      <w:b w:val="0"/>
                      <w:bCs/>
                    </w:rPr>
                  </w:pPr>
                  <w:r>
                    <w:rPr>
                      <w:b w:val="0"/>
                      <w:bCs/>
                    </w:rPr>
                    <w:t>&lt;0.06</w:t>
                  </w:r>
                </w:p>
              </w:tc>
              <w:tc>
                <w:tcPr>
                  <w:tcW w:w="1589" w:type="dxa"/>
                  <w:vAlign w:val="center"/>
                </w:tcPr>
                <w:p>
                  <w:pPr>
                    <w:pStyle w:val="46"/>
                    <w:rPr>
                      <w:b w:val="0"/>
                      <w:bCs/>
                    </w:rPr>
                  </w:pPr>
                  <w:r>
                    <w:rPr>
                      <w:b w:val="0"/>
                      <w:bCs/>
                    </w:rPr>
                    <w:t>&lt;0.1</w:t>
                  </w:r>
                </w:p>
              </w:tc>
              <w:tc>
                <w:tcPr>
                  <w:tcW w:w="1589" w:type="dxa"/>
                  <w:vAlign w:val="center"/>
                </w:tcPr>
                <w:p>
                  <w:pPr>
                    <w:pStyle w:val="46"/>
                    <w:rPr>
                      <w:b w:val="0"/>
                      <w:bCs/>
                    </w:rPr>
                  </w:pPr>
                  <w:r>
                    <w:rPr>
                      <w:b w:val="0"/>
                      <w:bCs/>
                    </w:rPr>
                    <w:t>&lt;0.1</w:t>
                  </w:r>
                </w:p>
              </w:tc>
              <w:tc>
                <w:tcPr>
                  <w:tcW w:w="1594" w:type="dxa"/>
                  <w:vAlign w:val="center"/>
                </w:tcPr>
                <w:p>
                  <w:pPr>
                    <w:pStyle w:val="46"/>
                    <w:rPr>
                      <w:b w:val="0"/>
                      <w:bCs/>
                    </w:rPr>
                  </w:pPr>
                  <w:r>
                    <w:rPr>
                      <w:b w:val="0"/>
                      <w:bCs/>
                    </w:rPr>
                    <w:t>&lt;0.2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1" w:type="dxa"/>
                  <w:vAlign w:val="center"/>
                </w:tcPr>
                <w:p>
                  <w:pPr>
                    <w:pStyle w:val="46"/>
                    <w:rPr>
                      <w:b w:val="0"/>
                      <w:bCs/>
                    </w:rPr>
                  </w:pPr>
                  <w:r>
                    <w:rPr>
                      <w:b w:val="0"/>
                      <w:bCs/>
                    </w:rPr>
                    <w:t>二类用地筛选值</w:t>
                  </w:r>
                </w:p>
              </w:tc>
              <w:tc>
                <w:tcPr>
                  <w:tcW w:w="1589" w:type="dxa"/>
                  <w:vAlign w:val="center"/>
                </w:tcPr>
                <w:p>
                  <w:pPr>
                    <w:pStyle w:val="46"/>
                    <w:rPr>
                      <w:b w:val="0"/>
                      <w:bCs/>
                    </w:rPr>
                  </w:pPr>
                  <w:r>
                    <w:rPr>
                      <w:b w:val="0"/>
                      <w:bCs/>
                    </w:rPr>
                    <w:t>570</w:t>
                  </w:r>
                </w:p>
              </w:tc>
              <w:tc>
                <w:tcPr>
                  <w:tcW w:w="1589" w:type="dxa"/>
                  <w:vAlign w:val="center"/>
                </w:tcPr>
                <w:p>
                  <w:pPr>
                    <w:pStyle w:val="46"/>
                    <w:rPr>
                      <w:b w:val="0"/>
                      <w:bCs/>
                    </w:rPr>
                  </w:pPr>
                  <w:r>
                    <w:rPr>
                      <w:b w:val="0"/>
                      <w:bCs/>
                    </w:rPr>
                    <w:t>640</w:t>
                  </w:r>
                </w:p>
              </w:tc>
              <w:tc>
                <w:tcPr>
                  <w:tcW w:w="1589" w:type="dxa"/>
                  <w:vAlign w:val="center"/>
                </w:tcPr>
                <w:p>
                  <w:pPr>
                    <w:pStyle w:val="46"/>
                    <w:rPr>
                      <w:b w:val="0"/>
                      <w:bCs/>
                    </w:rPr>
                  </w:pPr>
                  <w:r>
                    <w:rPr>
                      <w:b w:val="0"/>
                      <w:bCs/>
                    </w:rPr>
                    <w:t>76</w:t>
                  </w:r>
                </w:p>
              </w:tc>
              <w:tc>
                <w:tcPr>
                  <w:tcW w:w="1589" w:type="dxa"/>
                  <w:vAlign w:val="center"/>
                </w:tcPr>
                <w:p>
                  <w:pPr>
                    <w:pStyle w:val="46"/>
                    <w:rPr>
                      <w:b w:val="0"/>
                      <w:bCs/>
                    </w:rPr>
                  </w:pPr>
                  <w:r>
                    <w:rPr>
                      <w:b w:val="0"/>
                      <w:bCs/>
                    </w:rPr>
                    <w:t>260</w:t>
                  </w:r>
                </w:p>
              </w:tc>
              <w:tc>
                <w:tcPr>
                  <w:tcW w:w="1589" w:type="dxa"/>
                  <w:vAlign w:val="center"/>
                </w:tcPr>
                <w:p>
                  <w:pPr>
                    <w:pStyle w:val="46"/>
                    <w:rPr>
                      <w:b w:val="0"/>
                      <w:bCs/>
                    </w:rPr>
                  </w:pPr>
                  <w:r>
                    <w:rPr>
                      <w:b w:val="0"/>
                      <w:bCs/>
                    </w:rPr>
                    <w:t>2256</w:t>
                  </w:r>
                </w:p>
              </w:tc>
              <w:tc>
                <w:tcPr>
                  <w:tcW w:w="1589" w:type="dxa"/>
                  <w:vAlign w:val="center"/>
                </w:tcPr>
                <w:p>
                  <w:pPr>
                    <w:pStyle w:val="46"/>
                    <w:rPr>
                      <w:b w:val="0"/>
                      <w:bCs/>
                    </w:rPr>
                  </w:pPr>
                  <w:r>
                    <w:rPr>
                      <w:b w:val="0"/>
                      <w:bCs/>
                    </w:rPr>
                    <w:t>15</w:t>
                  </w:r>
                </w:p>
              </w:tc>
              <w:tc>
                <w:tcPr>
                  <w:tcW w:w="1589" w:type="dxa"/>
                  <w:vAlign w:val="center"/>
                </w:tcPr>
                <w:p>
                  <w:pPr>
                    <w:pStyle w:val="46"/>
                    <w:rPr>
                      <w:b w:val="0"/>
                      <w:bCs/>
                    </w:rPr>
                  </w:pPr>
                  <w:r>
                    <w:rPr>
                      <w:b w:val="0"/>
                      <w:bCs/>
                    </w:rPr>
                    <w:t>1.5</w:t>
                  </w:r>
                </w:p>
              </w:tc>
              <w:tc>
                <w:tcPr>
                  <w:tcW w:w="1594" w:type="dxa"/>
                  <w:vAlign w:val="center"/>
                </w:tcPr>
                <w:p>
                  <w:pPr>
                    <w:pStyle w:val="46"/>
                    <w:rPr>
                      <w:b w:val="0"/>
                      <w:bCs/>
                    </w:rPr>
                  </w:pPr>
                  <w:r>
                    <w:rPr>
                      <w:b w:val="0"/>
                      <w:bCs/>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1" w:type="dxa"/>
                  <w:vAlign w:val="center"/>
                </w:tcPr>
                <w:p>
                  <w:pPr>
                    <w:pStyle w:val="46"/>
                  </w:pPr>
                  <w:r>
                    <w:rPr>
                      <w:b w:val="0"/>
                      <w:bCs/>
                    </w:rPr>
                    <w:t>是否达标</w:t>
                  </w:r>
                </w:p>
              </w:tc>
              <w:tc>
                <w:tcPr>
                  <w:tcW w:w="1589" w:type="dxa"/>
                  <w:vAlign w:val="center"/>
                </w:tcPr>
                <w:p>
                  <w:pPr>
                    <w:spacing w:line="240" w:lineRule="auto"/>
                    <w:ind w:firstLine="0" w:firstLineChars="0"/>
                    <w:jc w:val="center"/>
                    <w:rPr>
                      <w:sz w:val="21"/>
                      <w:szCs w:val="21"/>
                    </w:rPr>
                  </w:pPr>
                  <w:r>
                    <w:rPr>
                      <w:sz w:val="21"/>
                      <w:szCs w:val="21"/>
                    </w:rPr>
                    <w:t>是</w:t>
                  </w:r>
                </w:p>
              </w:tc>
              <w:tc>
                <w:tcPr>
                  <w:tcW w:w="1589" w:type="dxa"/>
                  <w:vAlign w:val="center"/>
                </w:tcPr>
                <w:p>
                  <w:pPr>
                    <w:spacing w:line="240" w:lineRule="auto"/>
                    <w:ind w:firstLine="0" w:firstLineChars="0"/>
                    <w:jc w:val="center"/>
                    <w:rPr>
                      <w:sz w:val="21"/>
                      <w:szCs w:val="21"/>
                    </w:rPr>
                  </w:pPr>
                  <w:r>
                    <w:rPr>
                      <w:sz w:val="21"/>
                      <w:szCs w:val="21"/>
                    </w:rPr>
                    <w:t>是</w:t>
                  </w:r>
                </w:p>
              </w:tc>
              <w:tc>
                <w:tcPr>
                  <w:tcW w:w="1589" w:type="dxa"/>
                  <w:vAlign w:val="center"/>
                </w:tcPr>
                <w:p>
                  <w:pPr>
                    <w:spacing w:line="240" w:lineRule="auto"/>
                    <w:ind w:firstLine="0" w:firstLineChars="0"/>
                    <w:jc w:val="center"/>
                    <w:rPr>
                      <w:sz w:val="21"/>
                      <w:szCs w:val="21"/>
                    </w:rPr>
                  </w:pPr>
                  <w:r>
                    <w:rPr>
                      <w:sz w:val="21"/>
                      <w:szCs w:val="21"/>
                    </w:rPr>
                    <w:t>是</w:t>
                  </w:r>
                </w:p>
              </w:tc>
              <w:tc>
                <w:tcPr>
                  <w:tcW w:w="1589" w:type="dxa"/>
                  <w:vAlign w:val="center"/>
                </w:tcPr>
                <w:p>
                  <w:pPr>
                    <w:spacing w:line="240" w:lineRule="auto"/>
                    <w:ind w:firstLine="0" w:firstLineChars="0"/>
                    <w:jc w:val="center"/>
                    <w:rPr>
                      <w:sz w:val="21"/>
                      <w:szCs w:val="21"/>
                    </w:rPr>
                  </w:pPr>
                  <w:r>
                    <w:rPr>
                      <w:sz w:val="21"/>
                      <w:szCs w:val="21"/>
                    </w:rPr>
                    <w:t>是</w:t>
                  </w:r>
                </w:p>
              </w:tc>
              <w:tc>
                <w:tcPr>
                  <w:tcW w:w="1589" w:type="dxa"/>
                  <w:vAlign w:val="center"/>
                </w:tcPr>
                <w:p>
                  <w:pPr>
                    <w:spacing w:line="240" w:lineRule="auto"/>
                    <w:ind w:firstLine="0" w:firstLineChars="0"/>
                    <w:jc w:val="center"/>
                    <w:rPr>
                      <w:sz w:val="21"/>
                      <w:szCs w:val="21"/>
                    </w:rPr>
                  </w:pPr>
                  <w:r>
                    <w:rPr>
                      <w:sz w:val="21"/>
                      <w:szCs w:val="21"/>
                    </w:rPr>
                    <w:t>是</w:t>
                  </w:r>
                </w:p>
              </w:tc>
              <w:tc>
                <w:tcPr>
                  <w:tcW w:w="1589" w:type="dxa"/>
                  <w:vAlign w:val="center"/>
                </w:tcPr>
                <w:p>
                  <w:pPr>
                    <w:spacing w:line="240" w:lineRule="auto"/>
                    <w:ind w:firstLine="0" w:firstLineChars="0"/>
                    <w:jc w:val="center"/>
                    <w:rPr>
                      <w:sz w:val="21"/>
                      <w:szCs w:val="21"/>
                    </w:rPr>
                  </w:pPr>
                  <w:r>
                    <w:rPr>
                      <w:sz w:val="21"/>
                      <w:szCs w:val="21"/>
                    </w:rPr>
                    <w:t>是</w:t>
                  </w:r>
                </w:p>
              </w:tc>
              <w:tc>
                <w:tcPr>
                  <w:tcW w:w="1589" w:type="dxa"/>
                  <w:vAlign w:val="center"/>
                </w:tcPr>
                <w:p>
                  <w:pPr>
                    <w:spacing w:line="240" w:lineRule="auto"/>
                    <w:ind w:firstLine="0" w:firstLineChars="0"/>
                    <w:jc w:val="center"/>
                    <w:rPr>
                      <w:sz w:val="21"/>
                      <w:szCs w:val="21"/>
                    </w:rPr>
                  </w:pPr>
                  <w:r>
                    <w:rPr>
                      <w:sz w:val="21"/>
                      <w:szCs w:val="21"/>
                    </w:rPr>
                    <w:t>是</w:t>
                  </w:r>
                </w:p>
              </w:tc>
              <w:tc>
                <w:tcPr>
                  <w:tcW w:w="1594" w:type="dxa"/>
                  <w:vAlign w:val="center"/>
                </w:tcPr>
                <w:p>
                  <w:pPr>
                    <w:spacing w:line="240" w:lineRule="auto"/>
                    <w:ind w:firstLine="0" w:firstLineChars="0"/>
                    <w:jc w:val="center"/>
                    <w:rPr>
                      <w:sz w:val="21"/>
                      <w:szCs w:val="21"/>
                    </w:rPr>
                  </w:pPr>
                  <w:r>
                    <w:rPr>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1" w:type="dxa"/>
                  <w:vAlign w:val="center"/>
                </w:tcPr>
                <w:p>
                  <w:pPr>
                    <w:pStyle w:val="46"/>
                  </w:pPr>
                  <w:r>
                    <w:t>检测因子</w:t>
                  </w:r>
                </w:p>
              </w:tc>
              <w:tc>
                <w:tcPr>
                  <w:tcW w:w="1589" w:type="dxa"/>
                  <w:vAlign w:val="center"/>
                </w:tcPr>
                <w:p>
                  <w:pPr>
                    <w:pStyle w:val="46"/>
                  </w:pPr>
                  <w:r>
                    <w:t>苯并（k）荧蒽</w:t>
                  </w:r>
                </w:p>
              </w:tc>
              <w:tc>
                <w:tcPr>
                  <w:tcW w:w="1589" w:type="dxa"/>
                  <w:vAlign w:val="center"/>
                </w:tcPr>
                <w:p>
                  <w:pPr>
                    <w:pStyle w:val="46"/>
                  </w:pPr>
                  <w:r>
                    <w:t>䓛</w:t>
                  </w:r>
                </w:p>
              </w:tc>
              <w:tc>
                <w:tcPr>
                  <w:tcW w:w="1589" w:type="dxa"/>
                  <w:vAlign w:val="center"/>
                </w:tcPr>
                <w:p>
                  <w:pPr>
                    <w:pStyle w:val="46"/>
                  </w:pPr>
                  <w:r>
                    <w:t>二苯并（a,h）蒽</w:t>
                  </w:r>
                </w:p>
              </w:tc>
              <w:tc>
                <w:tcPr>
                  <w:tcW w:w="1589" w:type="dxa"/>
                  <w:vAlign w:val="center"/>
                </w:tcPr>
                <w:p>
                  <w:pPr>
                    <w:pStyle w:val="46"/>
                  </w:pPr>
                  <w:r>
                    <w:t>茚并（1,2,3-c,d）芘</w:t>
                  </w:r>
                </w:p>
              </w:tc>
              <w:tc>
                <w:tcPr>
                  <w:tcW w:w="1589" w:type="dxa"/>
                  <w:vAlign w:val="center"/>
                </w:tcPr>
                <w:p>
                  <w:pPr>
                    <w:pStyle w:val="46"/>
                  </w:pPr>
                  <w:r>
                    <w:t>萘</w:t>
                  </w:r>
                </w:p>
              </w:tc>
              <w:tc>
                <w:tcPr>
                  <w:tcW w:w="1589" w:type="dxa"/>
                  <w:vAlign w:val="center"/>
                </w:tcPr>
                <w:p>
                  <w:pPr>
                    <w:pStyle w:val="46"/>
                  </w:pPr>
                  <w:r>
                    <w:t>pH值</w:t>
                  </w:r>
                </w:p>
              </w:tc>
              <w:tc>
                <w:tcPr>
                  <w:tcW w:w="1589" w:type="dxa"/>
                  <w:vAlign w:val="center"/>
                </w:tcPr>
                <w:p>
                  <w:pPr>
                    <w:pStyle w:val="46"/>
                  </w:pPr>
                  <w:r>
                    <w:t>石油烃（C</w:t>
                  </w:r>
                  <w:r>
                    <w:rPr>
                      <w:vertAlign w:val="subscript"/>
                    </w:rPr>
                    <w:t>10</w:t>
                  </w:r>
                  <w:r>
                    <w:t>~C</w:t>
                  </w:r>
                  <w:r>
                    <w:rPr>
                      <w:vertAlign w:val="subscript"/>
                    </w:rPr>
                    <w:t>40</w:t>
                  </w:r>
                  <w:r>
                    <w:t>）</w:t>
                  </w:r>
                </w:p>
              </w:tc>
              <w:tc>
                <w:tcPr>
                  <w:tcW w:w="1594" w:type="dxa"/>
                  <w:vAlign w:val="center"/>
                </w:tcPr>
                <w:p>
                  <w:pPr>
                    <w:pStyle w:val="46"/>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1" w:type="dxa"/>
                  <w:vAlign w:val="center"/>
                </w:tcPr>
                <w:p>
                  <w:pPr>
                    <w:pStyle w:val="46"/>
                    <w:rPr>
                      <w:b w:val="0"/>
                      <w:bCs/>
                    </w:rPr>
                  </w:pPr>
                  <w:r>
                    <w:rPr>
                      <w:b w:val="0"/>
                      <w:bCs/>
                    </w:rPr>
                    <w:t>检测结果</w:t>
                  </w:r>
                </w:p>
              </w:tc>
              <w:tc>
                <w:tcPr>
                  <w:tcW w:w="1589" w:type="dxa"/>
                  <w:vAlign w:val="center"/>
                </w:tcPr>
                <w:p>
                  <w:pPr>
                    <w:pStyle w:val="46"/>
                    <w:rPr>
                      <w:b w:val="0"/>
                      <w:bCs/>
                    </w:rPr>
                  </w:pPr>
                  <w:r>
                    <w:rPr>
                      <w:b w:val="0"/>
                      <w:bCs/>
                    </w:rPr>
                    <w:t>&lt;0.1</w:t>
                  </w:r>
                </w:p>
              </w:tc>
              <w:tc>
                <w:tcPr>
                  <w:tcW w:w="1589" w:type="dxa"/>
                  <w:vAlign w:val="center"/>
                </w:tcPr>
                <w:p>
                  <w:pPr>
                    <w:pStyle w:val="46"/>
                    <w:rPr>
                      <w:b w:val="0"/>
                      <w:bCs/>
                    </w:rPr>
                  </w:pPr>
                  <w:r>
                    <w:rPr>
                      <w:b w:val="0"/>
                      <w:bCs/>
                    </w:rPr>
                    <w:t>&lt;0.1</w:t>
                  </w:r>
                </w:p>
              </w:tc>
              <w:tc>
                <w:tcPr>
                  <w:tcW w:w="1589" w:type="dxa"/>
                  <w:vAlign w:val="center"/>
                </w:tcPr>
                <w:p>
                  <w:pPr>
                    <w:pStyle w:val="46"/>
                    <w:rPr>
                      <w:b w:val="0"/>
                      <w:bCs/>
                    </w:rPr>
                  </w:pPr>
                  <w:r>
                    <w:rPr>
                      <w:b w:val="0"/>
                      <w:bCs/>
                    </w:rPr>
                    <w:t>&lt;0.1</w:t>
                  </w:r>
                </w:p>
              </w:tc>
              <w:tc>
                <w:tcPr>
                  <w:tcW w:w="1589" w:type="dxa"/>
                  <w:vAlign w:val="center"/>
                </w:tcPr>
                <w:p>
                  <w:pPr>
                    <w:pStyle w:val="46"/>
                    <w:rPr>
                      <w:b w:val="0"/>
                      <w:bCs/>
                    </w:rPr>
                  </w:pPr>
                  <w:r>
                    <w:rPr>
                      <w:b w:val="0"/>
                      <w:bCs/>
                    </w:rPr>
                    <w:t>&lt;0.1</w:t>
                  </w:r>
                </w:p>
              </w:tc>
              <w:tc>
                <w:tcPr>
                  <w:tcW w:w="1589" w:type="dxa"/>
                  <w:vAlign w:val="center"/>
                </w:tcPr>
                <w:p>
                  <w:pPr>
                    <w:pStyle w:val="46"/>
                    <w:rPr>
                      <w:b w:val="0"/>
                      <w:bCs/>
                    </w:rPr>
                  </w:pPr>
                  <w:r>
                    <w:rPr>
                      <w:b w:val="0"/>
                      <w:bCs/>
                    </w:rPr>
                    <w:t>&lt;0.09</w:t>
                  </w:r>
                </w:p>
              </w:tc>
              <w:tc>
                <w:tcPr>
                  <w:tcW w:w="1589" w:type="dxa"/>
                  <w:vAlign w:val="center"/>
                </w:tcPr>
                <w:p>
                  <w:pPr>
                    <w:pStyle w:val="46"/>
                    <w:rPr>
                      <w:b w:val="0"/>
                      <w:bCs/>
                    </w:rPr>
                  </w:pPr>
                  <w:r>
                    <w:rPr>
                      <w:rFonts w:hint="eastAsia"/>
                      <w:b w:val="0"/>
                      <w:bCs/>
                    </w:rPr>
                    <w:t>8.72</w:t>
                  </w:r>
                </w:p>
              </w:tc>
              <w:tc>
                <w:tcPr>
                  <w:tcW w:w="1589" w:type="dxa"/>
                  <w:vAlign w:val="center"/>
                </w:tcPr>
                <w:p>
                  <w:pPr>
                    <w:pStyle w:val="46"/>
                    <w:rPr>
                      <w:b w:val="0"/>
                      <w:bCs/>
                    </w:rPr>
                  </w:pPr>
                  <w:r>
                    <w:rPr>
                      <w:b w:val="0"/>
                      <w:bCs/>
                    </w:rPr>
                    <w:t>68</w:t>
                  </w:r>
                </w:p>
              </w:tc>
              <w:tc>
                <w:tcPr>
                  <w:tcW w:w="1594" w:type="dxa"/>
                  <w:vAlign w:val="center"/>
                </w:tcPr>
                <w:p>
                  <w:pPr>
                    <w:pStyle w:val="46"/>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1" w:type="dxa"/>
                  <w:vAlign w:val="center"/>
                </w:tcPr>
                <w:p>
                  <w:pPr>
                    <w:pStyle w:val="46"/>
                    <w:rPr>
                      <w:b w:val="0"/>
                      <w:bCs/>
                    </w:rPr>
                  </w:pPr>
                  <w:r>
                    <w:rPr>
                      <w:b w:val="0"/>
                      <w:bCs/>
                    </w:rPr>
                    <w:t>二类用地筛选值</w:t>
                  </w:r>
                </w:p>
              </w:tc>
              <w:tc>
                <w:tcPr>
                  <w:tcW w:w="1589" w:type="dxa"/>
                  <w:vAlign w:val="center"/>
                </w:tcPr>
                <w:p>
                  <w:pPr>
                    <w:pStyle w:val="46"/>
                    <w:rPr>
                      <w:b w:val="0"/>
                      <w:bCs/>
                    </w:rPr>
                  </w:pPr>
                  <w:r>
                    <w:rPr>
                      <w:b w:val="0"/>
                      <w:bCs/>
                    </w:rPr>
                    <w:t>151</w:t>
                  </w:r>
                </w:p>
              </w:tc>
              <w:tc>
                <w:tcPr>
                  <w:tcW w:w="1589" w:type="dxa"/>
                  <w:vAlign w:val="center"/>
                </w:tcPr>
                <w:p>
                  <w:pPr>
                    <w:pStyle w:val="46"/>
                    <w:rPr>
                      <w:b w:val="0"/>
                      <w:bCs/>
                    </w:rPr>
                  </w:pPr>
                  <w:r>
                    <w:rPr>
                      <w:b w:val="0"/>
                      <w:bCs/>
                    </w:rPr>
                    <w:t>1293</w:t>
                  </w:r>
                </w:p>
              </w:tc>
              <w:tc>
                <w:tcPr>
                  <w:tcW w:w="1589" w:type="dxa"/>
                  <w:vAlign w:val="center"/>
                </w:tcPr>
                <w:p>
                  <w:pPr>
                    <w:pStyle w:val="46"/>
                    <w:rPr>
                      <w:b w:val="0"/>
                      <w:bCs/>
                    </w:rPr>
                  </w:pPr>
                  <w:r>
                    <w:rPr>
                      <w:b w:val="0"/>
                      <w:bCs/>
                    </w:rPr>
                    <w:t>1.5</w:t>
                  </w:r>
                </w:p>
              </w:tc>
              <w:tc>
                <w:tcPr>
                  <w:tcW w:w="1589" w:type="dxa"/>
                  <w:vAlign w:val="center"/>
                </w:tcPr>
                <w:p>
                  <w:pPr>
                    <w:pStyle w:val="46"/>
                    <w:rPr>
                      <w:b w:val="0"/>
                      <w:bCs/>
                    </w:rPr>
                  </w:pPr>
                  <w:r>
                    <w:rPr>
                      <w:b w:val="0"/>
                      <w:bCs/>
                    </w:rPr>
                    <w:t>15</w:t>
                  </w:r>
                </w:p>
              </w:tc>
              <w:tc>
                <w:tcPr>
                  <w:tcW w:w="1589" w:type="dxa"/>
                  <w:vAlign w:val="center"/>
                </w:tcPr>
                <w:p>
                  <w:pPr>
                    <w:pStyle w:val="46"/>
                    <w:rPr>
                      <w:b w:val="0"/>
                      <w:bCs/>
                    </w:rPr>
                  </w:pPr>
                  <w:r>
                    <w:rPr>
                      <w:b w:val="0"/>
                      <w:bCs/>
                    </w:rPr>
                    <w:t>70</w:t>
                  </w:r>
                </w:p>
              </w:tc>
              <w:tc>
                <w:tcPr>
                  <w:tcW w:w="1589" w:type="dxa"/>
                  <w:vAlign w:val="center"/>
                </w:tcPr>
                <w:p>
                  <w:pPr>
                    <w:pStyle w:val="46"/>
                    <w:rPr>
                      <w:b w:val="0"/>
                      <w:bCs/>
                    </w:rPr>
                  </w:pPr>
                  <w:r>
                    <w:rPr>
                      <w:b w:val="0"/>
                      <w:bCs/>
                    </w:rPr>
                    <w:t>/</w:t>
                  </w:r>
                </w:p>
              </w:tc>
              <w:tc>
                <w:tcPr>
                  <w:tcW w:w="1589" w:type="dxa"/>
                  <w:vAlign w:val="center"/>
                </w:tcPr>
                <w:p>
                  <w:pPr>
                    <w:pStyle w:val="46"/>
                    <w:rPr>
                      <w:b w:val="0"/>
                      <w:bCs/>
                    </w:rPr>
                  </w:pPr>
                  <w:r>
                    <w:rPr>
                      <w:rFonts w:hint="eastAsia"/>
                      <w:b w:val="0"/>
                      <w:bCs/>
                    </w:rPr>
                    <w:t>826</w:t>
                  </w:r>
                </w:p>
              </w:tc>
              <w:tc>
                <w:tcPr>
                  <w:tcW w:w="1594" w:type="dxa"/>
                  <w:vAlign w:val="center"/>
                </w:tcPr>
                <w:p>
                  <w:pPr>
                    <w:pStyle w:val="46"/>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1" w:type="dxa"/>
                  <w:vAlign w:val="center"/>
                </w:tcPr>
                <w:p>
                  <w:pPr>
                    <w:pStyle w:val="46"/>
                    <w:rPr>
                      <w:b w:val="0"/>
                      <w:bCs/>
                    </w:rPr>
                  </w:pPr>
                  <w:r>
                    <w:rPr>
                      <w:b w:val="0"/>
                      <w:bCs/>
                    </w:rPr>
                    <w:t>是否达标</w:t>
                  </w:r>
                </w:p>
              </w:tc>
              <w:tc>
                <w:tcPr>
                  <w:tcW w:w="1589" w:type="dxa"/>
                  <w:vAlign w:val="center"/>
                </w:tcPr>
                <w:p>
                  <w:pPr>
                    <w:spacing w:line="240" w:lineRule="auto"/>
                    <w:ind w:firstLine="0" w:firstLineChars="0"/>
                    <w:jc w:val="center"/>
                    <w:rPr>
                      <w:sz w:val="21"/>
                      <w:szCs w:val="21"/>
                    </w:rPr>
                  </w:pPr>
                  <w:r>
                    <w:rPr>
                      <w:sz w:val="21"/>
                      <w:szCs w:val="21"/>
                    </w:rPr>
                    <w:t>是</w:t>
                  </w:r>
                </w:p>
              </w:tc>
              <w:tc>
                <w:tcPr>
                  <w:tcW w:w="1589" w:type="dxa"/>
                  <w:vAlign w:val="center"/>
                </w:tcPr>
                <w:p>
                  <w:pPr>
                    <w:spacing w:line="240" w:lineRule="auto"/>
                    <w:ind w:firstLine="0" w:firstLineChars="0"/>
                    <w:jc w:val="center"/>
                    <w:rPr>
                      <w:sz w:val="21"/>
                      <w:szCs w:val="21"/>
                    </w:rPr>
                  </w:pPr>
                  <w:r>
                    <w:rPr>
                      <w:sz w:val="21"/>
                      <w:szCs w:val="21"/>
                    </w:rPr>
                    <w:t>是</w:t>
                  </w:r>
                </w:p>
              </w:tc>
              <w:tc>
                <w:tcPr>
                  <w:tcW w:w="1589" w:type="dxa"/>
                  <w:vAlign w:val="center"/>
                </w:tcPr>
                <w:p>
                  <w:pPr>
                    <w:spacing w:line="240" w:lineRule="auto"/>
                    <w:ind w:firstLine="0" w:firstLineChars="0"/>
                    <w:jc w:val="center"/>
                    <w:rPr>
                      <w:sz w:val="21"/>
                      <w:szCs w:val="21"/>
                    </w:rPr>
                  </w:pPr>
                  <w:r>
                    <w:rPr>
                      <w:sz w:val="21"/>
                      <w:szCs w:val="21"/>
                    </w:rPr>
                    <w:t>是</w:t>
                  </w:r>
                </w:p>
              </w:tc>
              <w:tc>
                <w:tcPr>
                  <w:tcW w:w="1589" w:type="dxa"/>
                  <w:vAlign w:val="center"/>
                </w:tcPr>
                <w:p>
                  <w:pPr>
                    <w:spacing w:line="240" w:lineRule="auto"/>
                    <w:ind w:firstLine="0" w:firstLineChars="0"/>
                    <w:jc w:val="center"/>
                    <w:rPr>
                      <w:sz w:val="21"/>
                      <w:szCs w:val="21"/>
                    </w:rPr>
                  </w:pPr>
                  <w:r>
                    <w:rPr>
                      <w:sz w:val="21"/>
                      <w:szCs w:val="21"/>
                    </w:rPr>
                    <w:t>是</w:t>
                  </w:r>
                </w:p>
              </w:tc>
              <w:tc>
                <w:tcPr>
                  <w:tcW w:w="1589" w:type="dxa"/>
                  <w:vAlign w:val="center"/>
                </w:tcPr>
                <w:p>
                  <w:pPr>
                    <w:spacing w:line="240" w:lineRule="auto"/>
                    <w:ind w:firstLine="0" w:firstLineChars="0"/>
                    <w:jc w:val="center"/>
                    <w:rPr>
                      <w:sz w:val="21"/>
                      <w:szCs w:val="21"/>
                    </w:rPr>
                  </w:pPr>
                  <w:r>
                    <w:rPr>
                      <w:sz w:val="21"/>
                      <w:szCs w:val="21"/>
                    </w:rPr>
                    <w:t>是</w:t>
                  </w:r>
                </w:p>
              </w:tc>
              <w:tc>
                <w:tcPr>
                  <w:tcW w:w="1589" w:type="dxa"/>
                  <w:vAlign w:val="center"/>
                </w:tcPr>
                <w:p>
                  <w:pPr>
                    <w:spacing w:line="240" w:lineRule="auto"/>
                    <w:ind w:firstLine="0" w:firstLineChars="0"/>
                    <w:jc w:val="center"/>
                    <w:rPr>
                      <w:sz w:val="21"/>
                      <w:szCs w:val="21"/>
                    </w:rPr>
                  </w:pPr>
                  <w:r>
                    <w:rPr>
                      <w:sz w:val="21"/>
                      <w:szCs w:val="21"/>
                    </w:rPr>
                    <w:t>/</w:t>
                  </w:r>
                </w:p>
              </w:tc>
              <w:tc>
                <w:tcPr>
                  <w:tcW w:w="1589" w:type="dxa"/>
                  <w:vAlign w:val="center"/>
                </w:tcPr>
                <w:p>
                  <w:pPr>
                    <w:spacing w:line="240" w:lineRule="auto"/>
                    <w:ind w:firstLine="0" w:firstLineChars="0"/>
                    <w:jc w:val="center"/>
                    <w:rPr>
                      <w:sz w:val="21"/>
                      <w:szCs w:val="21"/>
                    </w:rPr>
                  </w:pPr>
                  <w:r>
                    <w:rPr>
                      <w:sz w:val="21"/>
                      <w:szCs w:val="21"/>
                    </w:rPr>
                    <w:t>是</w:t>
                  </w:r>
                </w:p>
              </w:tc>
              <w:tc>
                <w:tcPr>
                  <w:tcW w:w="1594" w:type="dxa"/>
                  <w:vAlign w:val="center"/>
                </w:tcPr>
                <w:p>
                  <w:pPr>
                    <w:pStyle w:val="46"/>
                  </w:pPr>
                  <w:r>
                    <w:t>/</w:t>
                  </w:r>
                </w:p>
              </w:tc>
            </w:tr>
          </w:tbl>
          <w:p>
            <w:pPr>
              <w:pStyle w:val="46"/>
              <w:spacing w:before="120" w:beforeLines="50"/>
            </w:pPr>
            <w:r>
              <w:t>表3-7   2#点位土壤</w:t>
            </w:r>
            <w:r>
              <w:rPr>
                <w:rFonts w:hint="eastAsia"/>
              </w:rPr>
              <w:t>环境</w:t>
            </w:r>
            <w:r>
              <w:t>质量现状监测数据</w:t>
            </w:r>
            <w:r>
              <w:rPr>
                <w:rFonts w:hint="eastAsia"/>
              </w:rPr>
              <w:t xml:space="preserve">     </w:t>
            </w:r>
            <w:r>
              <w:t>单位：除pH值外，mg/kg</w:t>
            </w:r>
          </w:p>
          <w:tbl>
            <w:tblPr>
              <w:tblStyle w:val="3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2"/>
              <w:gridCol w:w="2413"/>
              <w:gridCol w:w="2413"/>
              <w:gridCol w:w="2413"/>
              <w:gridCol w:w="2412"/>
              <w:gridCol w:w="2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8" w:type="pct"/>
                  <w:vAlign w:val="center"/>
                </w:tcPr>
                <w:p>
                  <w:pPr>
                    <w:pStyle w:val="46"/>
                  </w:pPr>
                  <w:r>
                    <w:rPr>
                      <w:rFonts w:hint="eastAsia"/>
                    </w:rPr>
                    <w:t>样品性状</w:t>
                  </w:r>
                </w:p>
              </w:tc>
              <w:tc>
                <w:tcPr>
                  <w:tcW w:w="4331" w:type="pct"/>
                  <w:gridSpan w:val="5"/>
                  <w:vAlign w:val="center"/>
                </w:tcPr>
                <w:p>
                  <w:pPr>
                    <w:pStyle w:val="46"/>
                  </w:pPr>
                  <w:r>
                    <w:rPr>
                      <w:rFonts w:hint="eastAsia"/>
                      <w:b w:val="0"/>
                      <w:bCs/>
                    </w:rPr>
                    <w:t>褐色，潮，轻壤土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8" w:type="pct"/>
                  <w:vAlign w:val="center"/>
                </w:tcPr>
                <w:p>
                  <w:pPr>
                    <w:pStyle w:val="46"/>
                  </w:pPr>
                  <w:r>
                    <w:t>检测因子</w:t>
                  </w:r>
                </w:p>
              </w:tc>
              <w:tc>
                <w:tcPr>
                  <w:tcW w:w="866" w:type="pct"/>
                  <w:vAlign w:val="center"/>
                </w:tcPr>
                <w:p>
                  <w:pPr>
                    <w:pStyle w:val="46"/>
                  </w:pPr>
                  <w:r>
                    <w:t>镉</w:t>
                  </w:r>
                </w:p>
              </w:tc>
              <w:tc>
                <w:tcPr>
                  <w:tcW w:w="866" w:type="pct"/>
                  <w:vAlign w:val="center"/>
                </w:tcPr>
                <w:p>
                  <w:pPr>
                    <w:pStyle w:val="46"/>
                  </w:pPr>
                  <w:r>
                    <w:t>汞</w:t>
                  </w:r>
                </w:p>
              </w:tc>
              <w:tc>
                <w:tcPr>
                  <w:tcW w:w="866" w:type="pct"/>
                  <w:vAlign w:val="center"/>
                </w:tcPr>
                <w:p>
                  <w:pPr>
                    <w:pStyle w:val="46"/>
                  </w:pPr>
                  <w:r>
                    <w:t>砷</w:t>
                  </w:r>
                </w:p>
              </w:tc>
              <w:tc>
                <w:tcPr>
                  <w:tcW w:w="866" w:type="pct"/>
                  <w:vAlign w:val="center"/>
                </w:tcPr>
                <w:p>
                  <w:pPr>
                    <w:pStyle w:val="46"/>
                  </w:pPr>
                  <w:r>
                    <w:t>铅</w:t>
                  </w:r>
                </w:p>
              </w:tc>
              <w:tc>
                <w:tcPr>
                  <w:tcW w:w="866" w:type="pct"/>
                  <w:vAlign w:val="center"/>
                </w:tcPr>
                <w:p>
                  <w:pPr>
                    <w:pStyle w:val="46"/>
                  </w:pPr>
                  <w:r>
                    <w:t>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8" w:type="pct"/>
                  <w:vAlign w:val="center"/>
                </w:tcPr>
                <w:p>
                  <w:pPr>
                    <w:pStyle w:val="46"/>
                    <w:rPr>
                      <w:b w:val="0"/>
                      <w:bCs/>
                    </w:rPr>
                  </w:pPr>
                  <w:r>
                    <w:rPr>
                      <w:b w:val="0"/>
                      <w:bCs/>
                    </w:rPr>
                    <w:t>检测结果</w:t>
                  </w:r>
                </w:p>
              </w:tc>
              <w:tc>
                <w:tcPr>
                  <w:tcW w:w="866" w:type="pct"/>
                  <w:vAlign w:val="center"/>
                </w:tcPr>
                <w:p>
                  <w:pPr>
                    <w:pStyle w:val="46"/>
                    <w:rPr>
                      <w:b w:val="0"/>
                      <w:bCs/>
                    </w:rPr>
                  </w:pPr>
                  <w:r>
                    <w:rPr>
                      <w:rFonts w:hint="eastAsia"/>
                      <w:b w:val="0"/>
                      <w:bCs/>
                    </w:rPr>
                    <w:t>0.08</w:t>
                  </w:r>
                </w:p>
              </w:tc>
              <w:tc>
                <w:tcPr>
                  <w:tcW w:w="866" w:type="pct"/>
                  <w:vAlign w:val="center"/>
                </w:tcPr>
                <w:p>
                  <w:pPr>
                    <w:pStyle w:val="46"/>
                    <w:rPr>
                      <w:b w:val="0"/>
                      <w:bCs/>
                    </w:rPr>
                  </w:pPr>
                  <w:r>
                    <w:rPr>
                      <w:rFonts w:hint="eastAsia"/>
                      <w:b w:val="0"/>
                      <w:bCs/>
                    </w:rPr>
                    <w:t>0.291</w:t>
                  </w:r>
                </w:p>
              </w:tc>
              <w:tc>
                <w:tcPr>
                  <w:tcW w:w="866" w:type="pct"/>
                  <w:vAlign w:val="center"/>
                </w:tcPr>
                <w:p>
                  <w:pPr>
                    <w:pStyle w:val="46"/>
                    <w:rPr>
                      <w:b w:val="0"/>
                      <w:bCs/>
                    </w:rPr>
                  </w:pPr>
                  <w:r>
                    <w:rPr>
                      <w:rFonts w:hint="eastAsia"/>
                      <w:b w:val="0"/>
                      <w:bCs/>
                    </w:rPr>
                    <w:t>6.83</w:t>
                  </w:r>
                </w:p>
              </w:tc>
              <w:tc>
                <w:tcPr>
                  <w:tcW w:w="866" w:type="pct"/>
                  <w:vAlign w:val="center"/>
                </w:tcPr>
                <w:p>
                  <w:pPr>
                    <w:pStyle w:val="46"/>
                    <w:rPr>
                      <w:b w:val="0"/>
                      <w:bCs/>
                    </w:rPr>
                  </w:pPr>
                  <w:r>
                    <w:rPr>
                      <w:rFonts w:hint="eastAsia"/>
                      <w:b w:val="0"/>
                      <w:bCs/>
                    </w:rPr>
                    <w:t>25</w:t>
                  </w:r>
                </w:p>
              </w:tc>
              <w:tc>
                <w:tcPr>
                  <w:tcW w:w="866" w:type="pct"/>
                  <w:vAlign w:val="center"/>
                </w:tcPr>
                <w:p>
                  <w:pPr>
                    <w:pStyle w:val="46"/>
                    <w:rPr>
                      <w:b w:val="0"/>
                      <w:bCs/>
                    </w:rPr>
                  </w:pPr>
                  <w:r>
                    <w:rPr>
                      <w:rFonts w:hint="eastAsia"/>
                      <w:b w:val="0"/>
                      <w:bCs/>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8" w:type="pct"/>
                  <w:vAlign w:val="center"/>
                </w:tcPr>
                <w:p>
                  <w:pPr>
                    <w:pStyle w:val="46"/>
                    <w:rPr>
                      <w:b w:val="0"/>
                      <w:bCs/>
                    </w:rPr>
                  </w:pPr>
                  <w:r>
                    <w:rPr>
                      <w:rFonts w:hint="eastAsia"/>
                      <w:b w:val="0"/>
                      <w:bCs/>
                    </w:rPr>
                    <w:t>平行样检测结果</w:t>
                  </w:r>
                </w:p>
              </w:tc>
              <w:tc>
                <w:tcPr>
                  <w:tcW w:w="866" w:type="pct"/>
                  <w:vAlign w:val="center"/>
                </w:tcPr>
                <w:p>
                  <w:pPr>
                    <w:pStyle w:val="46"/>
                    <w:rPr>
                      <w:b w:val="0"/>
                      <w:bCs/>
                    </w:rPr>
                  </w:pPr>
                  <w:r>
                    <w:rPr>
                      <w:rFonts w:hint="eastAsia"/>
                      <w:b w:val="0"/>
                      <w:bCs/>
                    </w:rPr>
                    <w:t>0.08</w:t>
                  </w:r>
                </w:p>
              </w:tc>
              <w:tc>
                <w:tcPr>
                  <w:tcW w:w="866" w:type="pct"/>
                  <w:vAlign w:val="center"/>
                </w:tcPr>
                <w:p>
                  <w:pPr>
                    <w:pStyle w:val="46"/>
                    <w:rPr>
                      <w:b w:val="0"/>
                      <w:bCs/>
                    </w:rPr>
                  </w:pPr>
                  <w:r>
                    <w:rPr>
                      <w:rFonts w:hint="eastAsia"/>
                      <w:b w:val="0"/>
                      <w:bCs/>
                    </w:rPr>
                    <w:t>0.267</w:t>
                  </w:r>
                </w:p>
              </w:tc>
              <w:tc>
                <w:tcPr>
                  <w:tcW w:w="866" w:type="pct"/>
                  <w:vAlign w:val="center"/>
                </w:tcPr>
                <w:p>
                  <w:pPr>
                    <w:pStyle w:val="46"/>
                    <w:rPr>
                      <w:b w:val="0"/>
                      <w:bCs/>
                    </w:rPr>
                  </w:pPr>
                  <w:r>
                    <w:rPr>
                      <w:rFonts w:hint="eastAsia"/>
                      <w:b w:val="0"/>
                      <w:bCs/>
                    </w:rPr>
                    <w:t>6.34</w:t>
                  </w:r>
                </w:p>
              </w:tc>
              <w:tc>
                <w:tcPr>
                  <w:tcW w:w="866" w:type="pct"/>
                  <w:vAlign w:val="center"/>
                </w:tcPr>
                <w:p>
                  <w:pPr>
                    <w:pStyle w:val="46"/>
                    <w:rPr>
                      <w:b w:val="0"/>
                      <w:bCs/>
                    </w:rPr>
                  </w:pPr>
                  <w:r>
                    <w:rPr>
                      <w:rFonts w:hint="eastAsia"/>
                      <w:b w:val="0"/>
                      <w:bCs/>
                    </w:rPr>
                    <w:t>27</w:t>
                  </w:r>
                </w:p>
              </w:tc>
              <w:tc>
                <w:tcPr>
                  <w:tcW w:w="866" w:type="pct"/>
                  <w:vAlign w:val="center"/>
                </w:tcPr>
                <w:p>
                  <w:pPr>
                    <w:pStyle w:val="46"/>
                    <w:rPr>
                      <w:b w:val="0"/>
                      <w:bCs/>
                    </w:rPr>
                  </w:pPr>
                  <w:r>
                    <w:rPr>
                      <w:rFonts w:hint="eastAsia"/>
                      <w:b w:val="0"/>
                      <w:bCs/>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8" w:type="pct"/>
                  <w:vAlign w:val="center"/>
                </w:tcPr>
                <w:p>
                  <w:pPr>
                    <w:pStyle w:val="46"/>
                    <w:rPr>
                      <w:b w:val="0"/>
                      <w:bCs/>
                    </w:rPr>
                  </w:pPr>
                  <w:r>
                    <w:rPr>
                      <w:b w:val="0"/>
                      <w:bCs/>
                    </w:rPr>
                    <w:t>风险筛选值</w:t>
                  </w:r>
                </w:p>
              </w:tc>
              <w:tc>
                <w:tcPr>
                  <w:tcW w:w="866" w:type="pct"/>
                  <w:vAlign w:val="center"/>
                </w:tcPr>
                <w:p>
                  <w:pPr>
                    <w:pStyle w:val="46"/>
                    <w:rPr>
                      <w:b w:val="0"/>
                      <w:bCs/>
                    </w:rPr>
                  </w:pPr>
                  <w:r>
                    <w:rPr>
                      <w:rFonts w:hint="eastAsia"/>
                      <w:b w:val="0"/>
                      <w:bCs/>
                    </w:rPr>
                    <w:t>0.6</w:t>
                  </w:r>
                </w:p>
              </w:tc>
              <w:tc>
                <w:tcPr>
                  <w:tcW w:w="866" w:type="pct"/>
                  <w:vAlign w:val="center"/>
                </w:tcPr>
                <w:p>
                  <w:pPr>
                    <w:pStyle w:val="46"/>
                    <w:rPr>
                      <w:b w:val="0"/>
                      <w:bCs/>
                    </w:rPr>
                  </w:pPr>
                  <w:r>
                    <w:rPr>
                      <w:rFonts w:hint="eastAsia"/>
                      <w:b w:val="0"/>
                      <w:bCs/>
                    </w:rPr>
                    <w:t>3.4</w:t>
                  </w:r>
                </w:p>
              </w:tc>
              <w:tc>
                <w:tcPr>
                  <w:tcW w:w="866" w:type="pct"/>
                  <w:vAlign w:val="center"/>
                </w:tcPr>
                <w:p>
                  <w:pPr>
                    <w:pStyle w:val="46"/>
                    <w:rPr>
                      <w:b w:val="0"/>
                      <w:bCs/>
                    </w:rPr>
                  </w:pPr>
                  <w:r>
                    <w:rPr>
                      <w:rFonts w:hint="eastAsia"/>
                      <w:b w:val="0"/>
                      <w:bCs/>
                    </w:rPr>
                    <w:t>25</w:t>
                  </w:r>
                </w:p>
              </w:tc>
              <w:tc>
                <w:tcPr>
                  <w:tcW w:w="866" w:type="pct"/>
                  <w:vAlign w:val="center"/>
                </w:tcPr>
                <w:p>
                  <w:pPr>
                    <w:pStyle w:val="46"/>
                    <w:rPr>
                      <w:b w:val="0"/>
                      <w:bCs/>
                    </w:rPr>
                  </w:pPr>
                  <w:r>
                    <w:rPr>
                      <w:rFonts w:hint="eastAsia"/>
                      <w:b w:val="0"/>
                      <w:bCs/>
                    </w:rPr>
                    <w:t>170</w:t>
                  </w:r>
                </w:p>
              </w:tc>
              <w:tc>
                <w:tcPr>
                  <w:tcW w:w="866" w:type="pct"/>
                  <w:vAlign w:val="center"/>
                </w:tcPr>
                <w:p>
                  <w:pPr>
                    <w:pStyle w:val="46"/>
                    <w:rPr>
                      <w:b w:val="0"/>
                      <w:bCs/>
                    </w:rPr>
                  </w:pPr>
                  <w:r>
                    <w:rPr>
                      <w:rFonts w:hint="eastAsia"/>
                      <w:b w:val="0"/>
                      <w:bCs/>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8" w:type="pct"/>
                  <w:vAlign w:val="center"/>
                </w:tcPr>
                <w:p>
                  <w:pPr>
                    <w:pStyle w:val="46"/>
                  </w:pPr>
                  <w:r>
                    <w:rPr>
                      <w:b w:val="0"/>
                      <w:bCs/>
                    </w:rPr>
                    <w:t>是否达标</w:t>
                  </w:r>
                </w:p>
              </w:tc>
              <w:tc>
                <w:tcPr>
                  <w:tcW w:w="866" w:type="pct"/>
                  <w:vAlign w:val="center"/>
                </w:tcPr>
                <w:p>
                  <w:pPr>
                    <w:pStyle w:val="46"/>
                    <w:rPr>
                      <w:b w:val="0"/>
                      <w:bCs/>
                    </w:rPr>
                  </w:pPr>
                  <w:r>
                    <w:rPr>
                      <w:b w:val="0"/>
                      <w:bCs/>
                    </w:rPr>
                    <w:t>是</w:t>
                  </w:r>
                </w:p>
              </w:tc>
              <w:tc>
                <w:tcPr>
                  <w:tcW w:w="866" w:type="pct"/>
                  <w:vAlign w:val="center"/>
                </w:tcPr>
                <w:p>
                  <w:pPr>
                    <w:pStyle w:val="46"/>
                    <w:rPr>
                      <w:b w:val="0"/>
                      <w:bCs/>
                    </w:rPr>
                  </w:pPr>
                  <w:r>
                    <w:rPr>
                      <w:b w:val="0"/>
                      <w:bCs/>
                    </w:rPr>
                    <w:t>是</w:t>
                  </w:r>
                </w:p>
              </w:tc>
              <w:tc>
                <w:tcPr>
                  <w:tcW w:w="866" w:type="pct"/>
                  <w:vAlign w:val="center"/>
                </w:tcPr>
                <w:p>
                  <w:pPr>
                    <w:pStyle w:val="46"/>
                    <w:rPr>
                      <w:b w:val="0"/>
                      <w:bCs/>
                    </w:rPr>
                  </w:pPr>
                  <w:r>
                    <w:rPr>
                      <w:b w:val="0"/>
                      <w:bCs/>
                    </w:rPr>
                    <w:t>是</w:t>
                  </w:r>
                </w:p>
              </w:tc>
              <w:tc>
                <w:tcPr>
                  <w:tcW w:w="866" w:type="pct"/>
                  <w:vAlign w:val="center"/>
                </w:tcPr>
                <w:p>
                  <w:pPr>
                    <w:pStyle w:val="46"/>
                    <w:rPr>
                      <w:b w:val="0"/>
                      <w:bCs/>
                    </w:rPr>
                  </w:pPr>
                  <w:r>
                    <w:rPr>
                      <w:b w:val="0"/>
                      <w:bCs/>
                    </w:rPr>
                    <w:t>是</w:t>
                  </w:r>
                </w:p>
              </w:tc>
              <w:tc>
                <w:tcPr>
                  <w:tcW w:w="866" w:type="pct"/>
                  <w:vAlign w:val="center"/>
                </w:tcPr>
                <w:p>
                  <w:pPr>
                    <w:pStyle w:val="46"/>
                    <w:rPr>
                      <w:b w:val="0"/>
                      <w:bCs/>
                    </w:rPr>
                  </w:pPr>
                  <w:r>
                    <w:rPr>
                      <w:b w:val="0"/>
                      <w:bCs/>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8" w:type="pct"/>
                  <w:vAlign w:val="center"/>
                </w:tcPr>
                <w:p>
                  <w:pPr>
                    <w:pStyle w:val="46"/>
                  </w:pPr>
                  <w:r>
                    <w:t>检测因子</w:t>
                  </w:r>
                </w:p>
              </w:tc>
              <w:tc>
                <w:tcPr>
                  <w:tcW w:w="866" w:type="pct"/>
                  <w:vAlign w:val="center"/>
                </w:tcPr>
                <w:p>
                  <w:pPr>
                    <w:pStyle w:val="46"/>
                  </w:pPr>
                  <w:r>
                    <w:t>铜</w:t>
                  </w:r>
                </w:p>
              </w:tc>
              <w:tc>
                <w:tcPr>
                  <w:tcW w:w="866" w:type="pct"/>
                  <w:vAlign w:val="center"/>
                </w:tcPr>
                <w:p>
                  <w:pPr>
                    <w:pStyle w:val="46"/>
                  </w:pPr>
                  <w:r>
                    <w:t>镍</w:t>
                  </w:r>
                </w:p>
              </w:tc>
              <w:tc>
                <w:tcPr>
                  <w:tcW w:w="866" w:type="pct"/>
                  <w:vAlign w:val="center"/>
                </w:tcPr>
                <w:p>
                  <w:pPr>
                    <w:pStyle w:val="46"/>
                  </w:pPr>
                  <w:r>
                    <w:t>锌</w:t>
                  </w:r>
                </w:p>
              </w:tc>
              <w:tc>
                <w:tcPr>
                  <w:tcW w:w="866" w:type="pct"/>
                  <w:vAlign w:val="center"/>
                </w:tcPr>
                <w:p>
                  <w:pPr>
                    <w:pStyle w:val="46"/>
                  </w:pPr>
                  <w:r>
                    <w:t>pH值</w:t>
                  </w:r>
                </w:p>
              </w:tc>
              <w:tc>
                <w:tcPr>
                  <w:tcW w:w="866" w:type="pct"/>
                  <w:vAlign w:val="center"/>
                </w:tcPr>
                <w:p>
                  <w:pPr>
                    <w:pStyle w:val="46"/>
                  </w:pPr>
                  <w:r>
                    <w:t>石油烃（C</w:t>
                  </w:r>
                  <w:r>
                    <w:rPr>
                      <w:vertAlign w:val="subscript"/>
                    </w:rPr>
                    <w:t>10</w:t>
                  </w:r>
                  <w:r>
                    <w:t>~C</w:t>
                  </w:r>
                  <w:r>
                    <w:rPr>
                      <w:vertAlign w:val="subscript"/>
                    </w:rPr>
                    <w:t>40</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8" w:type="pct"/>
                  <w:vAlign w:val="center"/>
                </w:tcPr>
                <w:p>
                  <w:pPr>
                    <w:pStyle w:val="46"/>
                    <w:rPr>
                      <w:b w:val="0"/>
                      <w:bCs/>
                    </w:rPr>
                  </w:pPr>
                  <w:r>
                    <w:rPr>
                      <w:b w:val="0"/>
                      <w:bCs/>
                    </w:rPr>
                    <w:t>检测结果</w:t>
                  </w:r>
                </w:p>
              </w:tc>
              <w:tc>
                <w:tcPr>
                  <w:tcW w:w="866" w:type="pct"/>
                  <w:vAlign w:val="center"/>
                </w:tcPr>
                <w:p>
                  <w:pPr>
                    <w:pStyle w:val="46"/>
                    <w:rPr>
                      <w:b w:val="0"/>
                      <w:bCs/>
                    </w:rPr>
                  </w:pPr>
                  <w:r>
                    <w:rPr>
                      <w:rFonts w:hint="eastAsia"/>
                      <w:b w:val="0"/>
                      <w:bCs/>
                    </w:rPr>
                    <w:t>22</w:t>
                  </w:r>
                </w:p>
              </w:tc>
              <w:tc>
                <w:tcPr>
                  <w:tcW w:w="866" w:type="pct"/>
                  <w:vAlign w:val="center"/>
                </w:tcPr>
                <w:p>
                  <w:pPr>
                    <w:pStyle w:val="46"/>
                    <w:rPr>
                      <w:b w:val="0"/>
                      <w:bCs/>
                    </w:rPr>
                  </w:pPr>
                  <w:r>
                    <w:rPr>
                      <w:rFonts w:hint="eastAsia"/>
                      <w:b w:val="0"/>
                      <w:bCs/>
                    </w:rPr>
                    <w:t>27</w:t>
                  </w:r>
                </w:p>
              </w:tc>
              <w:tc>
                <w:tcPr>
                  <w:tcW w:w="866" w:type="pct"/>
                  <w:vAlign w:val="center"/>
                </w:tcPr>
                <w:p>
                  <w:pPr>
                    <w:pStyle w:val="46"/>
                    <w:rPr>
                      <w:b w:val="0"/>
                      <w:bCs/>
                    </w:rPr>
                  </w:pPr>
                  <w:r>
                    <w:rPr>
                      <w:rFonts w:hint="eastAsia"/>
                      <w:b w:val="0"/>
                      <w:bCs/>
                    </w:rPr>
                    <w:t>75</w:t>
                  </w:r>
                </w:p>
              </w:tc>
              <w:tc>
                <w:tcPr>
                  <w:tcW w:w="866" w:type="pct"/>
                  <w:vAlign w:val="center"/>
                </w:tcPr>
                <w:p>
                  <w:pPr>
                    <w:pStyle w:val="46"/>
                    <w:rPr>
                      <w:b w:val="0"/>
                      <w:bCs/>
                    </w:rPr>
                  </w:pPr>
                  <w:r>
                    <w:rPr>
                      <w:rFonts w:hint="eastAsia"/>
                      <w:b w:val="0"/>
                      <w:bCs/>
                    </w:rPr>
                    <w:t>8.54</w:t>
                  </w:r>
                </w:p>
              </w:tc>
              <w:tc>
                <w:tcPr>
                  <w:tcW w:w="866" w:type="pct"/>
                  <w:vAlign w:val="center"/>
                </w:tcPr>
                <w:p>
                  <w:pPr>
                    <w:pStyle w:val="46"/>
                    <w:rPr>
                      <w:b w:val="0"/>
                      <w:bCs/>
                    </w:rPr>
                  </w:pPr>
                  <w:r>
                    <w:rPr>
                      <w:rFonts w:hint="eastAsia"/>
                      <w:b w:val="0"/>
                      <w:bCs/>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8" w:type="pct"/>
                  <w:vAlign w:val="center"/>
                </w:tcPr>
                <w:p>
                  <w:pPr>
                    <w:pStyle w:val="46"/>
                    <w:rPr>
                      <w:b w:val="0"/>
                      <w:bCs/>
                    </w:rPr>
                  </w:pPr>
                  <w:r>
                    <w:rPr>
                      <w:rFonts w:hint="eastAsia"/>
                      <w:b w:val="0"/>
                      <w:bCs/>
                    </w:rPr>
                    <w:t>平行样检测结果</w:t>
                  </w:r>
                </w:p>
              </w:tc>
              <w:tc>
                <w:tcPr>
                  <w:tcW w:w="866" w:type="pct"/>
                  <w:vAlign w:val="center"/>
                </w:tcPr>
                <w:p>
                  <w:pPr>
                    <w:pStyle w:val="46"/>
                    <w:rPr>
                      <w:b w:val="0"/>
                      <w:bCs/>
                    </w:rPr>
                  </w:pPr>
                  <w:r>
                    <w:rPr>
                      <w:rFonts w:hint="eastAsia"/>
                      <w:b w:val="0"/>
                      <w:bCs/>
                    </w:rPr>
                    <w:t>21</w:t>
                  </w:r>
                </w:p>
              </w:tc>
              <w:tc>
                <w:tcPr>
                  <w:tcW w:w="866" w:type="pct"/>
                  <w:vAlign w:val="center"/>
                </w:tcPr>
                <w:p>
                  <w:pPr>
                    <w:pStyle w:val="46"/>
                    <w:rPr>
                      <w:b w:val="0"/>
                      <w:bCs/>
                    </w:rPr>
                  </w:pPr>
                  <w:r>
                    <w:rPr>
                      <w:rFonts w:hint="eastAsia"/>
                      <w:b w:val="0"/>
                      <w:bCs/>
                    </w:rPr>
                    <w:t>26</w:t>
                  </w:r>
                </w:p>
              </w:tc>
              <w:tc>
                <w:tcPr>
                  <w:tcW w:w="866" w:type="pct"/>
                  <w:vAlign w:val="center"/>
                </w:tcPr>
                <w:p>
                  <w:pPr>
                    <w:pStyle w:val="46"/>
                    <w:rPr>
                      <w:b w:val="0"/>
                      <w:bCs/>
                    </w:rPr>
                  </w:pPr>
                  <w:r>
                    <w:rPr>
                      <w:rFonts w:hint="eastAsia"/>
                      <w:b w:val="0"/>
                      <w:bCs/>
                    </w:rPr>
                    <w:t>71</w:t>
                  </w:r>
                </w:p>
              </w:tc>
              <w:tc>
                <w:tcPr>
                  <w:tcW w:w="866" w:type="pct"/>
                  <w:vAlign w:val="center"/>
                </w:tcPr>
                <w:p>
                  <w:pPr>
                    <w:pStyle w:val="46"/>
                    <w:rPr>
                      <w:b w:val="0"/>
                      <w:bCs/>
                    </w:rPr>
                  </w:pPr>
                  <w:r>
                    <w:rPr>
                      <w:rFonts w:hint="eastAsia"/>
                      <w:b w:val="0"/>
                      <w:bCs/>
                    </w:rPr>
                    <w:t>8.49</w:t>
                  </w:r>
                </w:p>
              </w:tc>
              <w:tc>
                <w:tcPr>
                  <w:tcW w:w="866" w:type="pct"/>
                  <w:vAlign w:val="center"/>
                </w:tcPr>
                <w:p>
                  <w:pPr>
                    <w:pStyle w:val="46"/>
                    <w:rPr>
                      <w:b w:val="0"/>
                      <w:bCs/>
                    </w:rPr>
                  </w:pPr>
                  <w:r>
                    <w:rPr>
                      <w:rFonts w:hint="eastAsia"/>
                      <w:b w:val="0"/>
                      <w:bCs/>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8" w:type="pct"/>
                  <w:vAlign w:val="center"/>
                </w:tcPr>
                <w:p>
                  <w:pPr>
                    <w:pStyle w:val="46"/>
                    <w:rPr>
                      <w:b w:val="0"/>
                      <w:bCs/>
                    </w:rPr>
                  </w:pPr>
                  <w:r>
                    <w:rPr>
                      <w:b w:val="0"/>
                      <w:bCs/>
                    </w:rPr>
                    <w:t>风险筛选值</w:t>
                  </w:r>
                </w:p>
              </w:tc>
              <w:tc>
                <w:tcPr>
                  <w:tcW w:w="866" w:type="pct"/>
                  <w:vAlign w:val="center"/>
                </w:tcPr>
                <w:p>
                  <w:pPr>
                    <w:pStyle w:val="46"/>
                    <w:rPr>
                      <w:b w:val="0"/>
                      <w:bCs/>
                    </w:rPr>
                  </w:pPr>
                  <w:r>
                    <w:rPr>
                      <w:rFonts w:hint="eastAsia"/>
                      <w:b w:val="0"/>
                      <w:bCs/>
                    </w:rPr>
                    <w:t>100</w:t>
                  </w:r>
                </w:p>
              </w:tc>
              <w:tc>
                <w:tcPr>
                  <w:tcW w:w="866" w:type="pct"/>
                  <w:vAlign w:val="center"/>
                </w:tcPr>
                <w:p>
                  <w:pPr>
                    <w:pStyle w:val="46"/>
                    <w:rPr>
                      <w:b w:val="0"/>
                      <w:bCs/>
                    </w:rPr>
                  </w:pPr>
                  <w:r>
                    <w:rPr>
                      <w:rFonts w:hint="eastAsia"/>
                      <w:b w:val="0"/>
                      <w:bCs/>
                    </w:rPr>
                    <w:t>190</w:t>
                  </w:r>
                </w:p>
              </w:tc>
              <w:tc>
                <w:tcPr>
                  <w:tcW w:w="866" w:type="pct"/>
                  <w:vAlign w:val="center"/>
                </w:tcPr>
                <w:p>
                  <w:pPr>
                    <w:pStyle w:val="46"/>
                    <w:rPr>
                      <w:b w:val="0"/>
                      <w:bCs/>
                    </w:rPr>
                  </w:pPr>
                  <w:r>
                    <w:rPr>
                      <w:rFonts w:hint="eastAsia"/>
                      <w:b w:val="0"/>
                      <w:bCs/>
                    </w:rPr>
                    <w:t>300</w:t>
                  </w:r>
                </w:p>
              </w:tc>
              <w:tc>
                <w:tcPr>
                  <w:tcW w:w="866" w:type="pct"/>
                  <w:vAlign w:val="center"/>
                </w:tcPr>
                <w:p>
                  <w:pPr>
                    <w:pStyle w:val="46"/>
                    <w:rPr>
                      <w:b w:val="0"/>
                      <w:bCs/>
                    </w:rPr>
                  </w:pPr>
                  <w:r>
                    <w:rPr>
                      <w:rFonts w:hint="eastAsia"/>
                      <w:b w:val="0"/>
                      <w:bCs/>
                    </w:rPr>
                    <w:t>/</w:t>
                  </w:r>
                </w:p>
              </w:tc>
              <w:tc>
                <w:tcPr>
                  <w:tcW w:w="866" w:type="pct"/>
                  <w:vAlign w:val="center"/>
                </w:tcPr>
                <w:p>
                  <w:pPr>
                    <w:pStyle w:val="46"/>
                    <w:rPr>
                      <w:b w:val="0"/>
                      <w:bCs/>
                    </w:rPr>
                  </w:pPr>
                  <w:r>
                    <w:rPr>
                      <w:rFonts w:hint="eastAsia"/>
                      <w:b w:val="0"/>
                      <w:bCs/>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8" w:type="pct"/>
                  <w:vAlign w:val="center"/>
                </w:tcPr>
                <w:p>
                  <w:pPr>
                    <w:pStyle w:val="46"/>
                    <w:rPr>
                      <w:b w:val="0"/>
                      <w:bCs/>
                    </w:rPr>
                  </w:pPr>
                  <w:r>
                    <w:rPr>
                      <w:b w:val="0"/>
                      <w:bCs/>
                    </w:rPr>
                    <w:t>是否达标</w:t>
                  </w:r>
                </w:p>
              </w:tc>
              <w:tc>
                <w:tcPr>
                  <w:tcW w:w="866" w:type="pct"/>
                  <w:vAlign w:val="center"/>
                </w:tcPr>
                <w:p>
                  <w:pPr>
                    <w:pStyle w:val="46"/>
                    <w:rPr>
                      <w:b w:val="0"/>
                      <w:bCs/>
                    </w:rPr>
                  </w:pPr>
                  <w:r>
                    <w:rPr>
                      <w:b w:val="0"/>
                      <w:bCs/>
                    </w:rPr>
                    <w:t>是</w:t>
                  </w:r>
                </w:p>
              </w:tc>
              <w:tc>
                <w:tcPr>
                  <w:tcW w:w="866" w:type="pct"/>
                  <w:vAlign w:val="center"/>
                </w:tcPr>
                <w:p>
                  <w:pPr>
                    <w:pStyle w:val="46"/>
                    <w:rPr>
                      <w:b w:val="0"/>
                      <w:bCs/>
                    </w:rPr>
                  </w:pPr>
                  <w:r>
                    <w:rPr>
                      <w:b w:val="0"/>
                      <w:bCs/>
                    </w:rPr>
                    <w:t>是</w:t>
                  </w:r>
                </w:p>
              </w:tc>
              <w:tc>
                <w:tcPr>
                  <w:tcW w:w="866" w:type="pct"/>
                  <w:vAlign w:val="center"/>
                </w:tcPr>
                <w:p>
                  <w:pPr>
                    <w:pStyle w:val="46"/>
                    <w:rPr>
                      <w:b w:val="0"/>
                      <w:bCs/>
                    </w:rPr>
                  </w:pPr>
                  <w:r>
                    <w:rPr>
                      <w:b w:val="0"/>
                      <w:bCs/>
                    </w:rPr>
                    <w:t>是</w:t>
                  </w:r>
                </w:p>
              </w:tc>
              <w:tc>
                <w:tcPr>
                  <w:tcW w:w="866" w:type="pct"/>
                  <w:vAlign w:val="center"/>
                </w:tcPr>
                <w:p>
                  <w:pPr>
                    <w:pStyle w:val="46"/>
                    <w:rPr>
                      <w:b w:val="0"/>
                      <w:bCs/>
                    </w:rPr>
                  </w:pPr>
                  <w:r>
                    <w:rPr>
                      <w:rFonts w:hint="eastAsia"/>
                      <w:b w:val="0"/>
                      <w:bCs/>
                    </w:rPr>
                    <w:t>/</w:t>
                  </w:r>
                </w:p>
              </w:tc>
              <w:tc>
                <w:tcPr>
                  <w:tcW w:w="866" w:type="pct"/>
                  <w:vAlign w:val="center"/>
                </w:tcPr>
                <w:p>
                  <w:pPr>
                    <w:pStyle w:val="46"/>
                    <w:rPr>
                      <w:b w:val="0"/>
                      <w:bCs/>
                    </w:rPr>
                  </w:pPr>
                  <w:r>
                    <w:rPr>
                      <w:b w:val="0"/>
                      <w:bCs/>
                    </w:rPr>
                    <w:t>是</w:t>
                  </w:r>
                </w:p>
              </w:tc>
            </w:tr>
          </w:tbl>
          <w:p>
            <w:pPr>
              <w:ind w:firstLine="480"/>
              <w:rPr>
                <w:sz w:val="18"/>
                <w:szCs w:val="13"/>
              </w:rPr>
            </w:pPr>
            <w:r>
              <w:t>根据检测结果可</w:t>
            </w:r>
            <w:r>
              <w:rPr>
                <w:szCs w:val="22"/>
              </w:rPr>
              <w:t>知，</w:t>
            </w:r>
            <w:r>
              <w:rPr>
                <w:rFonts w:hint="eastAsia"/>
                <w:szCs w:val="22"/>
              </w:rPr>
              <w:t>本项目所在区域的建设用地</w:t>
            </w:r>
            <w:r>
              <w:rPr>
                <w:szCs w:val="22"/>
              </w:rPr>
              <w:t>土壤</w:t>
            </w:r>
            <w:r>
              <w:rPr>
                <w:rFonts w:hint="eastAsia"/>
                <w:szCs w:val="22"/>
              </w:rPr>
              <w:t>环境</w:t>
            </w:r>
            <w:r>
              <w:rPr>
                <w:szCs w:val="22"/>
              </w:rPr>
              <w:t>质量</w:t>
            </w:r>
            <w:r>
              <w:rPr>
                <w:rFonts w:hint="eastAsia"/>
                <w:szCs w:val="22"/>
              </w:rPr>
              <w:t>满足《土壤环境质量 建设用地土壤污染风险管控标准（试行）》（G</w:t>
            </w:r>
            <w:r>
              <w:rPr>
                <w:szCs w:val="22"/>
              </w:rPr>
              <w:t>B36600-2018</w:t>
            </w:r>
            <w:r>
              <w:rPr>
                <w:rFonts w:hint="eastAsia"/>
                <w:szCs w:val="22"/>
              </w:rPr>
              <w:t>）中表1、表2相应第二类用地筛选值的要求</w:t>
            </w:r>
            <w:r>
              <w:rPr>
                <w:szCs w:val="22"/>
              </w:rPr>
              <w:t>；</w:t>
            </w:r>
            <w:r>
              <w:rPr>
                <w:rFonts w:hint="eastAsia"/>
                <w:szCs w:val="22"/>
              </w:rPr>
              <w:t>本项目所在区域的农用地</w:t>
            </w:r>
            <w:r>
              <w:rPr>
                <w:szCs w:val="22"/>
              </w:rPr>
              <w:t>土壤</w:t>
            </w:r>
            <w:r>
              <w:rPr>
                <w:rFonts w:hint="eastAsia"/>
                <w:szCs w:val="22"/>
              </w:rPr>
              <w:t>环境</w:t>
            </w:r>
            <w:r>
              <w:rPr>
                <w:szCs w:val="22"/>
              </w:rPr>
              <w:t>质量</w:t>
            </w:r>
            <w:r>
              <w:rPr>
                <w:rFonts w:hint="eastAsia"/>
                <w:szCs w:val="22"/>
              </w:rPr>
              <w:t>满足《土壤环境质量 农用地土壤污染风险管控标准（试行）》（GB15618-2018）中相应风险筛选值要求，本项目所在地土壤环境质量较好</w:t>
            </w:r>
            <w:r>
              <w:rPr>
                <w:szCs w:val="22"/>
              </w:rPr>
              <w:t>。</w:t>
            </w:r>
          </w:p>
          <w:p>
            <w:pPr>
              <w:pStyle w:val="2"/>
              <w:ind w:left="480" w:firstLine="360"/>
              <w:rPr>
                <w:sz w:val="18"/>
                <w:szCs w:val="13"/>
              </w:rPr>
            </w:pPr>
          </w:p>
        </w:tc>
      </w:tr>
    </w:tbl>
    <w:p>
      <w:pPr>
        <w:pStyle w:val="4"/>
        <w:sectPr>
          <w:footerReference r:id="rId15" w:type="default"/>
          <w:pgSz w:w="16838" w:h="11906" w:orient="landscape"/>
          <w:pgMar w:top="1587" w:right="1474" w:bottom="1587" w:left="1418" w:header="851" w:footer="907" w:gutter="0"/>
          <w:cols w:space="720" w:num="1"/>
          <w:docGrid w:linePitch="312" w:charSpace="0"/>
        </w:sectPr>
      </w:pP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auto" w:sz="12" w:space="0"/>
              <w:left w:val="single" w:color="auto" w:sz="12" w:space="0"/>
              <w:bottom w:val="single" w:color="auto" w:sz="12" w:space="0"/>
              <w:right w:val="single" w:color="auto" w:sz="12" w:space="0"/>
            </w:tcBorders>
          </w:tcPr>
          <w:p>
            <w:pPr>
              <w:pStyle w:val="2"/>
              <w:spacing w:after="0" w:line="240" w:lineRule="auto"/>
              <w:ind w:left="0" w:leftChars="0" w:firstLine="0" w:firstLineChars="0"/>
            </w:pPr>
          </w:p>
          <w:p>
            <w:pPr>
              <w:pStyle w:val="2"/>
              <w:spacing w:after="0" w:line="240" w:lineRule="auto"/>
              <w:ind w:left="0" w:leftChars="0" w:firstLine="0" w:firstLineChars="0"/>
            </w:pPr>
            <w:r>
              <mc:AlternateContent>
                <mc:Choice Requires="wps">
                  <w:drawing>
                    <wp:anchor distT="0" distB="0" distL="114300" distR="114300" simplePos="0" relativeHeight="251703296" behindDoc="0" locked="0" layoutInCell="1" allowOverlap="1">
                      <wp:simplePos x="0" y="0"/>
                      <wp:positionH relativeFrom="column">
                        <wp:posOffset>2986405</wp:posOffset>
                      </wp:positionH>
                      <wp:positionV relativeFrom="paragraph">
                        <wp:posOffset>1381125</wp:posOffset>
                      </wp:positionV>
                      <wp:extent cx="875665" cy="285115"/>
                      <wp:effectExtent l="109855" t="9525" r="5080" b="324485"/>
                      <wp:wrapNone/>
                      <wp:docPr id="444" name="自选图形 730"/>
                      <wp:cNvGraphicFramePr/>
                      <a:graphic xmlns:a="http://schemas.openxmlformats.org/drawingml/2006/main">
                        <a:graphicData uri="http://schemas.microsoft.com/office/word/2010/wordprocessingShape">
                          <wps:wsp>
                            <wps:cNvSpPr>
                              <a:spLocks noChangeArrowheads="1"/>
                            </wps:cNvSpPr>
                            <wps:spPr bwMode="auto">
                              <a:xfrm>
                                <a:off x="0" y="0"/>
                                <a:ext cx="875665" cy="285115"/>
                              </a:xfrm>
                              <a:prstGeom prst="wedgeRectCallout">
                                <a:avLst>
                                  <a:gd name="adj1" fmla="val -59495"/>
                                  <a:gd name="adj2" fmla="val 152449"/>
                                </a:avLst>
                              </a:prstGeom>
                              <a:solidFill>
                                <a:srgbClr val="FFFFFF"/>
                              </a:solidFill>
                              <a:ln w="9525" cmpd="sng">
                                <a:solidFill>
                                  <a:srgbClr val="C00000"/>
                                </a:solidFill>
                                <a:miter lim="800000"/>
                              </a:ln>
                            </wps:spPr>
                            <wps:txbx>
                              <w:txbxContent>
                                <w:p>
                                  <w:pPr>
                                    <w:spacing w:line="240" w:lineRule="auto"/>
                                    <w:ind w:firstLine="0" w:firstLineChars="0"/>
                                    <w:rPr>
                                      <w:rFonts w:ascii="宋体" w:hAnsi="宋体" w:cs="宋体"/>
                                      <w:b/>
                                      <w:bCs/>
                                      <w:color w:val="000000"/>
                                      <w:sz w:val="21"/>
                                      <w:szCs w:val="21"/>
                                    </w:rPr>
                                  </w:pPr>
                                  <w:r>
                                    <w:rPr>
                                      <w:rFonts w:hint="eastAsia" w:ascii="宋体" w:hAnsi="宋体" w:cs="宋体"/>
                                      <w:b/>
                                      <w:bCs/>
                                      <w:color w:val="000000"/>
                                      <w:sz w:val="21"/>
                                      <w:szCs w:val="21"/>
                                    </w:rPr>
                                    <w:t>本项目位置</w:t>
                                  </w:r>
                                </w:p>
                              </w:txbxContent>
                            </wps:txbx>
                            <wps:bodyPr rot="0" vert="horz" wrap="square" lIns="91440" tIns="45720" rIns="91440" bIns="45720" anchor="t" anchorCtr="0" upright="1">
                              <a:noAutofit/>
                            </wps:bodyPr>
                          </wps:wsp>
                        </a:graphicData>
                      </a:graphic>
                    </wp:anchor>
                  </w:drawing>
                </mc:Choice>
                <mc:Fallback>
                  <w:pict>
                    <v:shape id="自选图形 730" o:spid="_x0000_s1026" o:spt="61" type="#_x0000_t61" style="position:absolute;left:0pt;margin-left:235.15pt;margin-top:108.75pt;height:22.45pt;width:68.95pt;z-index:251703296;mso-width-relative:page;mso-height-relative:page;" fillcolor="#FFFFFF" filled="t" stroked="t" coordsize="21600,21600" o:gfxdata="UEsDBAoAAAAAAIdO4kAAAAAAAAAAAAAAAAAEAAAAZHJzL1BLAwQUAAAACACHTuJAkYlso9kAAAAL&#10;AQAADwAAAGRycy9kb3ducmV2LnhtbE2PTU+EMBCG7yb+h2ZMvBi3hUUWkbIHEy+iB1cTrwOtQKRT&#10;Qrsf+usdT3qcmSfvPG+1PblJHOwSRk8akpUCYanzZqRew9vrw3UBIkQkg5Mnq+HLBtjW52cVlsYf&#10;6cUedrEXHEKhRA1DjHMpZegG6zCs/GyJbx9+cRh5XHppFjxyuJtkqlQuHY7EHwac7f1gu8/d3mn4&#10;fn5q2kzehqvmUUZs+vdirUjry4tE3YGI9hT/YPjVZ3Wo2an1ezJBTBqyjVozqiFNNjcgmMhVkYJo&#10;eZOnGci6kv871D9QSwMEFAAAAAgAh07iQEKXHFV5AgAA7QQAAA4AAABkcnMvZTJvRG9jLnhtbK1U&#10;zW7UMBC+I/EOlu9tNiFpd6Nmq2qrIqQCFYUH8NpOYvAftnez5cQN8QzcOPIO8DaV4C2YOGlJC4ce&#10;yCGayYy/mW++jI+Od0qiLXdeGF3hdH+GEdfUMKGbCr95fbY3x8gHohmRRvMKX3GPj5ePHx11tuSZ&#10;aY1k3CEA0b7sbIXbEGyZJJ62XBG/byzXEKyNUySA65qEOdIBupJJNpsdJJ1xzDpDuffw9XQI4hHR&#10;PQTQ1LWg/NTQjeI6DKiOSxKAkm+F9XgZu61rTsPLuvY8IFlhYBriG4qAve7fyfKIlI0jthV0bIE8&#10;pIV7nBQRGoreQp2SQNDGib+glKDOeFOHfWpUMhCJEwEW6ezebC5bYnnkAqP29nbo/v/B0hfbC4cE&#10;q3Ce5xhpokDyn5++/fr4+frLj+vvX9HhkzilzvoSki/thet5entu6DuPtFm1RDf8xDnTtZww6C3t&#10;p5rcOdA7Ho6idffcMChBNsHEge1qp3pAGAXaRV2ubnXhu4AofJwfFgcHBUYUQtm8SNMiViDlzWHr&#10;fHjKjUK9UeGOs4a/Au1XREqzCbEQ2Z77ECViI03C3qYY1UqC4lsi0V6xyBcRGnScJGXTpLTI8nwx&#10;1h8xE1LedBBnY6RgZ0LK6LhmvZIOQYEKn8VnPOynaVKjrsKLIutpKgt6eN3Evu+k+SnaatY//0JT&#10;IsCOSqFgdtMkqUdhei36HfFl2K13IFdvrg27AomcGbYE7ggwWuM+YNTBhkBL7zfEcYzkMw0yL9I8&#10;71cqOnlxmIHjppH1NEI0BagKB4wGcxWGNdxYJ5oWKqWRrjYn8GvUItz8Q0NXY9+wBWDdWbOpH7P+&#10;3FL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GJbKPZAAAACwEAAA8AAAAAAAAAAQAgAAAAIgAA&#10;AGRycy9kb3ducmV2LnhtbFBLAQIUABQAAAAIAIdO4kBClxxVeQIAAO0EAAAOAAAAAAAAAAEAIAAA&#10;ACgBAABkcnMvZTJvRG9jLnhtbFBLBQYAAAAABgAGAFkBAAATBgAAAAA=&#10;" adj="-2051,43729">
                      <v:fill on="t" focussize="0,0"/>
                      <v:stroke color="#C00000" miterlimit="8" joinstyle="miter"/>
                      <v:imagedata o:title=""/>
                      <o:lock v:ext="edit" aspectratio="f"/>
                      <v:textbox>
                        <w:txbxContent>
                          <w:p>
                            <w:pPr>
                              <w:spacing w:line="240" w:lineRule="auto"/>
                              <w:ind w:firstLine="0" w:firstLineChars="0"/>
                              <w:rPr>
                                <w:rFonts w:ascii="宋体" w:hAnsi="宋体" w:cs="宋体"/>
                                <w:b/>
                                <w:bCs/>
                                <w:color w:val="000000"/>
                                <w:sz w:val="21"/>
                                <w:szCs w:val="21"/>
                              </w:rPr>
                            </w:pPr>
                            <w:r>
                              <w:rPr>
                                <w:rFonts w:hint="eastAsia" w:ascii="宋体" w:hAnsi="宋体" w:cs="宋体"/>
                                <w:b/>
                                <w:bCs/>
                                <w:color w:val="000000"/>
                                <w:sz w:val="21"/>
                                <w:szCs w:val="21"/>
                              </w:rPr>
                              <w:t>本项目位置</w:t>
                            </w:r>
                          </w:p>
                        </w:txbxContent>
                      </v:textbox>
                    </v:shape>
                  </w:pict>
                </mc:Fallback>
              </mc:AlternateContent>
            </w:r>
            <w:r>
              <w:drawing>
                <wp:inline distT="0" distB="0" distL="0" distR="0">
                  <wp:extent cx="5539740" cy="4072255"/>
                  <wp:effectExtent l="0" t="0" r="3810" b="4445"/>
                  <wp:docPr id="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539740" cy="4072255"/>
                          </a:xfrm>
                          <a:prstGeom prst="rect">
                            <a:avLst/>
                          </a:prstGeom>
                          <a:noFill/>
                          <a:ln>
                            <a:noFill/>
                          </a:ln>
                        </pic:spPr>
                      </pic:pic>
                    </a:graphicData>
                  </a:graphic>
                </wp:inline>
              </w:drawing>
            </w:r>
            <w:r>
              <mc:AlternateContent>
                <mc:Choice Requires="wps">
                  <w:drawing>
                    <wp:anchor distT="0" distB="0" distL="114300" distR="114300" simplePos="0" relativeHeight="251787264" behindDoc="0" locked="0" layoutInCell="1" allowOverlap="1">
                      <wp:simplePos x="0" y="0"/>
                      <wp:positionH relativeFrom="column">
                        <wp:posOffset>574675</wp:posOffset>
                      </wp:positionH>
                      <wp:positionV relativeFrom="paragraph">
                        <wp:posOffset>3215005</wp:posOffset>
                      </wp:positionV>
                      <wp:extent cx="1141730" cy="257175"/>
                      <wp:effectExtent l="0" t="0" r="0" b="0"/>
                      <wp:wrapNone/>
                      <wp:docPr id="68" name="文本框 734"/>
                      <wp:cNvGraphicFramePr/>
                      <a:graphic xmlns:a="http://schemas.openxmlformats.org/drawingml/2006/main">
                        <a:graphicData uri="http://schemas.microsoft.com/office/word/2010/wordprocessingShape">
                          <wps:wsp>
                            <wps:cNvSpPr txBox="1">
                              <a:spLocks noChangeArrowheads="1"/>
                            </wps:cNvSpPr>
                            <wps:spPr bwMode="auto">
                              <a:xfrm>
                                <a:off x="0" y="0"/>
                                <a:ext cx="1141730" cy="257175"/>
                              </a:xfrm>
                              <a:prstGeom prst="rect">
                                <a:avLst/>
                              </a:prstGeom>
                              <a:noFill/>
                              <a:ln>
                                <a:noFill/>
                              </a:ln>
                            </wps:spPr>
                            <wps:txbx>
                              <w:txbxContent>
                                <w:p>
                                  <w:pPr>
                                    <w:spacing w:line="240" w:lineRule="auto"/>
                                    <w:ind w:firstLine="0" w:firstLineChars="0"/>
                                    <w:rPr>
                                      <w:b/>
                                      <w:bCs/>
                                      <w:color w:val="000000"/>
                                      <w:sz w:val="21"/>
                                      <w:szCs w:val="21"/>
                                    </w:rPr>
                                  </w:pPr>
                                  <w:r>
                                    <w:rPr>
                                      <w:rFonts w:hint="eastAsia"/>
                                      <w:b/>
                                      <w:bCs/>
                                      <w:color w:val="000000"/>
                                      <w:sz w:val="21"/>
                                      <w:szCs w:val="21"/>
                                    </w:rPr>
                                    <w:t>地表水监测点位</w:t>
                                  </w:r>
                                </w:p>
                              </w:txbxContent>
                            </wps:txbx>
                            <wps:bodyPr rot="0" vert="horz" wrap="square" lIns="91440" tIns="45720" rIns="91440" bIns="45720" anchor="t" anchorCtr="0" upright="1">
                              <a:noAutofit/>
                            </wps:bodyPr>
                          </wps:wsp>
                        </a:graphicData>
                      </a:graphic>
                    </wp:anchor>
                  </w:drawing>
                </mc:Choice>
                <mc:Fallback>
                  <w:pict>
                    <v:shape id="文本框 734" o:spid="_x0000_s1026" o:spt="202" type="#_x0000_t202" style="position:absolute;left:0pt;margin-left:45.25pt;margin-top:253.15pt;height:20.25pt;width:89.9pt;z-index:251787264;mso-width-relative:page;mso-height-relative:page;" filled="f" stroked="f" coordsize="21600,21600" o:gfxdata="UEsDBAoAAAAAAIdO4kAAAAAAAAAAAAAAAAAEAAAAZHJzL1BLAwQUAAAACACHTuJA4SBNmNcAAAAK&#10;AQAADwAAAGRycy9kb3ducmV2LnhtbE2PTU/CQBCG7yb+h82YeJNdkFao3XLQeJUISMJt6Q5tY3e2&#10;6S60/nuHk9zm48k7z+Sr0bXign1oPGmYThQIpNLbhioNu+3H0wJEiIasaT2hhl8MsCru73KTWT/Q&#10;F142sRIcQiEzGuoYu0zKUNboTJj4Dol3J987E7ntK2l7M3C4a+VMqVQ60xBfqE2HbzWWP5uz0/D9&#10;eTrs52pdvbukG/yoJLml1PrxYapeQUQc4z8MV31Wh4Kdjv5MNohWw1IlTGpIVPoMgoHZi+LiyJN5&#10;ugBZ5PL2heIPUEsDBBQAAAAIAIdO4kAFAdDWGQIAABgEAAAOAAAAZHJzL2Uyb0RvYy54bWytU81u&#10;EzEQviPxDpbvZLNp0sAqm6o0KkIqP1LhARyvN2ux9pixk93yAPAGnLhw57nyHIy9aQjl0gMXy/aM&#10;v/m+b8aLi960bKfQa7Alz0djzpSVUGm7KfnHD9fPnnPmg7CVaMGqkt8pzy+WT58sOleoCTTQVgoZ&#10;gVhfdK7kTQiuyDIvG2WEH4FTloI1oBGBjrjJKhQdoZs2m4zH51kHWDkEqbyn29UQ5AdEfAwg1LWW&#10;agVya5QNAyqqVgSS5BvtPF8mtnWtZHhX114F1paclIa0UhHar+OaLRei2KBwjZYHCuIxFB5oMkJb&#10;KnqEWokg2Bb1P1BGSwQPdRhJMNkgJDlCKvLxA29uG+FU0kJWe3c03f8/WPl29x6Zrkp+Tn23wlDH&#10;99+/7X/82v/8yuZn0+hQ53xBibeOUkP/Enqam6TWuxuQnzyzcNUIu1GXiNA1SlTEMI8vs5OnA46P&#10;IOvuDVRUSWwDJKC+RhPtI0MYoVN37o7dUX1gMpbMp/n8jEKSYpPZPJ/PUglR3L926MMrBYbFTcmR&#10;up/Qxe7Gh8hGFPcpsZiFa922aQJa+9cFJcabxD4SHqiHft0f3FhDdUc6EIaBou9EmwbwC2cdDVPJ&#10;/eetQMVZ+9qSFy/y6TROXzpMZ/MJHfA0sj6NCCsJquSBs2F7FYaJ3TrUm4YqDe5buCT/ap2kRaMH&#10;VgfeNDBJ8WG440SenlPWnw+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hIE2Y1wAAAAoBAAAP&#10;AAAAAAAAAAEAIAAAACIAAABkcnMvZG93bnJldi54bWxQSwECFAAUAAAACACHTuJABQHQ1hkCAAAY&#10;BAAADgAAAAAAAAABACAAAAAmAQAAZHJzL2Uyb0RvYy54bWxQSwUGAAAAAAYABgBZAQAAsQUAAAAA&#10;">
                      <v:fill on="f" focussize="0,0"/>
                      <v:stroke on="f"/>
                      <v:imagedata o:title=""/>
                      <o:lock v:ext="edit" aspectratio="f"/>
                      <v:textbox>
                        <w:txbxContent>
                          <w:p>
                            <w:pPr>
                              <w:spacing w:line="240" w:lineRule="auto"/>
                              <w:ind w:firstLine="0" w:firstLineChars="0"/>
                              <w:rPr>
                                <w:b/>
                                <w:bCs/>
                                <w:color w:val="000000"/>
                                <w:sz w:val="21"/>
                                <w:szCs w:val="21"/>
                              </w:rPr>
                            </w:pPr>
                            <w:r>
                              <w:rPr>
                                <w:rFonts w:hint="eastAsia"/>
                                <w:b/>
                                <w:bCs/>
                                <w:color w:val="000000"/>
                                <w:sz w:val="21"/>
                                <w:szCs w:val="21"/>
                              </w:rPr>
                              <w:t>地表水监测点位</w:t>
                            </w:r>
                          </w:p>
                        </w:txbxContent>
                      </v:textbox>
                    </v:shape>
                  </w:pict>
                </mc:Fallback>
              </mc:AlternateContent>
            </w:r>
            <w:r>
              <mc:AlternateContent>
                <mc:Choice Requires="wps">
                  <w:drawing>
                    <wp:anchor distT="0" distB="0" distL="114300" distR="114300" simplePos="0" relativeHeight="251710464" behindDoc="0" locked="0" layoutInCell="1" allowOverlap="1">
                      <wp:simplePos x="0" y="0"/>
                      <wp:positionH relativeFrom="column">
                        <wp:posOffset>555625</wp:posOffset>
                      </wp:positionH>
                      <wp:positionV relativeFrom="paragraph">
                        <wp:posOffset>3481705</wp:posOffset>
                      </wp:positionV>
                      <wp:extent cx="1141730" cy="257175"/>
                      <wp:effectExtent l="3175" t="0" r="0" b="4445"/>
                      <wp:wrapNone/>
                      <wp:docPr id="441" name="文本框 734"/>
                      <wp:cNvGraphicFramePr/>
                      <a:graphic xmlns:a="http://schemas.openxmlformats.org/drawingml/2006/main">
                        <a:graphicData uri="http://schemas.microsoft.com/office/word/2010/wordprocessingShape">
                          <wps:wsp>
                            <wps:cNvSpPr txBox="1">
                              <a:spLocks noChangeArrowheads="1"/>
                            </wps:cNvSpPr>
                            <wps:spPr bwMode="auto">
                              <a:xfrm>
                                <a:off x="0" y="0"/>
                                <a:ext cx="1141730" cy="257175"/>
                              </a:xfrm>
                              <a:prstGeom prst="rect">
                                <a:avLst/>
                              </a:prstGeom>
                              <a:noFill/>
                              <a:ln>
                                <a:noFill/>
                              </a:ln>
                            </wps:spPr>
                            <wps:txbx>
                              <w:txbxContent>
                                <w:p>
                                  <w:pPr>
                                    <w:spacing w:line="240" w:lineRule="auto"/>
                                    <w:ind w:firstLine="0" w:firstLineChars="0"/>
                                    <w:rPr>
                                      <w:b/>
                                      <w:bCs/>
                                      <w:color w:val="000000"/>
                                      <w:sz w:val="21"/>
                                      <w:szCs w:val="21"/>
                                    </w:rPr>
                                  </w:pPr>
                                  <w:r>
                                    <w:rPr>
                                      <w:rFonts w:hint="eastAsia"/>
                                      <w:b/>
                                      <w:bCs/>
                                      <w:color w:val="000000"/>
                                      <w:sz w:val="21"/>
                                      <w:szCs w:val="21"/>
                                    </w:rPr>
                                    <w:t>土壤监测点位</w:t>
                                  </w:r>
                                </w:p>
                              </w:txbxContent>
                            </wps:txbx>
                            <wps:bodyPr rot="0" vert="horz" wrap="square" lIns="91440" tIns="45720" rIns="91440" bIns="45720" anchor="t" anchorCtr="0" upright="1">
                              <a:noAutofit/>
                            </wps:bodyPr>
                          </wps:wsp>
                        </a:graphicData>
                      </a:graphic>
                    </wp:anchor>
                  </w:drawing>
                </mc:Choice>
                <mc:Fallback>
                  <w:pict>
                    <v:shape id="文本框 734" o:spid="_x0000_s1026" o:spt="202" type="#_x0000_t202" style="position:absolute;left:0pt;margin-left:43.75pt;margin-top:274.15pt;height:20.25pt;width:89.9pt;z-index:251710464;mso-width-relative:page;mso-height-relative:page;" filled="f" stroked="f" coordsize="21600,21600" o:gfxdata="UEsDBAoAAAAAAIdO4kAAAAAAAAAAAAAAAAAEAAAAZHJzL1BLAwQUAAAACACHTuJA5YTzTdcAAAAK&#10;AQAADwAAAGRycy9kb3ducmV2LnhtbE2Py07DMBBF90j8gzVI7Kjd0rRuiNMFiC2I8pC6c+NpEhGP&#10;o9htwt8zrOhuHkd3zhTbyXfijENsAxmYzxQIpCq4lmoDH+/PdxpETJac7QKhgR+MsC2vrwqbuzDS&#10;G553qRYcQjG3BpqU+lzKWDXobZyFHol3xzB4m7gdaukGO3K47+RCqZX0tiW+0NgeHxusvncnb+Dz&#10;5bj/WqrX+sln/RgmJclvpDG3N3P1ACLhlP5h+NNndSjZ6RBO5KLoDOh1xqSBbKnvQTCwWK25OPBE&#10;aw2yLOTlC+UvUEsDBBQAAAAIAIdO4kDTO0bwGQIAABkEAAAOAAAAZHJzL2Uyb0RvYy54bWytU0GO&#10;0zAU3SNxB8t7mqaT0iFqOhqmGoQ0MEgDB3Adp7FI/M2326QcgLkBKzbsOVfPwbfTKWXYzIJNZPt/&#10;v//e88v8om8btlXoNJiCp6MxZ8pIKLVZF/zTx+sX55w5L0wpGjCq4Dvl+MXi+bN5Z3M1gRqaUiEj&#10;EOPyzha89t7mSeJkrVrhRmCVoWIF2ApPW1wnJYqO0NsmmYzHL5MOsLQIUjlHp8uhyA+I+BRAqCot&#10;1RLkplXGD6ioGuFJkqu1dXwR2VaVkv62qpzyrCk4KfXxS0NovQrfZDEX+RqFrbU8UBBPofBIUyu0&#10;oaFHqKXwgm1Q/wPVaongoPIjCW0yCImOkIp0/Mibu1pYFbWQ1c4eTXf/D1a+335ApsuCZ1nKmREt&#10;Pfn++/3+x6/9z29sdpYFizrrcuq8s9Tr+9fQU3CiXGdvQH52zMBVLcxaXSJCVytREsU03ExOrg44&#10;LoCsundQ0iSx8RCB+grb4B85wgidnmd3fB7VeybDyDRLZ2dUklSbTGfpbBpHiPzhtkXn3yhoWVgU&#10;HOn5I7rY3jgf2Ij8oSUMM3CtmyZGoDF/HVBjOInsA+GBuu9X/cGNFZQ70oEwJIr+J1rUgF856yhN&#10;BXdfNgIVZ81bQ168SrMsxC9usulsQhs8raxOK8JIgiq452xYXvkhshuLel3TpMF9A5fkX6WjtGD0&#10;wOrAmxITFR/SHSJ5uo9df/7ox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lhPNN1wAAAAoBAAAP&#10;AAAAAAAAAAEAIAAAACIAAABkcnMvZG93bnJldi54bWxQSwECFAAUAAAACACHTuJA0ztG8BkCAAAZ&#10;BAAADgAAAAAAAAABACAAAAAmAQAAZHJzL2Uyb0RvYy54bWxQSwUGAAAAAAYABgBZAQAAsQUAAAAA&#10;">
                      <v:fill on="f" focussize="0,0"/>
                      <v:stroke on="f"/>
                      <v:imagedata o:title=""/>
                      <o:lock v:ext="edit" aspectratio="f"/>
                      <v:textbox>
                        <w:txbxContent>
                          <w:p>
                            <w:pPr>
                              <w:spacing w:line="240" w:lineRule="auto"/>
                              <w:ind w:firstLine="0" w:firstLineChars="0"/>
                              <w:rPr>
                                <w:b/>
                                <w:bCs/>
                                <w:color w:val="000000"/>
                                <w:sz w:val="21"/>
                                <w:szCs w:val="21"/>
                              </w:rPr>
                            </w:pPr>
                            <w:r>
                              <w:rPr>
                                <w:rFonts w:hint="eastAsia"/>
                                <w:b/>
                                <w:bCs/>
                                <w:color w:val="000000"/>
                                <w:sz w:val="21"/>
                                <w:szCs w:val="21"/>
                              </w:rPr>
                              <w:t>土壤监测点位</w:t>
                            </w:r>
                          </w:p>
                        </w:txbxContent>
                      </v:textbox>
                    </v:shape>
                  </w:pict>
                </mc:Fallback>
              </mc:AlternateContent>
            </w:r>
            <w:r>
              <mc:AlternateContent>
                <mc:Choice Requires="wps">
                  <w:drawing>
                    <wp:anchor distT="0" distB="0" distL="114300" distR="114300" simplePos="0" relativeHeight="251786240" behindDoc="0" locked="0" layoutInCell="1" allowOverlap="1">
                      <wp:simplePos x="0" y="0"/>
                      <wp:positionH relativeFrom="column">
                        <wp:posOffset>392430</wp:posOffset>
                      </wp:positionH>
                      <wp:positionV relativeFrom="paragraph">
                        <wp:posOffset>3236595</wp:posOffset>
                      </wp:positionV>
                      <wp:extent cx="152400" cy="161925"/>
                      <wp:effectExtent l="12700" t="0" r="25400" b="15875"/>
                      <wp:wrapNone/>
                      <wp:docPr id="67" name="矩形 67"/>
                      <wp:cNvGraphicFramePr/>
                      <a:graphic xmlns:a="http://schemas.openxmlformats.org/drawingml/2006/main">
                        <a:graphicData uri="http://schemas.microsoft.com/office/word/2010/wordprocessingShape">
                          <wps:wsp>
                            <wps:cNvSpPr/>
                            <wps:spPr>
                              <a:xfrm>
                                <a:off x="0" y="0"/>
                                <a:ext cx="152400" cy="161925"/>
                              </a:xfrm>
                              <a:prstGeom prst="rect">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48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9pt;margin-top:254.85pt;height:12.75pt;width:12pt;z-index:251786240;v-text-anchor:middle;mso-width-relative:page;mso-height-relative:page;" fillcolor="#92D050" filled="t" stroked="t" coordsize="21600,21600" o:gfxdata="UEsDBAoAAAAAAIdO4kAAAAAAAAAAAAAAAAAEAAAAZHJzL1BLAwQUAAAACACHTuJAWC9/yNcAAAAJ&#10;AQAADwAAAGRycy9kb3ducmV2LnhtbE2Py07DMBBF90j8gzVIbBC1E0gfIU6FkJBoxYYCezcekoh4&#10;HNnuI3/PsILlfejOmWp9doM4Yoi9Jw3ZTIFAarztqdXw8f58uwQRkyFrBk+oYcII6/ryojKl9Sd6&#10;w+MutYJHKJZGQ5fSWEoZmw6diTM/InH25YMziWVopQ3mxONukLlSc+lMT3yhMyM+ddh87w5OQ/ty&#10;s1Gvm/vH1efUNQuZ99sQJq2vrzL1ACLhOf2V4Ref0aFmpr0/kI1i0DDPmDxpKNRqAYILy4KNPRt3&#10;RQ6yruT/D+ofUEsDBBQAAAAIAIdO4kBBK4urbAIAAOkEAAAOAAAAZHJzL2Uyb0RvYy54bWytVM1u&#10;EzEQviPxDpbvdH+UtDTqpgqNipAqWikgzo7XzlryH2Mnm/IySNx4CB4H8RqMvds2LSD1wMU745n9&#10;ZuabGZ+d740mOwFBOdvQ6qikRFjuWmU3Df344fLVa0pCZLZl2lnR0FsR6Pn85Yuz3s9E7TqnWwEE&#10;QWyY9b6hXYx+VhSBd8KwcOS8sGiUDgyLqMKmaIH1iG50UZflcdE7aD04LkLA2+VgpCMiPAfQSam4&#10;WDq+NcLGARWEZhFLCp3ygc5ztlIKHq+lDCIS3VCsNOYTg6C8TmcxP2OzDTDfKT6mwJ6TwpOaDFMW&#10;g95DLVlkZAvqDyijOLjgZDzizhRDIZkRrKIqn3Cz6pgXuRakOvh70sP/g+XvdzdAVNvQ4xNKLDPY&#10;8V9fv//88Y3gBbLT+zBDp5W/gVELKKZS9xJM+mIRZJ8Zvb1nVOwj4XhZTetJiVxzNFXH1Wk9TZjF&#10;w88eQnwrnCFJaChgwzKPbHcV4uB655JiBadVe6m0zgps1hcayI5hc0/rZTnN/UT0R27akr6h9XRI&#10;hOHIShwVzMl4LDvYDSVMb3AXeIQc+9Hf4TBIWb75R5CU5JKFbkgmI4yVaosFJxYH3pIU9+v9SOba&#10;tbfYAHDDZAbPLxVCXbEQbxjgKCJ5uKzxGg+pHRbiRomSzsGXv90nf5wQtFLS42hjkZ+3DAQl+p3F&#10;2TmtJpO0C1mZTE9qVODQsj602K25cEhwhc+C51lM/lHfiRKc+YQ7vUhR0cQsx9gDnaNyEYeVw1eB&#10;i8Uiu+H8exav7MrzBJ4aat1iG51UufGJqIGdkT/cgDw647amFTvUs9fDCzX/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Fgvf8jXAAAACQEAAA8AAAAAAAAAAQAgAAAAIgAAAGRycy9kb3ducmV2Lnht&#10;bFBLAQIUABQAAAAIAIdO4kBBK4urbAIAAOkEAAAOAAAAAAAAAAEAIAAAACYBAABkcnMvZTJvRG9j&#10;LnhtbFBLBQYAAAAABgAGAFkBAAAEBgAAAAA=&#10;">
                      <v:fill on="t" focussize="0,0"/>
                      <v:stroke weight="2pt" color="#00B050 [3204]" joinstyle="round"/>
                      <v:imagedata o:title=""/>
                      <o:lock v:ext="edit" aspectratio="f"/>
                      <v:textbox>
                        <w:txbxContent>
                          <w:p>
                            <w:pPr>
                              <w:ind w:firstLine="480"/>
                              <w:jc w:val="center"/>
                            </w:pPr>
                          </w:p>
                        </w:txbxContent>
                      </v:textbox>
                    </v:rect>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245745</wp:posOffset>
                      </wp:positionH>
                      <wp:positionV relativeFrom="paragraph">
                        <wp:posOffset>3138805</wp:posOffset>
                      </wp:positionV>
                      <wp:extent cx="1536065" cy="871220"/>
                      <wp:effectExtent l="0" t="0" r="6985" b="5080"/>
                      <wp:wrapNone/>
                      <wp:docPr id="438" name="矩形 736"/>
                      <wp:cNvGraphicFramePr/>
                      <a:graphic xmlns:a="http://schemas.openxmlformats.org/drawingml/2006/main">
                        <a:graphicData uri="http://schemas.microsoft.com/office/word/2010/wordprocessingShape">
                          <wps:wsp>
                            <wps:cNvSpPr>
                              <a:spLocks noChangeArrowheads="1"/>
                            </wps:cNvSpPr>
                            <wps:spPr bwMode="auto">
                              <a:xfrm>
                                <a:off x="0" y="0"/>
                                <a:ext cx="1536065" cy="871220"/>
                              </a:xfrm>
                              <a:prstGeom prst="rect">
                                <a:avLst/>
                              </a:prstGeom>
                              <a:solidFill>
                                <a:srgbClr val="FFFFFF"/>
                              </a:solidFill>
                              <a:ln>
                                <a:noFill/>
                              </a:ln>
                            </wps:spPr>
                            <wps:txbx>
                              <w:txbxContent>
                                <w:p>
                                  <w:pPr>
                                    <w:ind w:firstLine="480"/>
                                  </w:pPr>
                                </w:p>
                              </w:txbxContent>
                            </wps:txbx>
                            <wps:bodyPr rot="0" vert="horz" wrap="square" lIns="91440" tIns="45720" rIns="91440" bIns="45720" anchor="t" anchorCtr="0" upright="1">
                              <a:noAutofit/>
                            </wps:bodyPr>
                          </wps:wsp>
                        </a:graphicData>
                      </a:graphic>
                    </wp:anchor>
                  </w:drawing>
                </mc:Choice>
                <mc:Fallback>
                  <w:pict>
                    <v:rect id="矩形 736" o:spid="_x0000_s1026" o:spt="1" style="position:absolute;left:0pt;margin-left:19.35pt;margin-top:247.15pt;height:68.6pt;width:120.95pt;z-index:251701248;mso-width-relative:page;mso-height-relative:page;" fillcolor="#FFFFFF" filled="t" stroked="f" coordsize="21600,21600" o:gfxdata="UEsDBAoAAAAAAIdO4kAAAAAAAAAAAAAAAAAEAAAAZHJzL1BLAwQUAAAACACHTuJADWseKtkAAAAK&#10;AQAADwAAAGRycy9kb3ducmV2LnhtbE2PMU/DMBCFdyT+g3WV2KidJjVpyKUDUidgoEVivcZuEjW2&#10;Q+y04d9jJjqe3qf3viu3s+nZRY++cxYhWQpg2tZOdbZB+DzsHnNgPpBV1DurEX60h211f1dSodzV&#10;fujLPjQsllhfEEIbwlBw7utWG/JLN2gbs5MbDYV4jg1XI11juen5SgjJDXU2LrQ06JdW1+f9ZBBI&#10;Zur7/ZS+HV4nSZtmFrv1l0B8WCTiGVjQc/iH4U8/qkMVnY5ussqzHiHNnyKJkG2yFFgEVrmQwI4I&#10;Mk3WwKuS375Q/QJQSwMEFAAAAAgAh07iQOdgq+EmAgAANQQAAA4AAABkcnMvZTJvRG9jLnhtbK1T&#10;zY7TMBC+I/EOlu80TX+XqOlq1aoIaYGVFh7AcZzGIvGYsdu0vAwSt30IHgfxGoydbinLZQ/kEM14&#10;Zj7P9814cX1oG7ZX6DSYnKeDIWfKSCi12eb808fNqyvOnBemFA0YlfOjcvx6+fLForOZGkENTamQ&#10;EYhxWWdzXntvsyRxslatcAOwylCwAmyFJxe3SYmiI/S2SUbD4SzpAEuLIJVzdLrug/yEiM8BhKrS&#10;Uq1B7lplfI+KqhGeKLlaW8eXsduqUtJ/qCqnPGtyTkx9/NMlZBfhnywXItuisLWWpxbEc1p4wqkV&#10;2tClZ6i18ILtUP8D1WqJ4KDyAwlt0hOJihCLdPhEm/taWBW5kNTOnkV3/w9Wvt/fIdNlzidjGrwR&#10;LY3817eHnz++s/l4FvTprMso7d7eYWDo7C3Iz44ZWNXCbNUNInS1EiV1lYb85K+C4DgqZUX3DkoC&#10;FzsPUapDhW0AJBHYIU7keJ6IOngm6TCdjmfD2ZQzSbGreToaxZElInustuj8GwUtC0bOkSYe0cX+&#10;1vnQjcgeU2L30Ohyo5smOrgtVg2yvaDt2MQvEiCSl2mNCckGQlmPGE4izcCsV8gfisNJrALKIxFG&#10;6LeN3hoZNeBXzjratJy7LzuBirPmrSHRXqeTSVjN6Eymc6LI8DJSXEaEkQSVc89Zb658v847i3pb&#10;001p5G/ghoSudNQgDKHv6tQ3bVOU5rT5YV0v/Zj157Uv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Nax4q2QAAAAoBAAAPAAAAAAAAAAEAIAAAACIAAABkcnMvZG93bnJldi54bWxQSwECFAAUAAAA&#10;CACHTuJA52Cr4SYCAAA1BAAADgAAAAAAAAABACAAAAAoAQAAZHJzL2Uyb0RvYy54bWxQSwUGAAAA&#10;AAYABgBZAQAAwAUAAAAA&#10;">
                      <v:fill on="t" focussize="0,0"/>
                      <v:stroke on="f"/>
                      <v:imagedata o:title=""/>
                      <o:lock v:ext="edit" aspectratio="f"/>
                      <v:textbox>
                        <w:txbxContent>
                          <w:p>
                            <w:pPr>
                              <w:ind w:firstLine="480"/>
                            </w:pPr>
                          </w:p>
                        </w:txbxContent>
                      </v:textbox>
                    </v:rect>
                  </w:pict>
                </mc:Fallback>
              </mc:AlternateContent>
            </w:r>
            <w:r>
              <mc:AlternateContent>
                <mc:Choice Requires="wps">
                  <w:drawing>
                    <wp:anchor distT="0" distB="0" distL="114300" distR="114300" simplePos="0" relativeHeight="251785216" behindDoc="0" locked="0" layoutInCell="1" allowOverlap="1">
                      <wp:simplePos x="0" y="0"/>
                      <wp:positionH relativeFrom="column">
                        <wp:posOffset>1261745</wp:posOffset>
                      </wp:positionH>
                      <wp:positionV relativeFrom="paragraph">
                        <wp:posOffset>1549400</wp:posOffset>
                      </wp:positionV>
                      <wp:extent cx="495300" cy="257175"/>
                      <wp:effectExtent l="0" t="0" r="0" b="0"/>
                      <wp:wrapNone/>
                      <wp:docPr id="66" name="文本框 726"/>
                      <wp:cNvGraphicFramePr/>
                      <a:graphic xmlns:a="http://schemas.openxmlformats.org/drawingml/2006/main">
                        <a:graphicData uri="http://schemas.microsoft.com/office/word/2010/wordprocessingShape">
                          <wps:wsp>
                            <wps:cNvSpPr txBox="1">
                              <a:spLocks noChangeArrowheads="1"/>
                            </wps:cNvSpPr>
                            <wps:spPr bwMode="auto">
                              <a:xfrm>
                                <a:off x="0" y="0"/>
                                <a:ext cx="495300" cy="257175"/>
                              </a:xfrm>
                              <a:prstGeom prst="rect">
                                <a:avLst/>
                              </a:prstGeom>
                              <a:noFill/>
                              <a:ln>
                                <a:noFill/>
                              </a:ln>
                            </wps:spPr>
                            <wps:txbx>
                              <w:txbxContent>
                                <w:p>
                                  <w:pPr>
                                    <w:spacing w:line="240" w:lineRule="auto"/>
                                    <w:ind w:firstLine="0" w:firstLineChars="0"/>
                                    <w:jc w:val="center"/>
                                    <w:rPr>
                                      <w:b/>
                                      <w:bCs/>
                                      <w:color w:val="00B050"/>
                                      <w:sz w:val="21"/>
                                      <w:szCs w:val="21"/>
                                    </w:rPr>
                                  </w:pPr>
                                  <w:r>
                                    <w:rPr>
                                      <w:rFonts w:hint="eastAsia"/>
                                      <w:b/>
                                      <w:bCs/>
                                      <w:color w:val="00B050"/>
                                      <w:sz w:val="21"/>
                                      <w:szCs w:val="21"/>
                                    </w:rPr>
                                    <w:t>335m</w:t>
                                  </w:r>
                                </w:p>
                              </w:txbxContent>
                            </wps:txbx>
                            <wps:bodyPr rot="0" vert="horz" wrap="square" lIns="91440" tIns="45720" rIns="91440" bIns="45720" anchor="t" anchorCtr="0" upright="1">
                              <a:noAutofit/>
                            </wps:bodyPr>
                          </wps:wsp>
                        </a:graphicData>
                      </a:graphic>
                    </wp:anchor>
                  </w:drawing>
                </mc:Choice>
                <mc:Fallback>
                  <w:pict>
                    <v:shape id="文本框 726" o:spid="_x0000_s1026" o:spt="202" type="#_x0000_t202" style="position:absolute;left:0pt;margin-left:99.35pt;margin-top:122pt;height:20.25pt;width:39pt;z-index:251785216;mso-width-relative:page;mso-height-relative:page;" filled="f" stroked="f" coordsize="21600,21600" o:gfxdata="UEsDBAoAAAAAAIdO4kAAAAAAAAAAAAAAAAAEAAAAZHJzL1BLAwQUAAAACACHTuJALubKk9gAAAAL&#10;AQAADwAAAGRycy9kb3ducmV2LnhtbE2PQU/DMAyF70j7D5EncWPJqm7rStMdNnEFsQESt6zx2orG&#10;qZpsLf8ec4Kbn/30/L1iN7lO3HAIrScNy4UCgVR521Kt4e309JCBCNGQNZ0n1PCNAXbl7K4wufUj&#10;veLtGGvBIRRyo6GJsc+lDFWDzoSF75H4dvGDM5HlUEs7mJHDXScTpdbSmZb4Q2N63DdYfR2vTsP7&#10;8+XzI1Uv9cGt+tFPSpLbSq3v50v1CCLiFP/M8IvP6FAy09lfyQbRsd5mG7ZqSNKUS7Ej2ax5c+Yh&#10;S1cgy0L+71D+AFBLAwQUAAAACACHTuJAMjFR/hkCAAAXBAAADgAAAGRycy9lMm9Eb2MueG1srVNL&#10;jhMxEN0jcQfLe9JJyIdppTMaJhqENHykgQM4bnfaou0yZSfd4QBwA1Zs2HOunIOyOxPCsJkFm5bt&#10;Kr967/n14rIzDdsp9BpswUeDIWfKSii13RT844ebZy8480HYUjRgVcH3yvPL5dMni9blagw1NKVC&#10;RiDW560reB2Cy7PMy1oZ4QfglKViBWhEoC1ushJFS+imycbD4SxrAUuHIJX3dLrqi/yIiI8BhKrS&#10;Uq1Abo2yoUdF1YhAknytnefLxLaqlAzvqsqrwJqCk9KQvjSE1uv4zZYLkW9QuFrLIwXxGAoPNBmh&#10;LQ09Qa1EEGyL+h8ooyWChyoMJJisF5IcIRWj4QNv7mrhVNJCVnt3Mt3/P1j5dvcemS4LPptxZoWh&#10;Fz98/3b48evw8yubj2fRodb5nBrvHLWG7iV0lJuk1rtbkJ88s3BdC7tRV4jQ1kqUxHAUb2ZnV3sc&#10;H0HW7RsoaZLYBkhAXYUm2keGMEKn19mfXkd1gUk6nFxMnw+pIqk0ns5H82maIPL7yw59eKXAsLgo&#10;ONLjJ3Cxu/UhkhH5fUucZeFGN00KQGP/OqDGeJLIR74989Ctu6MZayj3JAOhzxP9TbSoAb9w1lKW&#10;Cu4/bwUqzprXlqy4GE0mMXxpM5nOx7TB88r6vCKsJKiCB8765XXoA7t1qDc1TerNt3BF9lU6SYs+&#10;96yOvCkvSfEx2zGQ5/vU9ed/Xv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ubKk9gAAAALAQAA&#10;DwAAAAAAAAABACAAAAAiAAAAZHJzL2Rvd25yZXYueG1sUEsBAhQAFAAAAAgAh07iQDIxUf4ZAgAA&#10;FwQAAA4AAAAAAAAAAQAgAAAAJwEAAGRycy9lMm9Eb2MueG1sUEsFBgAAAAAGAAYAWQEAALIFAAAA&#10;AA==&#10;">
                      <v:fill on="f" focussize="0,0"/>
                      <v:stroke on="f"/>
                      <v:imagedata o:title=""/>
                      <o:lock v:ext="edit" aspectratio="f"/>
                      <v:textbox>
                        <w:txbxContent>
                          <w:p>
                            <w:pPr>
                              <w:spacing w:line="240" w:lineRule="auto"/>
                              <w:ind w:firstLine="0" w:firstLineChars="0"/>
                              <w:jc w:val="center"/>
                              <w:rPr>
                                <w:b/>
                                <w:bCs/>
                                <w:color w:val="00B050"/>
                                <w:sz w:val="21"/>
                                <w:szCs w:val="21"/>
                              </w:rPr>
                            </w:pPr>
                            <w:r>
                              <w:rPr>
                                <w:rFonts w:hint="eastAsia"/>
                                <w:b/>
                                <w:bCs/>
                                <w:color w:val="00B050"/>
                                <w:sz w:val="21"/>
                                <w:szCs w:val="21"/>
                              </w:rPr>
                              <w:t>335m</w:t>
                            </w:r>
                          </w:p>
                        </w:txbxContent>
                      </v:textbox>
                    </v:shape>
                  </w:pict>
                </mc:Fallback>
              </mc:AlternateContent>
            </w:r>
            <w:r>
              <mc:AlternateContent>
                <mc:Choice Requires="wps">
                  <w:drawing>
                    <wp:anchor distT="0" distB="0" distL="114300" distR="114300" simplePos="0" relativeHeight="251784192" behindDoc="0" locked="0" layoutInCell="1" allowOverlap="1">
                      <wp:simplePos x="0" y="0"/>
                      <wp:positionH relativeFrom="column">
                        <wp:posOffset>601980</wp:posOffset>
                      </wp:positionH>
                      <wp:positionV relativeFrom="paragraph">
                        <wp:posOffset>1660525</wp:posOffset>
                      </wp:positionV>
                      <wp:extent cx="2134235" cy="267970"/>
                      <wp:effectExtent l="0" t="31750" r="18415" b="43180"/>
                      <wp:wrapNone/>
                      <wp:docPr id="65" name="直接箭头连接符 65"/>
                      <wp:cNvGraphicFramePr/>
                      <a:graphic xmlns:a="http://schemas.openxmlformats.org/drawingml/2006/main">
                        <a:graphicData uri="http://schemas.microsoft.com/office/word/2010/wordprocessingShape">
                          <wps:wsp>
                            <wps:cNvCnPr/>
                            <wps:spPr>
                              <a:xfrm>
                                <a:off x="1534160" y="2841625"/>
                                <a:ext cx="2134235" cy="267970"/>
                              </a:xfrm>
                              <a:prstGeom prst="straightConnector1">
                                <a:avLst/>
                              </a:prstGeom>
                              <a:ln w="28575">
                                <a:solidFill>
                                  <a:srgbClr val="00B05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7.4pt;margin-top:130.75pt;height:21.1pt;width:168.05pt;z-index:251784192;mso-width-relative:page;mso-height-relative:page;" filled="f" stroked="t" coordsize="21600,21600" o:gfxdata="UEsDBAoAAAAAAIdO4kAAAAAAAAAAAAAAAAAEAAAAZHJzL1BLAwQUAAAACACHTuJAmlGSoNkAAAAK&#10;AQAADwAAAGRycy9kb3ducmV2LnhtbE2Py07DMBRE90j8g3WR2CBqJw6lCbmpqgpEt4SKtWubJMKP&#10;KHab8PeYFSxHM5o5U28Xa8hFT2HwDiFbMSDaSa8G1yEc31/uN0BCFE4J451G+NYBts31VS0q5Wf3&#10;pi9t7EgqcaESCH2MY0VpkL22Iqz8qF3yPv1kRUxy6qiaxJzKraE5Y2tqxeDSQi9Gve+1/GrPFkHK&#10;5fCxKUzZ5q/Lbr7jzzu+PyLe3mTsCUjUS/wLwy9+QocmMZ382alADEJZJPKIkK+zByApUHBWAjkh&#10;cMYfgTY1/X+h+QFQSwMEFAAAAAgAh07iQMBbcdcfAgAAHgQAAA4AAABkcnMvZTJvRG9jLnhtbK1T&#10;zY7TMBC+I/EOlu80abrtLlHTlWhZLggqAQ8wdZzEkv9ke5v2JXgBJE7AaeG0d54Glsdg7HR3Ybn0&#10;wCUZxzPffN83k/n5Tkmy5c4Loys6HuWUcM1MLXRb0XdvL56cUeID6Bqk0byie+7p+eLxo3lvS16Y&#10;zsiaO4Ig2pe9rWgXgi2zzLOOK/AjY7nGy8Y4BQGPrs1qBz2iK5kVeT7LeuNq6wzj3uPX1XBJD4ju&#10;GEDTNILxlWGXiuswoDouIaAk3wnr6SKxbRrOwuum8TwQWVFUGtITm2C8ic9sMYeydWA7wQ4U4BgK&#10;DzQpEBqb3kGtIAC5dOIfKCWYM940YcSMygYhyRFUMc4fePOmA8uTFrTa2zvT/f+DZa+2a0dEXdHZ&#10;lBINCid+8+H65/vPN9++/vh0/ev7xxhffSF4j2b11pdYs9Rrdzh5u3ZR+a5xKr5RE9nhYk0nJ+MZ&#10;2ryvaHGGYZHqoeS7QBgmFOPJSTHBpixmzE6fnqZpZPdI1vnwghtFYlBRHxyItgtLozXO1bhxchy2&#10;L31ALlh4WxBpaHMhpEzjlZr0kcT0NHYD3NkGdwVDZVG31y0lIFv8GVhwCdIbKepYHoG8azdL6cgW&#10;4grlz/LpLc+/0mLvFfhuyEtXw3J1HOrnuiZhb9Hb4AToVnIaKSleUyI5do5R4hpAyGOzUbHUKDzO&#10;ZJhCjDam3qfhpO+4Nsmaw4rHvfzznKrvf+v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pRkqDZ&#10;AAAACgEAAA8AAAAAAAAAAQAgAAAAIgAAAGRycy9kb3ducmV2LnhtbFBLAQIUABQAAAAIAIdO4kDA&#10;W3HXHwIAAB4EAAAOAAAAAAAAAAEAIAAAACgBAABkcnMvZTJvRG9jLnhtbFBLBQYAAAAABgAGAFkB&#10;AAC5BQAAAAA=&#10;">
                      <v:fill on="f" focussize="0,0"/>
                      <v:stroke weight="2.25pt" color="#00B050 [3204]" joinstyle="round" startarrow="block" endarrow="block"/>
                      <v:imagedata o:title=""/>
                      <o:lock v:ext="edit" aspectratio="f"/>
                    </v:shape>
                  </w:pict>
                </mc:Fallback>
              </mc:AlternateContent>
            </w:r>
            <w:r>
              <mc:AlternateContent>
                <mc:Choice Requires="wps">
                  <w:drawing>
                    <wp:anchor distT="0" distB="0" distL="114300" distR="114300" simplePos="0" relativeHeight="251783168" behindDoc="0" locked="0" layoutInCell="1" allowOverlap="1">
                      <wp:simplePos x="0" y="0"/>
                      <wp:positionH relativeFrom="column">
                        <wp:posOffset>449580</wp:posOffset>
                      </wp:positionH>
                      <wp:positionV relativeFrom="paragraph">
                        <wp:posOffset>1579245</wp:posOffset>
                      </wp:positionV>
                      <wp:extent cx="152400" cy="161925"/>
                      <wp:effectExtent l="12700" t="0" r="25400" b="15875"/>
                      <wp:wrapNone/>
                      <wp:docPr id="64" name="矩形 64"/>
                      <wp:cNvGraphicFramePr/>
                      <a:graphic xmlns:a="http://schemas.openxmlformats.org/drawingml/2006/main">
                        <a:graphicData uri="http://schemas.microsoft.com/office/word/2010/wordprocessingShape">
                          <wps:wsp>
                            <wps:cNvSpPr/>
                            <wps:spPr>
                              <a:xfrm>
                                <a:off x="1496060" y="2698750"/>
                                <a:ext cx="152400" cy="161925"/>
                              </a:xfrm>
                              <a:prstGeom prst="rect">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48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4pt;margin-top:124.35pt;height:12.75pt;width:12pt;z-index:251783168;v-text-anchor:middle;mso-width-relative:page;mso-height-relative:page;" fillcolor="#92D050" filled="t" stroked="t" coordsize="21600,21600" o:gfxdata="UEsDBAoAAAAAAIdO4kAAAAAAAAAAAAAAAAAEAAAAZHJzL1BLAwQUAAAACACHTuJAdVphetYAAAAJ&#10;AQAADwAAAGRycy9kb3ducmV2LnhtbE2PTUvEMBCG74L/IYzgRdxkS7G7tekiguCKF1e9Z5uxKTaT&#10;kmQ/+u8dT3p8P3jnmWZz9qM4YkxDIA3LhQKB1AU7UK/h4/3pdgUiZUPWjIFQw4wJNu3lRWNqG070&#10;hsdd7gWPUKqNBpfzVEuZOofepEWYkDj7CtGbzDL20kZz4nE/ykKpO+nNQHzBmQkfHXbfu4PX0D/f&#10;bNXrtnxYf86uq2QxvMQ4a319tVT3IDKe818ZfvEZHVpm2ocD2SRGDZVi8qyhKFcVCC6sSzb2bFRl&#10;AbJt5P8P2h9QSwMEFAAAAAgAh07iQJkx2kh3AgAA9QQAAA4AAABkcnMvZTJvRG9jLnhtbK1US27b&#10;MBDdF+gdCO4byYLtxEbkwI2RokDQBEiLrmmKsgTwV5K2nF6mQHc9RI5T9Bp9pJTESVsgi27oGc34&#10;zbzHGZ6e7ZUkO+F8a3RJR0c5JUJzU7V6U9JPHy/enFDiA9MVk0aLkt4KT88Wr1+ddnYuCtMYWQlH&#10;AKL9vLMlbUKw8yzzvBGK+SNjhUawNk6xANdtssqxDuhKZkWeT7POuMo6w4X3+Lrqg3RAdC8BNHXd&#10;crEyfKuEDj2qE5IFUPJNaz1dpG7rWvBwVddeBCJLCqYhnSgCex3PbHHK5hvHbNPyoQX2khaecVKs&#10;1Sj6ALVigZGta/+AUi13xps6HHGjsp5IUgQsRvkzbW4aZkXiAqm9fRDd/z9Y/mF37UhblXQ6pkQz&#10;hRv/9e3Hz7vvBB+gTmf9HEk39toNnocZqe5rp+IvSJA9Jmk8m+ZT6Hpb0mI6OzmeDOqKfSA8JkyK&#10;cY44R8JoOpoVk4ifPQJZ58M7YRSJRkkdLi9pynaXPvSp9ymxrjeyrS5aKZPjNutz6ciO4aJnxSrv&#10;qwP9SZrUpEN7k74RhvGtMTboSVlI4PWGEiY32AseXKr95N/+sEiev/1HkdjkivmmbyYhDEylBuGo&#10;aK9htMJ+vR+EXZvqFpfhTD+l3vKLFlCXzIdr5jCWEA+LG65w1NKAiBksShrjvv7te8zHtCBKSYcx&#10;B8kvW+YEJfK9xhzNRuMxYENyxpPjAo47jKwPI3qrzg0EHuGJsDyZMT/Ie7N2Rn3Gfi9jVYSY5qjd&#10;yzk456FfP7wQXCyXKQ27YFm41DeWR/B4odost8HUbbr4KFSvzqAftiGNzrC5cd0O/ZT1+Fot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1WmF61gAAAAkBAAAPAAAAAAAAAAEAIAAAACIAAABkcnMv&#10;ZG93bnJldi54bWxQSwECFAAUAAAACACHTuJAmTHaSHcCAAD1BAAADgAAAAAAAAABACAAAAAlAQAA&#10;ZHJzL2Uyb0RvYy54bWxQSwUGAAAAAAYABgBZAQAADgYAAAAA&#10;">
                      <v:fill on="t" focussize="0,0"/>
                      <v:stroke weight="2pt" color="#00B050 [3204]" joinstyle="round"/>
                      <v:imagedata o:title=""/>
                      <o:lock v:ext="edit" aspectratio="f"/>
                      <v:textbox>
                        <w:txbxContent>
                          <w:p>
                            <w:pPr>
                              <w:ind w:firstLine="480"/>
                              <w:jc w:val="center"/>
                            </w:pPr>
                          </w:p>
                        </w:txbxContent>
                      </v:textbox>
                    </v:rect>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2880360</wp:posOffset>
                      </wp:positionH>
                      <wp:positionV relativeFrom="paragraph">
                        <wp:posOffset>1847215</wp:posOffset>
                      </wp:positionV>
                      <wp:extent cx="362585" cy="257175"/>
                      <wp:effectExtent l="3810" t="0" r="0" b="635"/>
                      <wp:wrapNone/>
                      <wp:docPr id="704" name="文本框 728"/>
                      <wp:cNvGraphicFramePr/>
                      <a:graphic xmlns:a="http://schemas.openxmlformats.org/drawingml/2006/main">
                        <a:graphicData uri="http://schemas.microsoft.com/office/word/2010/wordprocessingShape">
                          <wps:wsp>
                            <wps:cNvSpPr txBox="1">
                              <a:spLocks noChangeArrowheads="1"/>
                            </wps:cNvSpPr>
                            <wps:spPr bwMode="auto">
                              <a:xfrm>
                                <a:off x="0" y="0"/>
                                <a:ext cx="362585" cy="257175"/>
                              </a:xfrm>
                              <a:prstGeom prst="rect">
                                <a:avLst/>
                              </a:prstGeom>
                              <a:noFill/>
                              <a:ln>
                                <a:noFill/>
                              </a:ln>
                            </wps:spPr>
                            <wps:txbx>
                              <w:txbxContent>
                                <w:p>
                                  <w:pPr>
                                    <w:spacing w:line="240" w:lineRule="auto"/>
                                    <w:ind w:firstLine="0" w:firstLineChars="0"/>
                                    <w:jc w:val="center"/>
                                    <w:rPr>
                                      <w:b/>
                                      <w:bCs/>
                                      <w:color w:val="FFFF00"/>
                                      <w:sz w:val="21"/>
                                      <w:szCs w:val="21"/>
                                    </w:rPr>
                                  </w:pPr>
                                  <w:r>
                                    <w:rPr>
                                      <w:rFonts w:hint="eastAsia"/>
                                      <w:b/>
                                      <w:bCs/>
                                      <w:color w:val="FFFF00"/>
                                      <w:sz w:val="21"/>
                                      <w:szCs w:val="21"/>
                                    </w:rPr>
                                    <w:t>1#</w:t>
                                  </w:r>
                                </w:p>
                              </w:txbxContent>
                            </wps:txbx>
                            <wps:bodyPr rot="0" vert="horz" wrap="square" lIns="91440" tIns="45720" rIns="91440" bIns="45720" anchor="t" anchorCtr="0" upright="1">
                              <a:noAutofit/>
                            </wps:bodyPr>
                          </wps:wsp>
                        </a:graphicData>
                      </a:graphic>
                    </wp:anchor>
                  </w:drawing>
                </mc:Choice>
                <mc:Fallback>
                  <w:pict>
                    <v:shape id="文本框 728" o:spid="_x0000_s1026" o:spt="202" type="#_x0000_t202" style="position:absolute;left:0pt;margin-left:226.8pt;margin-top:145.45pt;height:20.25pt;width:28.55pt;z-index:251707392;mso-width-relative:page;mso-height-relative:page;" filled="f" stroked="f" coordsize="21600,21600" o:gfxdata="UEsDBAoAAAAAAIdO4kAAAAAAAAAAAAAAAAAEAAAAZHJzL1BLAwQUAAAACACHTuJAlPHpgdkAAAAL&#10;AQAADwAAAGRycy9kb3ducmV2LnhtbE2Py07DMBBF90j8gzVI7KidJikkZNIFiC2I8pDYufE0iYjH&#10;Uew24e8xK7oc3aN7z1TbxQ7iRJPvHSMkKwWCuHGm5xbh/e3p5g6ED5qNHhwTwg952NaXF5UujZv5&#10;lU670IpYwr7UCF0IYymlbzqy2q/cSByzg5usDvGcWmkmPcdyO8i1Uhtpdc9xodMjPXTUfO+OFuHj&#10;+fD1mamX9tHm4+wWJdkWEvH6KlH3IAIt4R+GP/2oDnV02rsjGy8GhCxPNxFFWBeqABGJPFG3IPYI&#10;aZpkIOtKnv9Q/wJQSwMEFAAAAAgAh07iQGQanN4bAgAAGAQAAA4AAABkcnMvZTJvRG9jLnhtbK1T&#10;y47TMBTdI/EPlvc0aWinJWo6GqYahDQ8pIEPcB2nsUh8zbXbpHwA/AErNuz5rn4H106nlGEzCzaR&#10;7Xt97jnHJ4vLvm3YTqHTYAo+HqWcKSOh1GZT8I8fbp7NOXNemFI0YFTB98rxy+XTJ4vO5iqDGppS&#10;ISMQ4/LOFrz23uZJ4mStWuFGYJWhYgXYCk9b3CQlio7Q2ybJ0vQi6QBLiyCVc3S6Gor8iIiPAYSq&#10;0lKtQG5bZfyAiqoRniS5WlvHl5FtVSnp31WVU541BSelPn5pCK3X4ZssFyLfoLC1lkcK4jEUHmhq&#10;hTY09AS1El6wLep/oFotERxUfiShTQYh0RFSMU4feHNXC6uiFrLa2ZPp7v/Byre798h0WfBZOuHM&#10;iJae/PD92+HHr8PPr2yWzYNFnXU5dd5Z6vX9S+gpOFGus7cgPzlm4LoWZqOuEKGrlSiJ4jjcTM6u&#10;DjgugKy7N1DSJLH1EIH6CtvgHznCCJ2eZ396HtV7Junw+UU2nU85k1TKprPxbBoniPz+skXnXylo&#10;WVgUHOn1I7jY3TofyIj8viXMMnCjmyYmoDF/HVBjOInkA9+Bue/X/dGMNZR7koEwBIp+J1rUgF84&#10;6yhMBXeftwIVZ81rQ1a8GE8mIX1xM5nOMtrgeWV9XhFGElTBPWfD8toPid1a1JuaJg3mG7gi+yod&#10;pQWfB1ZH3hSYqPgY7pDI833s+vND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PHpgdkAAAAL&#10;AQAADwAAAAAAAAABACAAAAAiAAAAZHJzL2Rvd25yZXYueG1sUEsBAhQAFAAAAAgAh07iQGQanN4b&#10;AgAAGAQAAA4AAAAAAAAAAQAgAAAAKAEAAGRycy9lMm9Eb2MueG1sUEsFBgAAAAAGAAYAWQEAALUF&#10;AAAAAA==&#10;">
                      <v:fill on="f" focussize="0,0"/>
                      <v:stroke on="f"/>
                      <v:imagedata o:title=""/>
                      <o:lock v:ext="edit" aspectratio="f"/>
                      <v:textbox>
                        <w:txbxContent>
                          <w:p>
                            <w:pPr>
                              <w:spacing w:line="240" w:lineRule="auto"/>
                              <w:ind w:firstLine="0" w:firstLineChars="0"/>
                              <w:jc w:val="center"/>
                              <w:rPr>
                                <w:b/>
                                <w:bCs/>
                                <w:color w:val="FFFF00"/>
                                <w:sz w:val="21"/>
                                <w:szCs w:val="21"/>
                              </w:rPr>
                            </w:pPr>
                            <w:r>
                              <w:rPr>
                                <w:rFonts w:hint="eastAsia"/>
                                <w:b/>
                                <w:bCs/>
                                <w:color w:val="FFFF00"/>
                                <w:sz w:val="21"/>
                                <w:szCs w:val="21"/>
                              </w:rPr>
                              <w:t>1#</w:t>
                            </w:r>
                          </w:p>
                        </w:txbxContent>
                      </v:textbox>
                    </v:shap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4062095</wp:posOffset>
                      </wp:positionH>
                      <wp:positionV relativeFrom="paragraph">
                        <wp:posOffset>2959100</wp:posOffset>
                      </wp:positionV>
                      <wp:extent cx="495300" cy="257175"/>
                      <wp:effectExtent l="4445" t="0" r="0" b="3175"/>
                      <wp:wrapNone/>
                      <wp:docPr id="447" name="文本框 727"/>
                      <wp:cNvGraphicFramePr/>
                      <a:graphic xmlns:a="http://schemas.openxmlformats.org/drawingml/2006/main">
                        <a:graphicData uri="http://schemas.microsoft.com/office/word/2010/wordprocessingShape">
                          <wps:wsp>
                            <wps:cNvSpPr txBox="1">
                              <a:spLocks noChangeArrowheads="1"/>
                            </wps:cNvSpPr>
                            <wps:spPr bwMode="auto">
                              <a:xfrm>
                                <a:off x="0" y="0"/>
                                <a:ext cx="495300" cy="257175"/>
                              </a:xfrm>
                              <a:prstGeom prst="rect">
                                <a:avLst/>
                              </a:prstGeom>
                              <a:noFill/>
                              <a:ln>
                                <a:noFill/>
                              </a:ln>
                            </wps:spPr>
                            <wps:txbx>
                              <w:txbxContent>
                                <w:p>
                                  <w:pPr>
                                    <w:spacing w:line="240" w:lineRule="auto"/>
                                    <w:ind w:firstLine="0" w:firstLineChars="0"/>
                                    <w:jc w:val="center"/>
                                    <w:rPr>
                                      <w:b/>
                                      <w:bCs/>
                                      <w:color w:val="DD0CDB"/>
                                      <w:sz w:val="21"/>
                                      <w:szCs w:val="21"/>
                                    </w:rPr>
                                  </w:pPr>
                                  <w:r>
                                    <w:rPr>
                                      <w:rFonts w:hint="eastAsia"/>
                                      <w:b/>
                                      <w:bCs/>
                                      <w:color w:val="DD0CDB"/>
                                      <w:sz w:val="21"/>
                                      <w:szCs w:val="21"/>
                                    </w:rPr>
                                    <w:t>380m</w:t>
                                  </w:r>
                                </w:p>
                              </w:txbxContent>
                            </wps:txbx>
                            <wps:bodyPr rot="0" vert="horz" wrap="square" lIns="91440" tIns="45720" rIns="91440" bIns="45720" anchor="t" anchorCtr="0" upright="1">
                              <a:noAutofit/>
                            </wps:bodyPr>
                          </wps:wsp>
                        </a:graphicData>
                      </a:graphic>
                    </wp:anchor>
                  </w:drawing>
                </mc:Choice>
                <mc:Fallback>
                  <w:pict>
                    <v:shape id="文本框 727" o:spid="_x0000_s1026" o:spt="202" type="#_x0000_t202" style="position:absolute;left:0pt;margin-left:319.85pt;margin-top:233pt;height:20.25pt;width:39pt;z-index:251717632;mso-width-relative:page;mso-height-relative:page;" filled="f" stroked="f" coordsize="21600,21600" o:gfxdata="UEsDBAoAAAAAAIdO4kAAAAAAAAAAAAAAAAAEAAAAZHJzL1BLAwQUAAAACACHTuJAVYeX8NgAAAAL&#10;AQAADwAAAGRycy9kb3ducmV2LnhtbE2PTU/DMAyG70j8h8hI3FhSWFNWmu4A4gpifEjcssZrKxqn&#10;arK1/HvMCY62H71+3mq7+EGccIp9IAPZSoFAaoLrqTXw9vp4dQsiJkvODoHQwDdG2NbnZ5UtXZjp&#10;BU+71AoOoVhaA11KYyllbDr0Nq7CiMS3Q5i8TTxOrXSTnTncD/JaKS297Yk/dHbE+w6br93RG3h/&#10;Onx+rNVz++DzcQ6LkuQ30pjLi0zdgUi4pD8YfvVZHWp22ocjuSgGA/pmUzBqYK01l2KiyAre7A3k&#10;Sucg60r+71D/AFBLAwQUAAAACACHTuJAwNTprRkCAAAYBAAADgAAAGRycy9lMm9Eb2MueG1srVNB&#10;jtMwFN0jcQfLe5q2pGQmajoaphqENDBIAwdwHaexSPzNt9ukHIC5ASs27DlXz8G30yll2MyCTWT7&#10;f7//3vPL/KJvG7ZV6DSYgk9GY86UkVBqsy74p4/XL844c16YUjRgVMF3yvGLxfNn887mago1NKVC&#10;RiDG5Z0teO29zZPEyVq1wo3AKkPFCrAVnra4TkoUHaG3TTIdj18lHWBpEaRyjk6XQ5EfEPEpgFBV&#10;WqolyE2rjB9QUTXCkyRXa+v4IrKtKiX9bVU55VlTcFLq45eG0HoVvsliLvI1CltreaAgnkLhkaZW&#10;aENDj1BL4QXboP4HqtUSwUHlRxLaZBASHSEVk/Ejb+5qYVXUQlY7ezTd/T9Y+X77AZkuC56mGWdG&#10;tPTk++/3+x+/9j+/sWyaBYs663LqvLPU6/vX0FNwolxnb0B+dszAVS3MWl0iQlcrURLFSbiZnFwd&#10;cFwAWXXvoKRJYuMhAvUVtsE/coQROj3P7vg8qvdM0mF6Pns5poqk0nSWTbJZnCDyh8sWnX+joGVh&#10;UXCk14/gYnvjfCAj8oeWMMvAtW6amIDG/HVAjeEkkg98B+a+X/UHM1ZQ7kgGwhAo+p1oUQN+5ayj&#10;MBXcfdkIVJw1bw1ZcT5J05C+uEln2ZQ2eFpZnVaEkQRVcM/ZsLzyQ2I3FvW6pkmD+QYuyb5KR2nB&#10;54HVgTcFJio+hDsk8nQfu/780I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YeX8NgAAAALAQAA&#10;DwAAAAAAAAABACAAAAAiAAAAZHJzL2Rvd25yZXYueG1sUEsBAhQAFAAAAAgAh07iQMDU6a0ZAgAA&#10;GAQAAA4AAAAAAAAAAQAgAAAAJwEAAGRycy9lMm9Eb2MueG1sUEsFBgAAAAAGAAYAWQEAALIFAAAA&#10;AA==&#10;">
                      <v:fill on="f" focussize="0,0"/>
                      <v:stroke on="f"/>
                      <v:imagedata o:title=""/>
                      <o:lock v:ext="edit" aspectratio="f"/>
                      <v:textbox>
                        <w:txbxContent>
                          <w:p>
                            <w:pPr>
                              <w:spacing w:line="240" w:lineRule="auto"/>
                              <w:ind w:firstLine="0" w:firstLineChars="0"/>
                              <w:jc w:val="center"/>
                              <w:rPr>
                                <w:b/>
                                <w:bCs/>
                                <w:color w:val="DD0CDB"/>
                                <w:sz w:val="21"/>
                                <w:szCs w:val="21"/>
                              </w:rPr>
                            </w:pPr>
                            <w:r>
                              <w:rPr>
                                <w:rFonts w:hint="eastAsia"/>
                                <w:b/>
                                <w:bCs/>
                                <w:color w:val="DD0CDB"/>
                                <w:sz w:val="21"/>
                                <w:szCs w:val="21"/>
                              </w:rPr>
                              <w:t>380m</w:t>
                            </w:r>
                          </w:p>
                        </w:txbxContent>
                      </v:textbox>
                    </v:shape>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2233295</wp:posOffset>
                      </wp:positionH>
                      <wp:positionV relativeFrom="paragraph">
                        <wp:posOffset>1082675</wp:posOffset>
                      </wp:positionV>
                      <wp:extent cx="495300" cy="257175"/>
                      <wp:effectExtent l="4445" t="0" r="0" b="3175"/>
                      <wp:wrapNone/>
                      <wp:docPr id="446" name="文本框 726"/>
                      <wp:cNvGraphicFramePr/>
                      <a:graphic xmlns:a="http://schemas.openxmlformats.org/drawingml/2006/main">
                        <a:graphicData uri="http://schemas.microsoft.com/office/word/2010/wordprocessingShape">
                          <wps:wsp>
                            <wps:cNvSpPr txBox="1">
                              <a:spLocks noChangeArrowheads="1"/>
                            </wps:cNvSpPr>
                            <wps:spPr bwMode="auto">
                              <a:xfrm>
                                <a:off x="0" y="0"/>
                                <a:ext cx="495300" cy="257175"/>
                              </a:xfrm>
                              <a:prstGeom prst="rect">
                                <a:avLst/>
                              </a:prstGeom>
                              <a:noFill/>
                              <a:ln>
                                <a:noFill/>
                              </a:ln>
                            </wps:spPr>
                            <wps:txbx>
                              <w:txbxContent>
                                <w:p>
                                  <w:pPr>
                                    <w:spacing w:line="240" w:lineRule="auto"/>
                                    <w:ind w:firstLine="0" w:firstLineChars="0"/>
                                    <w:jc w:val="center"/>
                                    <w:rPr>
                                      <w:b/>
                                      <w:bCs/>
                                      <w:color w:val="FFFF00"/>
                                      <w:sz w:val="21"/>
                                      <w:szCs w:val="21"/>
                                    </w:rPr>
                                  </w:pPr>
                                  <w:r>
                                    <w:rPr>
                                      <w:rFonts w:hint="eastAsia"/>
                                      <w:b/>
                                      <w:bCs/>
                                      <w:color w:val="FFFF00"/>
                                      <w:sz w:val="21"/>
                                      <w:szCs w:val="21"/>
                                    </w:rPr>
                                    <w:t>150m</w:t>
                                  </w:r>
                                </w:p>
                              </w:txbxContent>
                            </wps:txbx>
                            <wps:bodyPr rot="0" vert="horz" wrap="square" lIns="91440" tIns="45720" rIns="91440" bIns="45720" anchor="t" anchorCtr="0" upright="1">
                              <a:noAutofit/>
                            </wps:bodyPr>
                          </wps:wsp>
                        </a:graphicData>
                      </a:graphic>
                    </wp:anchor>
                  </w:drawing>
                </mc:Choice>
                <mc:Fallback>
                  <w:pict>
                    <v:shape id="文本框 726" o:spid="_x0000_s1026" o:spt="202" type="#_x0000_t202" style="position:absolute;left:0pt;margin-left:175.85pt;margin-top:85.25pt;height:20.25pt;width:39pt;z-index:251715584;mso-width-relative:page;mso-height-relative:page;" filled="f" stroked="f" coordsize="21600,21600" o:gfxdata="UEsDBAoAAAAAAIdO4kAAAAAAAAAAAAAAAAAEAAAAZHJzL1BLAwQUAAAACACHTuJAUyd0VtcAAAAL&#10;AQAADwAAAGRycy9kb3ducmV2LnhtbE2PTU/DMAyG70j8h8hI3FiSsrKtNN0BxBXE+JB2yxqvrWic&#10;qsnW8u8xJzja76PXj8vt7HtxxjF2gQzohQKBVAfXUWPg/e3pZg0iJkvO9oHQwDdG2FaXF6UtXJjo&#10;Fc+71AguoVhYA21KQyFlrFv0Ni7CgMTZMYzeJh7HRrrRTlzue5kpdSe97YgvtHbAhxbrr93JG/h4&#10;Pu4/l+qlefT5MIVZSfIbacz1lVb3IBLO6Q+GX31Wh4qdDuFELorewG2uV4xysFI5CCaW2YY3BwOZ&#10;1gpkVcr/P1Q/UEsDBBQAAAAIAIdO4kAvvqoYGgIAABgEAAAOAAAAZHJzL2Uyb0RvYy54bWytU8uO&#10;0zAU3SPxD5b3NG1JWyZqOhqmGoQ0PKSBD3Adp7FIfM2126R8APwBKzbs+a5+B9dOppRhMws2ke17&#10;fe45xyfLy66p2V6h02ByPhmNOVNGQqHNNucfP9w8e8GZ88IUogajcn5Qjl+unj5ZtjZTU6igLhQy&#10;AjEua23OK+9tliROVqoRbgRWGSqWgI3wtMVtUqBoCb2pk+l4PE9awMIiSOUcna77Ih8Q8TGAUJZa&#10;qjXIXaOM71FR1cKTJFdp6/gqsi1LJf27snTKszrnpNTHLw2h9SZ8k9VSZFsUttJyoCAeQ+GBpkZo&#10;Q0NPUGvhBduh/geq0RLBQelHEpqkFxIdIRWT8QNv7iphVdRCVjt7Mt39P1j5dv8emS5ynqZzzoxo&#10;6MmP378df/w6/vzKFtN5sKi1LqPOO0u9vnsJHQUnynX2FuQnxwxcV8Js1RUitJUSBVGchJvJ2dUe&#10;xwWQTfsGCpokdh4iUFdiE/wjRxih0/McTs+jOs8kHaYXs+djqkgqTWeLyWIWJ4js/rJF518paFhY&#10;5Bzp9SO42N86H8iI7L4lzDJwo+s6JqA2fx1QYziJ5APfnrnvNt1gxgaKA8lA6ANFvxMtKsAvnLUU&#10;ppy7zzuBirP6tSErLiZpGtIXN+lsMaUNnlc25xVhJEHl3HPWL699n9idRb2taFJvvoErsq/UUVrw&#10;uWc18KbARMVDuEMiz/ex688Pvf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yd0VtcAAAALAQAA&#10;DwAAAAAAAAABACAAAAAiAAAAZHJzL2Rvd25yZXYueG1sUEsBAhQAFAAAAAgAh07iQC++qhgaAgAA&#10;GAQAAA4AAAAAAAAAAQAgAAAAJgEAAGRycy9lMm9Eb2MueG1sUEsFBgAAAAAGAAYAWQEAALIFAAAA&#10;AA==&#10;">
                      <v:fill on="f" focussize="0,0"/>
                      <v:stroke on="f"/>
                      <v:imagedata o:title=""/>
                      <o:lock v:ext="edit" aspectratio="f"/>
                      <v:textbox>
                        <w:txbxContent>
                          <w:p>
                            <w:pPr>
                              <w:spacing w:line="240" w:lineRule="auto"/>
                              <w:ind w:firstLine="0" w:firstLineChars="0"/>
                              <w:jc w:val="center"/>
                              <w:rPr>
                                <w:b/>
                                <w:bCs/>
                                <w:color w:val="FFFF00"/>
                                <w:sz w:val="21"/>
                                <w:szCs w:val="21"/>
                              </w:rPr>
                            </w:pPr>
                            <w:r>
                              <w:rPr>
                                <w:rFonts w:hint="eastAsia"/>
                                <w:b/>
                                <w:bCs/>
                                <w:color w:val="FFFF00"/>
                                <w:sz w:val="21"/>
                                <w:szCs w:val="21"/>
                              </w:rPr>
                              <w:t>150m</w:t>
                            </w:r>
                          </w:p>
                        </w:txbxContent>
                      </v:textbox>
                    </v:shape>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2777490</wp:posOffset>
                      </wp:positionH>
                      <wp:positionV relativeFrom="paragraph">
                        <wp:posOffset>2025015</wp:posOffset>
                      </wp:positionV>
                      <wp:extent cx="1666240" cy="1477010"/>
                      <wp:effectExtent l="53340" t="53340" r="52070" b="60325"/>
                      <wp:wrapNone/>
                      <wp:docPr id="445" name="直线 729"/>
                      <wp:cNvGraphicFramePr/>
                      <a:graphic xmlns:a="http://schemas.openxmlformats.org/drawingml/2006/main">
                        <a:graphicData uri="http://schemas.microsoft.com/office/word/2010/wordprocessingShape">
                          <wps:wsp>
                            <wps:cNvCnPr>
                              <a:cxnSpLocks noChangeShapeType="1"/>
                            </wps:cNvCnPr>
                            <wps:spPr bwMode="auto">
                              <a:xfrm flipH="1" flipV="1">
                                <a:off x="0" y="0"/>
                                <a:ext cx="1666240" cy="1477010"/>
                              </a:xfrm>
                              <a:prstGeom prst="line">
                                <a:avLst/>
                              </a:prstGeom>
                              <a:noFill/>
                              <a:ln w="19050" cmpd="sng">
                                <a:solidFill>
                                  <a:srgbClr val="E40CE2"/>
                                </a:solidFill>
                                <a:round/>
                                <a:headEnd type="triangle" w="med" len="med"/>
                                <a:tailEnd type="triangle" w="med" len="med"/>
                              </a:ln>
                              <a:effectLst/>
                            </wps:spPr>
                            <wps:bodyPr/>
                          </wps:wsp>
                        </a:graphicData>
                      </a:graphic>
                    </wp:anchor>
                  </w:drawing>
                </mc:Choice>
                <mc:Fallback>
                  <w:pict>
                    <v:line id="直线 729" o:spid="_x0000_s1026" o:spt="20" style="position:absolute;left:0pt;flip:x y;margin-left:218.7pt;margin-top:159.45pt;height:116.3pt;width:131.2pt;z-index:251716608;mso-width-relative:page;mso-height-relative:page;" filled="f" stroked="t" coordsize="21600,21600" o:gfxdata="UEsDBAoAAAAAAIdO4kAAAAAAAAAAAAAAAAAEAAAAZHJzL1BLAwQUAAAACACHTuJAU0kY4dwAAAAL&#10;AQAADwAAAGRycy9kb3ducmV2LnhtbE2PQU7DMBBF90jcwRokNog6aZs2CXEqAUKCDRWlB3DiIY4a&#10;2yF22+T2na5gOZqn/98vNqPp2AkH3zorIJ5FwNDWTrW2EbD/fntMgfkgrZKdsyhgQg+b8vamkLly&#10;Z/uFp11oGIVYn0sBOoQ+59zXGo30M9ejpd+PG4wMdA4NV4M8U7jp+DyKVtzI1lKDlj2+aKwPu6MR&#10;sE1f1x/b98PD9JlOldyPz/Nf1ELc38XRE7CAY/iD4apP6lCSU+WOVnnWCVgu1ktCBSziNANGxCrL&#10;aEwlIEniBHhZ8P8bygtQSwMEFAAAAAgAh07iQH7wcMgZAgAANQQAAA4AAABkcnMvZTJvRG9jLnht&#10;bK1TzW4aMRC+V+o7WL6XXRCBZsWSA5D2kLZISXs39uyuVf/JNiw8S1+jp176OHmNjA0lTXrh0Is1&#10;Hs98M98349nNXiuyAx+kNTUdDkpKwHArpGlr+vXh9t17SkJkRjBlDdT0AIHezN++mfWugpHtrBLg&#10;CYKYUPWupl2MriqKwDvQLAysA4OPjfWaRbz6thCe9YiuVTEqy0nRWy+ctxxCQO/y+EhPiP4SQNs0&#10;ksPS8q0GE4+oHhSLSCl00gU6z902DfD4pWkCRKJqikxjPrEI2pt0FvMZq1rPXCf5qQV2SQuvOGkm&#10;DRY9Qy1ZZGTr5T9QWnJvg23igFtdHIlkRZDFsHylzX3HHGQuKHVwZ9HD/4Pln3drT6So6Xh8RYlh&#10;Gkf++OPn46/fZDq6Tvr0LlQYtjBrnxjyvbl3d5Z/D8TYRcdMC7nPh4PD1GHKKF6kpEtwWGXTf7IC&#10;Y9g22izWvvGaNEq6jykxW9+SlcqgNGSf53Q4zwn2kXB0DieTyWiMI+T4NhxPpyhdrsuqBJnSnQ/x&#10;A1hNklFTJU0SklVsdxdiavE5JLmNvZVK5WVQhvSIel1epQLaoTTBtDk5WCVFCkwpwbebhfJkx3C1&#10;VuNysRqdengR5u3WiAzcARMrI0jMQkUvUToFNFXTIChRgP8xWTk6MqkujUYyyqSeIG/8ieEf3Y8T&#10;3FhxWPvEPPlxm7IGp81P6/r3PUc9//b5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NJGOHcAAAA&#10;CwEAAA8AAAAAAAAAAQAgAAAAIgAAAGRycy9kb3ducmV2LnhtbFBLAQIUABQAAAAIAIdO4kB+8HDI&#10;GQIAADUEAAAOAAAAAAAAAAEAIAAAACsBAABkcnMvZTJvRG9jLnhtbFBLBQYAAAAABgAGAFkBAAC2&#10;BQAAAAA=&#10;">
                      <v:fill on="f" focussize="0,0"/>
                      <v:stroke weight="1.5pt" color="#E40CE2" joinstyle="round" startarrow="block" endarrow="block"/>
                      <v:imagedata o:title=""/>
                      <o:lock v:ext="edit" aspectratio="f"/>
                    </v:line>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2729230</wp:posOffset>
                      </wp:positionH>
                      <wp:positionV relativeFrom="paragraph">
                        <wp:posOffset>1016000</wp:posOffset>
                      </wp:positionV>
                      <wp:extent cx="43180" cy="831215"/>
                      <wp:effectExtent l="38100" t="38100" r="52070" b="6985"/>
                      <wp:wrapNone/>
                      <wp:docPr id="443" name="直线 731"/>
                      <wp:cNvGraphicFramePr/>
                      <a:graphic xmlns:a="http://schemas.openxmlformats.org/drawingml/2006/main">
                        <a:graphicData uri="http://schemas.microsoft.com/office/word/2010/wordprocessingShape">
                          <wps:wsp>
                            <wps:cNvCnPr>
                              <a:cxnSpLocks noChangeShapeType="1"/>
                            </wps:cNvCnPr>
                            <wps:spPr bwMode="auto">
                              <a:xfrm>
                                <a:off x="0" y="0"/>
                                <a:ext cx="43180" cy="831215"/>
                              </a:xfrm>
                              <a:prstGeom prst="line">
                                <a:avLst/>
                              </a:prstGeom>
                              <a:noFill/>
                              <a:ln w="19050" cmpd="sng">
                                <a:solidFill>
                                  <a:srgbClr val="FFFF00"/>
                                </a:solidFill>
                                <a:round/>
                                <a:headEnd type="diamond" w="med" len="med"/>
                                <a:tailEnd type="triangle" w="med" len="med"/>
                              </a:ln>
                            </wps:spPr>
                            <wps:bodyPr/>
                          </wps:wsp>
                        </a:graphicData>
                      </a:graphic>
                    </wp:anchor>
                  </w:drawing>
                </mc:Choice>
                <mc:Fallback>
                  <w:pict>
                    <v:line id="直线 731" o:spid="_x0000_s1026" o:spt="20" style="position:absolute;left:0pt;margin-left:214.9pt;margin-top:80pt;height:65.45pt;width:3.4pt;z-index:251714560;mso-width-relative:page;mso-height-relative:page;" filled="f" stroked="t" coordsize="21600,21600" o:gfxdata="UEsDBAoAAAAAAIdO4kAAAAAAAAAAAAAAAAAEAAAAZHJzL1BLAwQUAAAACACHTuJA98xOz9gAAAAL&#10;AQAADwAAAGRycy9kb3ducmV2LnhtbE2PMU/DMBSEdyT+g/WQ2KjdUIU6xOmAVCFGkiJ1dGOTRMTP&#10;ke2k4d/zmGA83enuu/KwupEtNsTBo4LtRgCz2HozYKfg1Bwf9sBi0mj06NEq+LYRDtXtTakL46/4&#10;bpc6dYxKMBZaQZ/SVHAe2946HTd+skjepw9OJ5Kh4yboK5W7kWdC5NzpAWmh15N96W37Vc9OwZnL&#10;dlzPyyKbpzDMzdtx/1p/KHV/txXPwJJd018YfvEJHSpiuvgZTWSjgl0mCT2RkQs6RYndY54DuyjI&#10;pJDAq5L//1D9AFBLAwQUAAAACACHTuJA8/v0sA0CAAAPBAAADgAAAGRycy9lMm9Eb2MueG1srVNL&#10;ktMwEN1TxR1U2hPbSQaCa5xZJITNAKma4QCKJNsqJLVKUuLkLFyDFRuOM9egpXyGGVjMAi9sfV6/&#10;7ve6fX2zN5rspA8KbEOrUUmJtByEsl1Dv96v3swoCZFZwTRY2dCDDPRm/vrV9eBqOYYetJCeIIkN&#10;9eAa2sfo6qIIvJeGhRE4afGyBW9YxK3vCuHZgOxGF+OyfFsM4IXzwGUIeLo8XtITo38JIbSt4nIJ&#10;fGukjUdWLzWLKCn0ygU6z9W2reTxS9sGGYluKCqN+Y1JcL1J72J+zerOM9crfiqBvaSEZ5oMUxaT&#10;XqiWLDKy9eovKqO4hwBtHHEwxVFIdgRVVOUzb+565mTWglYHdzE9/D9a/nm39kSJhk6nE0osM9jy&#10;h+8/Hn7+Iu8mVfJncKFG2MKufVLI9/bO3QL/FoiFRc9sJ3Od9weHoTmieBKSNsFhls3wCQRi2DZC&#10;NmvfepMo0Qayzz05XHoi95FwPJxOqhk2i+PNbFKNq6tUUsHqc6zzIX6UYEhaNFQrmxxjNdvdhniE&#10;niHp2MJKaZ27ri0ZsOD35VXiNw49CLbLwQG0EgmYQoLvNgvtyY7hDK3wKfPYYA1PYB62VmTiXjLx&#10;wQoSsyNCMQNW0JTMSPxqif9dWmVwZEo/gqNXaKiW/0ZjSm1R/dnRY282IA5rn6Smc5yT7M9pptMg&#10;/rnPqMf/eP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8xOz9gAAAALAQAADwAAAAAAAAABACAA&#10;AAAiAAAAZHJzL2Rvd25yZXYueG1sUEsBAhQAFAAAAAgAh07iQPP79LANAgAADwQAAA4AAAAAAAAA&#10;AQAgAAAAJwEAAGRycy9lMm9Eb2MueG1sUEsFBgAAAAAGAAYAWQEAAKYFAAAAAA==&#10;">
                      <v:fill on="f" focussize="0,0"/>
                      <v:stroke weight="1.5pt" color="#FFFF00" joinstyle="round" startarrow="diamond" endarrow="block"/>
                      <v:imagedata o:title=""/>
                      <o:lock v:ext="edit" aspectratio="f"/>
                    </v:line>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374015</wp:posOffset>
                      </wp:positionH>
                      <wp:positionV relativeFrom="paragraph">
                        <wp:posOffset>3799205</wp:posOffset>
                      </wp:positionV>
                      <wp:extent cx="144145" cy="144145"/>
                      <wp:effectExtent l="12065" t="8255" r="5715" b="9525"/>
                      <wp:wrapNone/>
                      <wp:docPr id="442" name="椭圆 732"/>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E40CE2"/>
                              </a:solidFill>
                              <a:ln w="9525" cmpd="sng">
                                <a:solidFill>
                                  <a:srgbClr val="7030A0"/>
                                </a:solidFill>
                                <a:round/>
                              </a:ln>
                            </wps:spPr>
                            <wps:bodyPr rot="0" vert="horz" wrap="square" lIns="91440" tIns="45720" rIns="91440" bIns="45720" anchor="t" anchorCtr="0" upright="1">
                              <a:noAutofit/>
                            </wps:bodyPr>
                          </wps:wsp>
                        </a:graphicData>
                      </a:graphic>
                    </wp:anchor>
                  </w:drawing>
                </mc:Choice>
                <mc:Fallback>
                  <w:pict>
                    <v:shape id="椭圆 732" o:spid="_x0000_s1026" o:spt="3" type="#_x0000_t3" style="position:absolute;left:0pt;margin-left:29.45pt;margin-top:299.15pt;height:11.35pt;width:11.35pt;z-index:251713536;mso-width-relative:page;mso-height-relative:page;" fillcolor="#E40CE2" filled="t" stroked="t" coordsize="21600,21600" o:gfxdata="UEsDBAoAAAAAAIdO4kAAAAAAAAAAAAAAAAAEAAAAZHJzL1BLAwQUAAAACACHTuJATs/YCtgAAAAJ&#10;AQAADwAAAGRycy9kb3ducmV2LnhtbE2PwU7DMAyG70i8Q2QkLoilLVDa0nSHSYgj2oBxzRrTVDRO&#10;1WRd9/aYE5wsy59+f3+9XtwgZpxC70lBukpAILXe9NQpeH97vi1AhKjJ6METKjhjgHVzeVHryvgT&#10;bXHexU5wCIVKK7AxjpWUobXodFj5EYlvX35yOvI6ddJM+sThbpBZkuTS6Z74g9Ujbiy237ujU/B5&#10;//JYZnbbb/K998vN+XXvPmalrq/S5AlExCX+wfCrz+rQsNPBH8kEMSh4KEomeZbFHQgGijQHcVCQ&#10;Z2kCsqnl/wbND1BLAwQUAAAACACHTuJAm7vb1TsCAABzBAAADgAAAGRycy9lMm9Eb2MueG1srVTB&#10;btswDL0P2D8Iuq92UnddjTpFkLTDgG4r0O0DFFm2hcmiRilxug/YV/S46z5r+45Rcpql3aWHXQxS&#10;pB4fHymfX2x7wzYKvQZb8clRzpmyEmpt24p//nT16g1nPghbCwNWVfxOeX4xe/nifHClmkIHplbI&#10;CMT6cnAV70JwZZZ52ale+CNwylKwAexFIBfbrEYxEHpvsmmev84GwNohSOU9nS7HIN8h4nMAoWm0&#10;VEuQ617ZMKKiMiJQS77TzvNZYts0SoaPTeNVYKbi1GlIXypC9ip+s9m5KFsUrtNyR0E8h8KTnnqh&#10;LRXdQy1FEGyN+h+oXksED004ktBnYyNJEepikj/R5rYTTqVeSGrv9qL7/wcrP2xukOm64kUx5cyK&#10;nkb++8fPX/ff2enxNOozOF9S2q27wdihd9cgv3hmYdEJ26o5IgydEjWxmsT87NGF6Hi6ylbDe6gJ&#10;XKwDJKm2DfYRkERg2zSRu/1E1DYwSYeTopgUJ5xJCu3sWEGUD5cd+vBWQc+iUXFlDI0/aiZKsbn2&#10;Ycx+yEr8wej6ShuTHGxXC4NsI2g/Lot8cZlapgL+MM1YNlT87GQaqfSO1PK2TUUepflDtNP8OJ+n&#10;BXuKhrC29UjM2J1eUaJR6hXUdyQXwrir9FLJ6AC/cTbQnlLpr2uBijPzzpLkZyRLXOzkFCenU3Lw&#10;MLI6jAgrCarigbPRXITxMawd6rajSpPUloU5janRSb84wpHVjiztYhrC7t3EZT/0U9bff8Xs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7P2ArYAAAACQEAAA8AAAAAAAAAAQAgAAAAIgAAAGRycy9k&#10;b3ducmV2LnhtbFBLAQIUABQAAAAIAIdO4kCbu9vVOwIAAHMEAAAOAAAAAAAAAAEAIAAAACcBAABk&#10;cnMvZTJvRG9jLnhtbFBLBQYAAAAABgAGAFkBAADUBQAAAAA=&#10;">
                      <v:fill on="t" focussize="0,0"/>
                      <v:stroke color="#7030A0" joinstyle="round"/>
                      <v:imagedata o:title=""/>
                      <o:lock v:ext="edit" aspectratio="f"/>
                    </v:shape>
                  </w:pict>
                </mc:Fallback>
              </mc:AlternateContent>
            </w:r>
            <w:r>
              <w:drawing>
                <wp:anchor distT="0" distB="0" distL="114300" distR="114300" simplePos="0" relativeHeight="251712512" behindDoc="0" locked="0" layoutInCell="1" allowOverlap="1">
                  <wp:simplePos x="0" y="0"/>
                  <wp:positionH relativeFrom="column">
                    <wp:posOffset>76835</wp:posOffset>
                  </wp:positionH>
                  <wp:positionV relativeFrom="paragraph">
                    <wp:posOffset>63500</wp:posOffset>
                  </wp:positionV>
                  <wp:extent cx="420370" cy="502920"/>
                  <wp:effectExtent l="0" t="0" r="0" b="0"/>
                  <wp:wrapNone/>
                  <wp:docPr id="733"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图片 3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20370" cy="502920"/>
                          </a:xfrm>
                          <a:prstGeom prst="rect">
                            <a:avLst/>
                          </a:prstGeom>
                          <a:noFill/>
                          <a:ln>
                            <a:noFill/>
                          </a:ln>
                        </pic:spPr>
                      </pic:pic>
                    </a:graphicData>
                  </a:graphic>
                </wp:anchor>
              </w:drawing>
            </w:r>
            <w:r>
              <mc:AlternateContent>
                <mc:Choice Requires="wps">
                  <w:drawing>
                    <wp:anchor distT="0" distB="0" distL="114300" distR="114300" simplePos="0" relativeHeight="251711488" behindDoc="0" locked="0" layoutInCell="1" allowOverlap="1">
                      <wp:simplePos x="0" y="0"/>
                      <wp:positionH relativeFrom="column">
                        <wp:posOffset>556260</wp:posOffset>
                      </wp:positionH>
                      <wp:positionV relativeFrom="paragraph">
                        <wp:posOffset>3763645</wp:posOffset>
                      </wp:positionV>
                      <wp:extent cx="1141730" cy="257175"/>
                      <wp:effectExtent l="3810" t="1270" r="0" b="0"/>
                      <wp:wrapNone/>
                      <wp:docPr id="439" name="文本框 735"/>
                      <wp:cNvGraphicFramePr/>
                      <a:graphic xmlns:a="http://schemas.openxmlformats.org/drawingml/2006/main">
                        <a:graphicData uri="http://schemas.microsoft.com/office/word/2010/wordprocessingShape">
                          <wps:wsp>
                            <wps:cNvSpPr txBox="1">
                              <a:spLocks noChangeArrowheads="1"/>
                            </wps:cNvSpPr>
                            <wps:spPr bwMode="auto">
                              <a:xfrm>
                                <a:off x="0" y="0"/>
                                <a:ext cx="1141730" cy="257175"/>
                              </a:xfrm>
                              <a:prstGeom prst="rect">
                                <a:avLst/>
                              </a:prstGeom>
                              <a:noFill/>
                              <a:ln>
                                <a:noFill/>
                              </a:ln>
                            </wps:spPr>
                            <wps:txbx>
                              <w:txbxContent>
                                <w:p>
                                  <w:pPr>
                                    <w:spacing w:line="240" w:lineRule="auto"/>
                                    <w:ind w:firstLine="0" w:firstLineChars="0"/>
                                    <w:rPr>
                                      <w:b/>
                                      <w:bCs/>
                                      <w:color w:val="000000"/>
                                      <w:sz w:val="21"/>
                                      <w:szCs w:val="21"/>
                                    </w:rPr>
                                  </w:pPr>
                                  <w:r>
                                    <w:rPr>
                                      <w:rFonts w:hint="eastAsia"/>
                                      <w:b/>
                                      <w:bCs/>
                                      <w:color w:val="000000"/>
                                      <w:sz w:val="21"/>
                                      <w:szCs w:val="21"/>
                                    </w:rPr>
                                    <w:t>大气监测点位</w:t>
                                  </w:r>
                                </w:p>
                              </w:txbxContent>
                            </wps:txbx>
                            <wps:bodyPr rot="0" vert="horz" wrap="square" lIns="91440" tIns="45720" rIns="91440" bIns="45720" anchor="t" anchorCtr="0" upright="1">
                              <a:noAutofit/>
                            </wps:bodyPr>
                          </wps:wsp>
                        </a:graphicData>
                      </a:graphic>
                    </wp:anchor>
                  </w:drawing>
                </mc:Choice>
                <mc:Fallback>
                  <w:pict>
                    <v:shape id="文本框 735" o:spid="_x0000_s1026" o:spt="202" type="#_x0000_t202" style="position:absolute;left:0pt;margin-left:43.8pt;margin-top:296.35pt;height:20.25pt;width:89.9pt;z-index:251711488;mso-width-relative:page;mso-height-relative:page;" filled="f" stroked="f" coordsize="21600,21600" o:gfxdata="UEsDBAoAAAAAAIdO4kAAAAAAAAAAAAAAAAAEAAAAZHJzL1BLAwQUAAAACACHTuJAsVgGTtkAAAAK&#10;AQAADwAAAGRycy9kb3ducmV2LnhtbE2Py07DMBBF90j8gzVI7KjdtE3aNJMuQGxBlIfUnRtPk4h4&#10;HMVuE/4es6LL0T2690yxm2wnLjT41jHCfKZAEFfOtFwjfLw/P6xB+KDZ6M4xIfyQh115e1Po3LiR&#10;3+iyD7WIJexzjdCE0OdS+qohq/3M9cQxO7nB6hDPoZZm0GMst51MlEql1S3HhUb39NhQ9b0/W4TP&#10;l9Pha6le6ye76kc3Kcl2IxHv7+ZqCyLQFP5h+NOP6lBGp6M7s/GiQ1hnaSQRVpskAxGBJM2WII4I&#10;6WKRgCwLef1C+QtQSwMEFAAAAAgAh07iQJR7tGgaAgAAGQQAAA4AAABkcnMvZTJvRG9jLnhtbK1T&#10;y47TMBTdI/EPlvc0TR+UiZqOhqkGIQ0PaeADXMdpLBJfc+02KR8Af8CKDXu+q9/BtZMpZdjMgk1k&#10;+16fe87xyfKya2q2V+g0mJynozFnykgotNnm/OOHm2cvOHNemELUYFTOD8rxy9XTJ8vWZmoCFdSF&#10;QkYgxmWtzXnlvc2SxMlKNcKNwCpDxRKwEZ62uE0KFC2hN3UyGY+fJy1gYRGkco5O132RD4j4GEAo&#10;Sy3VGuSuUcb3qKhq4UmSq7R1fBXZlqWS/l1ZOuVZnXNS6uOXhtB6E77JaimyLQpbaTlQEI+h8EBT&#10;I7ShoSeotfCC7VD/A9VoieCg9CMJTdILiY6QinT8wJu7SlgVtZDVzp5Md/8PVr7dv0emi5zPphec&#10;GdHQkx+/fzv++HX8+ZUtpvNgUWtdRp13lnp99xI6Ck6U6+wtyE+OGbiuhNmqK0RoKyUKopiGm8nZ&#10;1R7HBZBN+wYKmiR2HiJQV2IT/CNHGKHT8xxOz6M6z2QYmc7SxZRKkmqT+SJdRHKJyO5vW3T+lYKG&#10;hUXOkZ4/oov9rfOBjcjuW8IwAze6rmMEavPXATWGk8g+EO6p+27TDW5soDiQDoQ+UfQ/0aIC/MJZ&#10;S2nKufu8E6g4q18b8uIinc1C/OJmNl9MaIPnlc15RRhJUDn3nPXLa99HdmdRbyua1Ltv4Ir8K3WU&#10;FozuWQ28KTFR8ZDuEMnzfez680e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WAZO2QAAAAoB&#10;AAAPAAAAAAAAAAEAIAAAACIAAABkcnMvZG93bnJldi54bWxQSwECFAAUAAAACACHTuJAlHu0aBoC&#10;AAAZBAAADgAAAAAAAAABACAAAAAoAQAAZHJzL2Uyb0RvYy54bWxQSwUGAAAAAAYABgBZAQAAtAUA&#10;AAAA&#10;">
                      <v:fill on="f" focussize="0,0"/>
                      <v:stroke on="f"/>
                      <v:imagedata o:title=""/>
                      <o:lock v:ext="edit" aspectratio="f"/>
                      <v:textbox>
                        <w:txbxContent>
                          <w:p>
                            <w:pPr>
                              <w:spacing w:line="240" w:lineRule="auto"/>
                              <w:ind w:firstLine="0" w:firstLineChars="0"/>
                              <w:rPr>
                                <w:b/>
                                <w:bCs/>
                                <w:color w:val="000000"/>
                                <w:sz w:val="21"/>
                                <w:szCs w:val="21"/>
                              </w:rPr>
                            </w:pPr>
                            <w:r>
                              <w:rPr>
                                <w:rFonts w:hint="eastAsia"/>
                                <w:b/>
                                <w:bCs/>
                                <w:color w:val="000000"/>
                                <w:sz w:val="21"/>
                                <w:szCs w:val="21"/>
                              </w:rPr>
                              <w:t>大气监测点位</w:t>
                            </w:r>
                          </w:p>
                        </w:txbxContent>
                      </v:textbox>
                    </v:shape>
                  </w:pict>
                </mc:Fallback>
              </mc:AlternateContent>
            </w:r>
            <w:r>
              <mc:AlternateContent>
                <mc:Choice Requires="wps">
                  <w:drawing>
                    <wp:anchor distT="0" distB="0" distL="114300" distR="114300" simplePos="0" relativeHeight="251709440" behindDoc="0" locked="0" layoutInCell="1" allowOverlap="1">
                      <wp:simplePos x="0" y="0"/>
                      <wp:positionH relativeFrom="column">
                        <wp:posOffset>388620</wp:posOffset>
                      </wp:positionH>
                      <wp:positionV relativeFrom="paragraph">
                        <wp:posOffset>3552190</wp:posOffset>
                      </wp:positionV>
                      <wp:extent cx="142875" cy="144145"/>
                      <wp:effectExtent l="26670" t="27940" r="20955" b="18415"/>
                      <wp:wrapNone/>
                      <wp:docPr id="437" name="自选图形 737"/>
                      <wp:cNvGraphicFramePr/>
                      <a:graphic xmlns:a="http://schemas.openxmlformats.org/drawingml/2006/main">
                        <a:graphicData uri="http://schemas.microsoft.com/office/word/2010/wordprocessingShape">
                          <wps:wsp>
                            <wps:cNvSpPr>
                              <a:spLocks noChangeArrowheads="1"/>
                            </wps:cNvSpPr>
                            <wps:spPr bwMode="auto">
                              <a:xfrm>
                                <a:off x="0" y="0"/>
                                <a:ext cx="142875" cy="144145"/>
                              </a:xfrm>
                              <a:prstGeom prst="star5">
                                <a:avLst/>
                              </a:prstGeom>
                              <a:solidFill>
                                <a:srgbClr val="FFFF00"/>
                              </a:solidFill>
                              <a:ln w="9525" cmpd="sng">
                                <a:solidFill>
                                  <a:srgbClr val="FFC000"/>
                                </a:solidFill>
                                <a:miter lim="800000"/>
                              </a:ln>
                            </wps:spPr>
                            <wps:bodyPr rot="0" vert="horz" wrap="square" lIns="91440" tIns="45720" rIns="91440" bIns="45720" anchor="t" anchorCtr="0" upright="1">
                              <a:noAutofit/>
                            </wps:bodyPr>
                          </wps:wsp>
                        </a:graphicData>
                      </a:graphic>
                    </wp:anchor>
                  </w:drawing>
                </mc:Choice>
                <mc:Fallback>
                  <w:pict>
                    <v:shape id="自选图形 737" o:spid="_x0000_s1026" style="position:absolute;left:0pt;margin-left:30.6pt;margin-top:279.7pt;height:11.35pt;width:11.25pt;z-index:251709440;mso-width-relative:page;mso-height-relative:page;" fillcolor="#FFFF00" filled="t" stroked="t" coordsize="142875,144145" o:gfxdata="UEsDBAoAAAAAAIdO4kAAAAAAAAAAAAAAAAAEAAAAZHJzL1BLAwQUAAAACACHTuJA82c9idoAAAAJ&#10;AQAADwAAAGRycy9kb3ducmV2LnhtbE2PwU7DMAyG70i8Q2QkLoglKWx0pekOkxBCcNlAiGPWeG21&#10;JqmaNCtvjznB0fan399fbmbbs4Rj6LxTIBcCGLram841Cj7en25zYCFqZ3TvHSr4xgCb6vKi1IXx&#10;Z7fDtI8NoxAXCq2gjXEoOA91i1aHhR/Q0e3oR6sjjWPDzajPFG57ngmx4lZ3jj60esBti/VpP1kF&#10;x5P8Svz1c57Ezdvzy9qnbrtLSl1fSfEILOIc/2D41Sd1qMjp4CdnAusVrGRGpILlcn0PjID87gHY&#10;gRZ5JoFXJf/foPoBUEsDBBQAAAAIAIdO4kAU9c4NSwIAAIQEAAAOAAAAZHJzL2Uyb0RvYy54bWyt&#10;VMFuEzEQvSPxD5bvdLMhIe2qm6pKVYRUoFLhAxyvd9fC9pixk005cUN8AzeO/AP8TSX4C2a9aUgL&#10;hx7Yg+XxjN+8eTPe45ONNWytMGhwJc8PRpwpJ6HSrin52zfnTw45C1G4ShhwquTXKvCT+eNHx50v&#10;1BhaMJVCRiAuFJ0veRujL7IsyFZZEQ7AK0fOGtCKSCY2WYWiI3RrsvFo9CzrACuPIFUIdHo2OPkW&#10;ER8CCHWtpToDubLKxQEVlRGRSgqt9oHPE9u6VjK+ruugIjMlp0pjWikJ7Zf9ms2PRdGg8K2WWwri&#10;IRTu1WSFdpR0B3UmomAr1H9BWS0RAtTxQILNhkKSIlRFPrqnzVUrvEq1kNTB70QP/w9WvlpfItNV&#10;ySdPZ5w5YanlPz99+/Xx882XHzffv7IZnZNKnQ8FBV/5S+zrDP4C5LvAHCxa4Rp1ighdq0RF3PI+&#10;PrtzoTcCXWXL7iVUlEKsIiTBNjXaHpCkYJvUl+tdX9QmMkmH+WR8OJtyJsmVTyb5ZJoyiOL2sscQ&#10;nyuwrN+UnMYXpwldrC9C7NmI4jYmsQejq3NtTDKwWS4MsrWgGTmnb5TGgq6E/TDjWFfyo+m4J2I9&#10;KRZck5LcCQt30Rajf6NZHekVGW1LfkghuyDjttL1ag2qL6G6JuUQhuGlp0ubFvADZx0NLvF4vxKo&#10;ODMvHKl/RAr1k56MyXQ2JgP3Pct9j3CSoEoeORu2izi8jpVH3bSUKU81OjiljtU6idl3c2C1JUvD&#10;mTTePqR++vftFPXn5zH/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PNnPYnaAAAACQEAAA8AAAAA&#10;AAAAAQAgAAAAIgAAAGRycy9kb3ducmV2LnhtbFBLAQIUABQAAAAIAIdO4kAU9c4NSwIAAIQEAAAO&#10;AAAAAAAAAAEAIAAAACkBAABkcnMvZTJvRG9jLnhtbFBLBQYAAAAABgAGAFkBAADmBQAAAAA=&#10;" path="m0,55058l54573,55058,71437,0,88301,55058,142874,55058,98723,89086,115588,144144,71437,110116,27286,144144,44151,89086xe">
                      <v:path o:connectlocs="71437,0;0,55058;27286,144144;115588,144144;142874,55058" o:connectangles="247,164,82,82,0"/>
                      <v:fill on="t" focussize="0,0"/>
                      <v:stroke color="#FFC000" miterlimit="8" joinstyle="miter"/>
                      <v:imagedata o:title=""/>
                      <o:lock v:ext="edit" aspectratio="f"/>
                    </v:shape>
                  </w:pict>
                </mc:Fallback>
              </mc:AlternateContent>
            </w:r>
            <w:r>
              <mc:AlternateContent>
                <mc:Choice Requires="wps">
                  <w:drawing>
                    <wp:anchor distT="0" distB="0" distL="114300" distR="114300" simplePos="0" relativeHeight="251708416" behindDoc="0" locked="0" layoutInCell="1" allowOverlap="1">
                      <wp:simplePos x="0" y="0"/>
                      <wp:positionH relativeFrom="column">
                        <wp:posOffset>4441190</wp:posOffset>
                      </wp:positionH>
                      <wp:positionV relativeFrom="paragraph">
                        <wp:posOffset>3484880</wp:posOffset>
                      </wp:positionV>
                      <wp:extent cx="144145" cy="144145"/>
                      <wp:effectExtent l="12065" t="8255" r="5715" b="9525"/>
                      <wp:wrapNone/>
                      <wp:docPr id="436" name="椭圆 738"/>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E40CE2"/>
                              </a:solidFill>
                              <a:ln w="9525" cmpd="sng">
                                <a:solidFill>
                                  <a:srgbClr val="7030A0"/>
                                </a:solidFill>
                                <a:round/>
                              </a:ln>
                            </wps:spPr>
                            <wps:bodyPr rot="0" vert="horz" wrap="square" lIns="91440" tIns="45720" rIns="91440" bIns="45720" anchor="t" anchorCtr="0" upright="1">
                              <a:noAutofit/>
                            </wps:bodyPr>
                          </wps:wsp>
                        </a:graphicData>
                      </a:graphic>
                    </wp:anchor>
                  </w:drawing>
                </mc:Choice>
                <mc:Fallback>
                  <w:pict>
                    <v:shape id="椭圆 738" o:spid="_x0000_s1026" o:spt="3" type="#_x0000_t3" style="position:absolute;left:0pt;margin-left:349.7pt;margin-top:274.4pt;height:11.35pt;width:11.35pt;z-index:251708416;mso-width-relative:page;mso-height-relative:page;" fillcolor="#E40CE2" filled="t" stroked="t" coordsize="21600,21600" o:gfxdata="UEsDBAoAAAAAAIdO4kAAAAAAAAAAAAAAAAAEAAAAZHJzL1BLAwQUAAAACACHTuJA+JRrs9kAAAAL&#10;AQAADwAAAGRycy9kb3ducmV2LnhtbE2PwU6DQBCG7ya+w2ZMvBi7QCgUZOmhifFoWrVet+wIRHaW&#10;sFtK397xpMeZ+fLP91fbxQ5ixsn3jhTEqwgEUuNMT62C97fnxw0IHzQZPThCBVf0sK1vbypdGneh&#10;Pc6H0AoOIV9qBV0IYymlbzq02q/ciMS3LzdZHXicWmkmfeFwO8gkijJpdU/8odMj7jpsvg9nq+Az&#10;fcmLpNv3u+zo3PJwfT3aj1mp+7s4egIRcAl/MPzqszrU7HRyZzJeDAqyokgZVbBON9yBiTxJYhAn&#10;3uTxGmRdyf8d6h9QSwMEFAAAAAgAh07iQPdNMuw+AgAAcwQAAA4AAABkcnMvZTJvRG9jLnhtbK1U&#10;wW7bMAy9D9g/CLovdtKkaY06RZG2w4BuK9DtAxRZtoXJokYpcbIP2Ff0uOs+a/uOUXLapd2lh10M&#10;UqQeHx8pn51vO8M2Cr0GW/LxKOdMWQmVtk3JP3+6fnPCmQ/CVsKAVSXfKc/PF69fnfWuUBNowVQK&#10;GYFYX/Su5G0IrsgyL1vVCT8CpywFa8BOBHKxySoUPaF3Jpvk+XHWA1YOQSrv6fRyCPI9Ir4EEOpa&#10;S3UJct0pGwZUVEYEasm32nm+SGzrWsnwsa69CsyUnDoN6UtFyF7Fb7Y4E0WDwrVa7imIl1B41lMn&#10;tKWij1CXIgi2Rv0PVKclgoc6jCR02dBIUoS6GOfPtLlrhVOpF5Lau0fR/f+DlR82t8h0VfLp0TFn&#10;VnQ08t8/fv66/87mRydRn975gtLu3C3GDr27AfnFMwvLVthGXSBC3ypREatxzM+eXIiOp6ts1b+H&#10;isDFOkCSaltjFwFJBLZNE9k9TkRtA5N0OJ5Ox9MZZ5JCeztWEMXDZYc+vFXQsWiUXBlD44+aiUJs&#10;bnwYsh+yEn8wurrWxiQHm9XSINsI2o+rab68mqQWqM3DNGNZX/LT2SRS6Ryp5W2TijxJ84do8/wo&#10;v0gLRnSfpCGsbTUQM3avV5RokHoF1Y7kQhh2lV4qGS3gN8562lMq/XUtUHFm3lmS/JRkiYudnOls&#10;PiEHDyOrw4iwkqBKHjgbzGUYHsPaoW5aqjRObVm4oDHVOukXRziw2pOlXUxD2L+buOyHfsr6+69Y&#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4lGuz2QAAAAsBAAAPAAAAAAAAAAEAIAAAACIAAABk&#10;cnMvZG93bnJldi54bWxQSwECFAAUAAAACACHTuJA900y7D4CAABzBAAADgAAAAAAAAABACAAAAAo&#10;AQAAZHJzL2Uyb0RvYy54bWxQSwUGAAAAAAYABgBZAQAA2AUAAAAA&#10;">
                      <v:fill on="t" focussize="0,0"/>
                      <v:stroke color="#7030A0" joinstyle="round"/>
                      <v:imagedata o:title=""/>
                      <o:lock v:ext="edit" aspectratio="f"/>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2661285</wp:posOffset>
                      </wp:positionH>
                      <wp:positionV relativeFrom="paragraph">
                        <wp:posOffset>654050</wp:posOffset>
                      </wp:positionV>
                      <wp:extent cx="362585" cy="257175"/>
                      <wp:effectExtent l="3810" t="0" r="0" b="3175"/>
                      <wp:wrapNone/>
                      <wp:docPr id="435" name="文本框 739"/>
                      <wp:cNvGraphicFramePr/>
                      <a:graphic xmlns:a="http://schemas.openxmlformats.org/drawingml/2006/main">
                        <a:graphicData uri="http://schemas.microsoft.com/office/word/2010/wordprocessingShape">
                          <wps:wsp>
                            <wps:cNvSpPr txBox="1">
                              <a:spLocks noChangeArrowheads="1"/>
                            </wps:cNvSpPr>
                            <wps:spPr bwMode="auto">
                              <a:xfrm>
                                <a:off x="0" y="0"/>
                                <a:ext cx="362585" cy="257175"/>
                              </a:xfrm>
                              <a:prstGeom prst="rect">
                                <a:avLst/>
                              </a:prstGeom>
                              <a:noFill/>
                              <a:ln>
                                <a:noFill/>
                              </a:ln>
                            </wps:spPr>
                            <wps:txbx>
                              <w:txbxContent>
                                <w:p>
                                  <w:pPr>
                                    <w:spacing w:line="240" w:lineRule="auto"/>
                                    <w:ind w:firstLine="0" w:firstLineChars="0"/>
                                    <w:jc w:val="center"/>
                                    <w:rPr>
                                      <w:b/>
                                      <w:bCs/>
                                      <w:color w:val="FFFF00"/>
                                      <w:sz w:val="21"/>
                                      <w:szCs w:val="21"/>
                                    </w:rPr>
                                  </w:pPr>
                                  <w:r>
                                    <w:rPr>
                                      <w:b/>
                                      <w:bCs/>
                                      <w:color w:val="FFFF00"/>
                                      <w:sz w:val="21"/>
                                      <w:szCs w:val="21"/>
                                    </w:rPr>
                                    <w:t>2</w:t>
                                  </w:r>
                                  <w:r>
                                    <w:rPr>
                                      <w:rFonts w:hint="eastAsia"/>
                                      <w:b/>
                                      <w:bCs/>
                                      <w:color w:val="FFFF00"/>
                                      <w:sz w:val="21"/>
                                      <w:szCs w:val="21"/>
                                    </w:rPr>
                                    <w:t>#</w:t>
                                  </w:r>
                                </w:p>
                              </w:txbxContent>
                            </wps:txbx>
                            <wps:bodyPr rot="0" vert="horz" wrap="square" lIns="91440" tIns="45720" rIns="91440" bIns="45720" anchor="t" anchorCtr="0" upright="1">
                              <a:noAutofit/>
                            </wps:bodyPr>
                          </wps:wsp>
                        </a:graphicData>
                      </a:graphic>
                    </wp:anchor>
                  </w:drawing>
                </mc:Choice>
                <mc:Fallback>
                  <w:pict>
                    <v:shape id="文本框 739" o:spid="_x0000_s1026" o:spt="202" type="#_x0000_t202" style="position:absolute;left:0pt;margin-left:209.55pt;margin-top:51.5pt;height:20.25pt;width:28.55pt;z-index:251706368;mso-width-relative:page;mso-height-relative:page;" filled="f" stroked="f" coordsize="21600,21600" o:gfxdata="UEsDBAoAAAAAAIdO4kAAAAAAAAAAAAAAAAAEAAAAZHJzL1BLAwQUAAAACACHTuJAjVOW29gAAAAL&#10;AQAADwAAAGRycy9kb3ducmV2LnhtbE2PwW7CMBBE75X6D9Yi9VbsQKAljcOhVa9FpS0SNxMvSUS8&#10;jmJD0r/vcirHnXmancnXo2vFBfvQeNKQTBUIpNLbhioN31/vj88gQjRkTesJNfxigHVxf5ebzPqB&#10;PvGyjZXgEAqZ0VDH2GVShrJGZ8LUd0jsHX3vTOSzr6TtzcDhrpUzpZbSmYb4Q206fK2xPG3PTsPP&#10;x3G/S9WmenOLbvCjkuRWUuuHSaJeQEQc4z8M1/pcHQrudPBnskG0GtJklTDKhprzKCbSp+UMxIGV&#10;dL4AWeTydkPxB1BLAwQUAAAACACHTuJA/MRnLxoCAAAYBAAADgAAAGRycy9lMm9Eb2MueG1srVNL&#10;btswEN0X6B0I7mv5GyeC5SCNkaJA+gHSHoCmKIuoyGGHtKX0AO0Nuuqm+57L5+iQclw33WTRjUBy&#10;hm/ee3xaXHamYTuFXoMt+Ggw5ExZCaW2m4J//HDz4pwzH4QtRQNWFfxeeX65fP5s0bpcjaGGplTI&#10;CMT6vHUFr0NweZZ5WSsj/ACcslSsAI0ItMVNVqJoCd002Xg4PMtawNIhSOU9na76Ij8g4lMAoaq0&#10;VCuQW6Ns6FFRNSKQJF9r5/kysa0qJcO7qvIqsKbgpDSkLw2h9Tp+s+VC5BsUrtbyQEE8hcIjTUZo&#10;S0OPUCsRBNui/gfKaIngoQoDCSbrhSRHSMVo+Mibu1o4lbSQ1d4dTff/D1a+3b1HpsuCTyczzqww&#10;9OT779/2P37tf35l88lFtKh1PqfOO0e9oXsJHQUnyfXuFuQnzyxc18Ju1BUitLUSJVEcxZvZydUe&#10;x0eQdfsGSpoktgESUFehif6RI4zQ6Xnuj8+jusAkHU7OxrNzIimpNJ7NR/NZmiDyh8sOfXilwLC4&#10;KDjS6ydwsbv1IZIR+UNLnGXhRjdNSkBj/zqgxniSyEe+PfPQrbuDGWso70kGQh8o+p1oUQN+4ayl&#10;MBXcf94KVJw1ry1ZcTGaTmP60mY6m49pg6eV9WlFWElQBQ+c9cvr0Cd261BvaprUm2/hiuyrdJIW&#10;fe5ZHXhTYJLiQ7hjIk/3qevPD73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1TltvYAAAACwEA&#10;AA8AAAAAAAAAAQAgAAAAIgAAAGRycy9kb3ducmV2LnhtbFBLAQIUABQAAAAIAIdO4kD8xGcvGgIA&#10;ABgEAAAOAAAAAAAAAAEAIAAAACcBAABkcnMvZTJvRG9jLnhtbFBLBQYAAAAABgAGAFkBAACzBQAA&#10;AAA=&#10;">
                      <v:fill on="f" focussize="0,0"/>
                      <v:stroke on="f"/>
                      <v:imagedata o:title=""/>
                      <o:lock v:ext="edit" aspectratio="f"/>
                      <v:textbox>
                        <w:txbxContent>
                          <w:p>
                            <w:pPr>
                              <w:spacing w:line="240" w:lineRule="auto"/>
                              <w:ind w:firstLine="0" w:firstLineChars="0"/>
                              <w:jc w:val="center"/>
                              <w:rPr>
                                <w:b/>
                                <w:bCs/>
                                <w:color w:val="FFFF00"/>
                                <w:sz w:val="21"/>
                                <w:szCs w:val="21"/>
                              </w:rPr>
                            </w:pPr>
                            <w:r>
                              <w:rPr>
                                <w:b/>
                                <w:bCs/>
                                <w:color w:val="FFFF00"/>
                                <w:sz w:val="21"/>
                                <w:szCs w:val="21"/>
                              </w:rPr>
                              <w:t>2</w:t>
                            </w:r>
                            <w:r>
                              <w:rPr>
                                <w:rFonts w:hint="eastAsia"/>
                                <w:b/>
                                <w:bCs/>
                                <w:color w:val="FFFF00"/>
                                <w:sz w:val="21"/>
                                <w:szCs w:val="21"/>
                              </w:rPr>
                              <w:t>#</w:t>
                            </w:r>
                          </w:p>
                        </w:txbxContent>
                      </v:textbox>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2668270</wp:posOffset>
                      </wp:positionH>
                      <wp:positionV relativeFrom="paragraph">
                        <wp:posOffset>861695</wp:posOffset>
                      </wp:positionV>
                      <wp:extent cx="142875" cy="144145"/>
                      <wp:effectExtent l="20320" t="23495" r="27305" b="22860"/>
                      <wp:wrapNone/>
                      <wp:docPr id="434" name="自选图形 740"/>
                      <wp:cNvGraphicFramePr/>
                      <a:graphic xmlns:a="http://schemas.openxmlformats.org/drawingml/2006/main">
                        <a:graphicData uri="http://schemas.microsoft.com/office/word/2010/wordprocessingShape">
                          <wps:wsp>
                            <wps:cNvSpPr>
                              <a:spLocks noChangeArrowheads="1"/>
                            </wps:cNvSpPr>
                            <wps:spPr bwMode="auto">
                              <a:xfrm>
                                <a:off x="0" y="0"/>
                                <a:ext cx="142875" cy="144145"/>
                              </a:xfrm>
                              <a:prstGeom prst="star5">
                                <a:avLst/>
                              </a:prstGeom>
                              <a:solidFill>
                                <a:srgbClr val="FFFF00"/>
                              </a:solidFill>
                              <a:ln w="9525" cmpd="sng">
                                <a:solidFill>
                                  <a:srgbClr val="FFC000"/>
                                </a:solidFill>
                                <a:miter lim="800000"/>
                              </a:ln>
                            </wps:spPr>
                            <wps:bodyPr rot="0" vert="horz" wrap="square" lIns="91440" tIns="45720" rIns="91440" bIns="45720" anchor="t" anchorCtr="0" upright="1">
                              <a:noAutofit/>
                            </wps:bodyPr>
                          </wps:wsp>
                        </a:graphicData>
                      </a:graphic>
                    </wp:anchor>
                  </w:drawing>
                </mc:Choice>
                <mc:Fallback>
                  <w:pict>
                    <v:shape id="自选图形 740" o:spid="_x0000_s1026" style="position:absolute;left:0pt;margin-left:210.1pt;margin-top:67.85pt;height:11.35pt;width:11.25pt;z-index:251705344;mso-width-relative:page;mso-height-relative:page;" fillcolor="#FFFF00" filled="t" stroked="t" coordsize="142875,144145" o:gfxdata="UEsDBAoAAAAAAIdO4kAAAAAAAAAAAAAAAAAEAAAAZHJzL1BLAwQUAAAACACHTuJAzYlwZNsAAAAL&#10;AQAADwAAAGRycy9kb3ducmV2LnhtbE2PQU/DMAyF70j8h8hIXBBLWjoYpekOkxBC7LKBEMes9dpq&#10;jVM1aVb+PeYEN9vv6fl7xXq2vYg4+s6RhmShQCBVru6o0fDx/ny7AuGDodr0jlDDN3pYl5cXhclr&#10;d6Ydxn1oBIeQz42GNoQhl9JXLVrjF25AYu3oRmsCr2Mj69GcOdz2MlXqXlrTEX9ozYCbFqvTfrIa&#10;jqfkK8q3z3lSN9uX10cXu80uan19lagnEAHn8GeGX3xGh5KZDm6i2oteQ5aqlK0s3C0fQLAjy1Ie&#10;DnxZrjKQZSH/dyh/AFBLAwQUAAAACACHTuJAzsdoCkoCAACEBAAADgAAAGRycy9lMm9Eb2MueG1s&#10;rVTBbtQwEL0j8Q+W7zSbJUvbqNmq2qoIqUClwgd4HSexsD1m7N1sOXFD/QZuHPkH+JtK8BdMvNvt&#10;tnDogRwiT2b85r3ncY6OV9awpcKgwVU83xtxppyEWru24u/fnT074CxE4WphwKmKX6nAj6dPnxz1&#10;vlRj6MDUChmBuFD2vuJdjL7MsiA7ZUXYA68cJRtAKyKF2GY1ip7QrcnGo9GLrAesPYJUIdDX03WS&#10;bxDxMYDQNFqqU5ALq1xco6IyIpKk0Gkf+DSxbRol49umCSoyU3FSGtObmtB6Pryz6ZEoWxS+03JD&#10;QTyGwgNNVmhHTbdQpyIKtkD9F5TVEiFAE/ck2GwtJDlCKvLRA28uO+FV0kJWB781Pfw/WPlmeYFM&#10;1xUvnhecOWHpyH99+f778/XN1583P76x/SK51PtQUvGlv8BBZ/DnID8E5mDWCdeqE0ToOyVq4pYP&#10;rmb3NgxBoK1s3r+GmlqIRYRk2KpBOwCSFWyVzuVqey5qFZmkj3kxPtifcCYplRdFXkxSB1HebvYY&#10;4ksFlg2LitP44iShi+V5iAMbUd7WJPZgdH2mjUkBtvOZQbYUNCNn9IySYNoSdsuMY33FDyfjgYj1&#10;5FhwbWpyryzcR5uN/o1mdaRbZLSt+AGVbIuM21g3uDVMcSjnUF+Rcwjr4aWrS4sO8BNnPQ0u8fi4&#10;EKg4M68cuX9IDg2TnoJisj+mAHcz892McJKgKh45Wy9ncX07Fh5121GnPGl0cEIn1uhk5h2rDVka&#10;zuTx5iIN078bp6q7n8f0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2JcGTbAAAACwEAAA8AAAAA&#10;AAAAAQAgAAAAIgAAAGRycy9kb3ducmV2LnhtbFBLAQIUABQAAAAIAIdO4kDOx2gKSgIAAIQEAAAO&#10;AAAAAAAAAAEAIAAAACoBAABkcnMvZTJvRG9jLnhtbFBLBQYAAAAABgAGAFkBAADmBQAAAAA=&#10;" path="m0,55058l54573,55058,71437,0,88301,55058,142874,55058,98723,89086,115588,144144,71437,110116,27286,144144,44151,89086xe">
                      <v:path o:connectlocs="71437,0;0,55058;27286,144144;115588,144144;142874,55058" o:connectangles="247,164,82,82,0"/>
                      <v:fill on="t" focussize="0,0"/>
                      <v:stroke color="#FFC000" miterlimit="8" joinstyle="miter"/>
                      <v:imagedata o:title=""/>
                      <o:lock v:ext="edit" aspectratio="f"/>
                    </v:shape>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2825750</wp:posOffset>
                      </wp:positionH>
                      <wp:positionV relativeFrom="paragraph">
                        <wp:posOffset>1881505</wp:posOffset>
                      </wp:positionV>
                      <wp:extent cx="142875" cy="144145"/>
                      <wp:effectExtent l="25400" t="24130" r="22225" b="22225"/>
                      <wp:wrapNone/>
                      <wp:docPr id="433" name="自选图形 741"/>
                      <wp:cNvGraphicFramePr/>
                      <a:graphic xmlns:a="http://schemas.openxmlformats.org/drawingml/2006/main">
                        <a:graphicData uri="http://schemas.microsoft.com/office/word/2010/wordprocessingShape">
                          <wps:wsp>
                            <wps:cNvSpPr>
                              <a:spLocks noChangeArrowheads="1"/>
                            </wps:cNvSpPr>
                            <wps:spPr bwMode="auto">
                              <a:xfrm>
                                <a:off x="0" y="0"/>
                                <a:ext cx="142875" cy="144145"/>
                              </a:xfrm>
                              <a:prstGeom prst="star5">
                                <a:avLst/>
                              </a:prstGeom>
                              <a:solidFill>
                                <a:srgbClr val="FFFF00"/>
                              </a:solidFill>
                              <a:ln w="9525" cmpd="sng">
                                <a:solidFill>
                                  <a:srgbClr val="FFC000"/>
                                </a:solidFill>
                                <a:miter lim="800000"/>
                              </a:ln>
                            </wps:spPr>
                            <wps:bodyPr rot="0" vert="horz" wrap="square" lIns="91440" tIns="45720" rIns="91440" bIns="45720" anchor="t" anchorCtr="0" upright="1">
                              <a:noAutofit/>
                            </wps:bodyPr>
                          </wps:wsp>
                        </a:graphicData>
                      </a:graphic>
                    </wp:anchor>
                  </w:drawing>
                </mc:Choice>
                <mc:Fallback>
                  <w:pict>
                    <v:shape id="自选图形 741" o:spid="_x0000_s1026" style="position:absolute;left:0pt;margin-left:222.5pt;margin-top:148.15pt;height:11.35pt;width:11.25pt;z-index:251704320;mso-width-relative:page;mso-height-relative:page;" fillcolor="#FFFF00" filled="t" stroked="t" coordsize="142875,144145" o:gfxdata="UEsDBAoAAAAAAIdO4kAAAAAAAAAAAAAAAAAEAAAAZHJzL1BLAwQUAAAACACHTuJAWi4Ac9wAAAAL&#10;AQAADwAAAGRycy9kb3ducmV2LnhtbE2PMU/DMBSEdyT+g/WQWBC106aBhDgdKiGE6NKCEKMbvyZR&#10;4+codtzw7zETjKc73X1XbmbTs4Cj6yxJSBYCGFJtdUeNhI/35/tHYM4r0qq3hBK+0cGmur4qVaHt&#10;hfYYDr5hsYRcoSS03g8F565u0Si3sANS9E52NMpHOTZcj+oSy03Pl0Jk3KiO4kKrBty2WJ8Pk5Fw&#10;Oidfgb99zpO427285jZ0232Q8vYmEU/APM7+Lwy/+BEdqsh0tBNpx3oJabqOX7yEZZ6tgMVEmj2s&#10;gR0lrJJcAK9K/v9D9QNQSwMEFAAAAAgAh07iQJ7J2TBKAgAAhAQAAA4AAABkcnMvZTJvRG9jLnht&#10;bK1UwW7UMBC9I/EPlu80m22Wtqtmq2qrIqQClQof4HWcxML2mLF3s+XEDfUbuHHkH+BvKsFfMHG2&#10;y7Zw6IEcLI9n/ObNm3GOT9bWsJXCoMGVPN8bcaachEq7puTv3p4/O+QsROEqYcCpkl+rwE9mT58c&#10;d36qxtCCqRQyAnFh2vmStzH6aZYF2Sorwh545chZA1oRycQmq1B0hG5NNh6NnmcdYOURpAqBTs8G&#10;J98g4mMAoa61VGcgl1a5OKCiMiJSSaHVPvBZYlvXSsY3dR1UZKbkVGlMKyWh/aJfs9mxmDYofKvl&#10;hoJ4DIUHNVmhHSXdQp2JKNgS9V9QVkuEAHXck2CzoZCkCFWRjx5oc9UKr1ItJHXwW9HD/4OVr1eX&#10;yHRV8mJ/nzMnLLX85+dvvz7d3H75cfv9Kzso8l6lzocpBV/5S+zrDP4C5PvAHMxb4Rp1ighdq0RF&#10;3FJ8du9CbwS6yhbdK6gohVhGSIKta7Q9IEnB1qkv19u+qHVkkg7zYnx4MOFMkisviryY9IwyMb27&#10;7DHEFwos6zclp/HFSUIXq4sQh9i7mMQejK7OtTHJwGYxN8hWgmbknL5RGguCD7thxrGu5EeTcU/E&#10;elIsuCYluRcW7qPNR/9GszrSKzLalvyQQrZBxlFhd2oNqi+guiblEIbhpadLmxbwI2cdDS7x+LAU&#10;qDgzLx2pf0QK9ZOejGJyMCYDdz2LXY9wkqBKHjkbtvM4vI6lR920lClPNTo4pY7VOonZ8xtYbcjS&#10;cKZ+bB5SP/27dor68/OY/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aLgBz3AAAAAsBAAAPAAAA&#10;AAAAAAEAIAAAACIAAABkcnMvZG93bnJldi54bWxQSwECFAAUAAAACACHTuJAnsnZMEoCAACEBAAA&#10;DgAAAAAAAAABACAAAAArAQAAZHJzL2Uyb0RvYy54bWxQSwUGAAAAAAYABgBZAQAA5wUAAAAA&#10;" path="m0,55058l54573,55058,71437,0,88301,55058,142874,55058,98723,89086,115588,144144,71437,110116,27286,144144,44151,89086xe">
                      <v:path o:connectlocs="71437,0;0,55058;27286,144144;115588,144144;142874,55058" o:connectangles="247,164,82,82,0"/>
                      <v:fill on="t" focussize="0,0"/>
                      <v:stroke color="#FFC000" miterlimit="8" joinstyle="miter"/>
                      <v:imagedata o:title=""/>
                      <o:lock v:ext="edit" aspectratio="f"/>
                    </v:shape>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2700655</wp:posOffset>
                      </wp:positionH>
                      <wp:positionV relativeFrom="paragraph">
                        <wp:posOffset>1847215</wp:posOffset>
                      </wp:positionV>
                      <wp:extent cx="142875" cy="161925"/>
                      <wp:effectExtent l="14605" t="18415" r="13970" b="10160"/>
                      <wp:wrapNone/>
                      <wp:docPr id="432" name="自选图形 742"/>
                      <wp:cNvGraphicFramePr/>
                      <a:graphic xmlns:a="http://schemas.openxmlformats.org/drawingml/2006/main">
                        <a:graphicData uri="http://schemas.microsoft.com/office/word/2010/wordprocessingShape">
                          <wps:wsp>
                            <wps:cNvSpPr>
                              <a:spLocks noChangeArrowheads="1"/>
                            </wps:cNvSpPr>
                            <wps:spPr bwMode="auto">
                              <a:xfrm>
                                <a:off x="0" y="0"/>
                                <a:ext cx="142875" cy="161925"/>
                              </a:xfrm>
                              <a:prstGeom prst="flowChartExtract">
                                <a:avLst/>
                              </a:prstGeom>
                              <a:solidFill>
                                <a:srgbClr val="FF0000"/>
                              </a:solidFill>
                              <a:ln w="9525" cmpd="sng">
                                <a:solidFill>
                                  <a:srgbClr val="C00000"/>
                                </a:solidFill>
                                <a:miter lim="800000"/>
                              </a:ln>
                            </wps:spPr>
                            <wps:bodyPr rot="0" vert="horz" wrap="square" lIns="91440" tIns="45720" rIns="91440" bIns="45720" anchor="t" anchorCtr="0" upright="1">
                              <a:noAutofit/>
                            </wps:bodyPr>
                          </wps:wsp>
                        </a:graphicData>
                      </a:graphic>
                    </wp:anchor>
                  </w:drawing>
                </mc:Choice>
                <mc:Fallback>
                  <w:pict>
                    <v:shape id="自选图形 742" o:spid="_x0000_s1026" o:spt="127" type="#_x0000_t127" style="position:absolute;left:0pt;margin-left:212.65pt;margin-top:145.45pt;height:12.75pt;width:11.25pt;z-index:251702272;mso-width-relative:page;mso-height-relative:page;" fillcolor="#FF0000" filled="t" stroked="t" coordsize="21600,21600" o:gfxdata="UEsDBAoAAAAAAIdO4kAAAAAAAAAAAAAAAAAEAAAAZHJzL1BLAwQUAAAACACHTuJAVY8+P9cAAAAL&#10;AQAADwAAAGRycy9kb3ducmV2LnhtbE2PwU7DMBBE70j8g7VI3KidNC0kxOkB1Cuihd5de0ki4nUU&#10;u2nh61lOcFzt08ybenPxg5hxin0gDdlCgUCywfXUanh/2949gIjJkDNDINTwhRE2zfVVbSoXzrTD&#10;eZ9awSEUK6OhS2mspIy2Q2/iIoxI/PsIkzeJz6mVbjJnDveDzJVaS2964obOjPjUof3cn7yG7bN1&#10;vXqZ4w7Lw+qwsu032letb28y9Qgi4SX9wfCrz+rQsNMxnMhFMWgo8tWSUQ15qUoQTBTFPY85alhm&#10;6wJkU8v/G5ofUEsDBBQAAAAIAIdO4kAjtODXUwIAAI8EAAAOAAAAZHJzL2Uyb0RvYy54bWytVM1u&#10;00AQviPxDqu9U8cmaVMrTlWlBCEVqFR4gM16ba/YP2Y3ccqJG+IZuHHkHeBtKsFbMLtOS1o49IAP&#10;1o5n9ptvvpnx7GSrFdkI8NKaiuYHI0qE4baWpq3o2zfLJ1NKfGCmZsoaUdEr4enJ/PGjWe9KUdjO&#10;qloAQRDjy95VtAvBlVnmeSc08wfWCYPOxoJmAU1osxpYj+haZcVodJj1FmoHlgvv8evZ4KQ7RHgI&#10;oG0aycWZ5WstTBhQQSgWsCTfSefpPLFtGsHD66bxIhBVUaw0pDcmwfMqvrP5jJUtMNdJvqPAHkLh&#10;Xk2aSYNJb6HOWGBkDfIvKC05WG+bcMCtzoZCkiJYRT66p81lx5xItaDU3t2K7v8fLH+1uQAi64qO&#10;nxaUGKax5T8/ffv18fP1lx/X37+So3ERVeqdLzH40l1ArNO7c8vfeWLsomOmFacAtu8Eq5FbHuOz&#10;Oxei4fEqWfUvbY0p2DrYJNi2AR0BUQqyTX25uu2L2AbC8WM+LqZHE0o4uvLD/LiYpAysvLnswIfn&#10;wmoSDxVtlO2RFoRn2wCMh5SIbc59iMRYeROeCrFK1kupVDKgXS0UkA3DcVkuR/jsMvn9MGVIX9Hj&#10;CfIgXDsUz5s2JbkT5vfRFhHsn2haBlwoJXVFp/tByuxUjMINDVjZ+gpFBDvMMW4xHjoLHyjpcYaR&#10;x/s1A0GJemGwEcf5eByHPhnjyVGBBux7VvseZjhCVTRQMhwXYViUtQPZdpgpTzUae4rNa2QSMzZ2&#10;YLUji3OaNN7tVFyEfTtF/fmPzH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Y8+P9cAAAALAQAA&#10;DwAAAAAAAAABACAAAAAiAAAAZHJzL2Rvd25yZXYueG1sUEsBAhQAFAAAAAgAh07iQCO04NdTAgAA&#10;jwQAAA4AAAAAAAAAAQAgAAAAJgEAAGRycy9lMm9Eb2MueG1sUEsFBgAAAAAGAAYAWQEAAOsFAAAA&#10;AA==&#10;">
                      <v:fill on="t" focussize="0,0"/>
                      <v:stroke color="#C00000" miterlimit="8" joinstyle="miter"/>
                      <v:imagedata o:title=""/>
                      <o:lock v:ext="edit" aspectratio="f"/>
                    </v:shape>
                  </w:pict>
                </mc:Fallback>
              </mc:AlternateContent>
            </w:r>
          </w:p>
          <w:p>
            <w:pPr>
              <w:pStyle w:val="46"/>
            </w:pPr>
            <w:r>
              <w:rPr>
                <w:rFonts w:hint="eastAsia"/>
              </w:rPr>
              <w:t>图3-1 地表水、土壤和大气环境现状采样点位示意图</w:t>
            </w:r>
          </w:p>
          <w:p>
            <w:pPr>
              <w:pStyle w:val="6"/>
              <w:rPr>
                <w:kern w:val="2"/>
              </w:rPr>
            </w:pPr>
            <w:r>
              <w:rPr>
                <w:kern w:val="2"/>
              </w:rPr>
              <w:t>3.1.5生态环境</w:t>
            </w:r>
          </w:p>
          <w:p>
            <w:pPr>
              <w:ind w:firstLine="480"/>
            </w:pPr>
            <w:r>
              <w:t>根据实地踏勘，</w:t>
            </w:r>
            <w:r>
              <w:rPr>
                <w:szCs w:val="22"/>
              </w:rPr>
              <w:t>本项目位于</w:t>
            </w:r>
            <w:r>
              <w:rPr>
                <w:rFonts w:hint="eastAsia"/>
                <w:szCs w:val="22"/>
              </w:rPr>
              <w:t>桐乡市崇福镇杭福路1336号20幢1号</w:t>
            </w:r>
            <w:r>
              <w:rPr>
                <w:szCs w:val="22"/>
              </w:rPr>
              <w:t>，该地</w:t>
            </w:r>
            <w:r>
              <w:t>区处于人类活动频繁区，无原始植被生长和珍贵野生动物活动，区域生态系统敏感程度较低，项目的实施不会对生物栖息产生较大的影响。</w:t>
            </w:r>
          </w:p>
          <w:p>
            <w:pPr>
              <w:pStyle w:val="5"/>
              <w:rPr>
                <w:kern w:val="2"/>
              </w:rPr>
            </w:pPr>
            <w:r>
              <w:rPr>
                <w:kern w:val="2"/>
              </w:rPr>
              <w:t>3.2主要环境保护目标</w:t>
            </w:r>
          </w:p>
          <w:p>
            <w:pPr>
              <w:pStyle w:val="6"/>
              <w:rPr>
                <w:kern w:val="2"/>
              </w:rPr>
            </w:pPr>
            <w:r>
              <w:rPr>
                <w:kern w:val="2"/>
              </w:rPr>
              <w:t>3.2.1水环境主要保护目标</w:t>
            </w:r>
          </w:p>
          <w:p>
            <w:pPr>
              <w:widowControl/>
              <w:ind w:firstLine="480"/>
              <w:jc w:val="left"/>
              <w:rPr>
                <w:szCs w:val="24"/>
              </w:rPr>
            </w:pPr>
            <w:r>
              <w:rPr>
                <w:szCs w:val="24"/>
              </w:rPr>
              <w:t>水环境</w:t>
            </w:r>
            <w:r>
              <w:t>保护</w:t>
            </w:r>
            <w:r>
              <w:rPr>
                <w:szCs w:val="22"/>
              </w:rPr>
              <w:t>目标主要为</w:t>
            </w:r>
            <w:r>
              <w:rPr>
                <w:rFonts w:hint="eastAsia"/>
                <w:szCs w:val="22"/>
              </w:rPr>
              <w:t>京杭运河及其支流店街塘港</w:t>
            </w:r>
            <w:r>
              <w:rPr>
                <w:szCs w:val="22"/>
              </w:rPr>
              <w:t>，</w:t>
            </w:r>
            <w:r>
              <w:t>根据《浙江省水功能区水环境功能区划分方案》（浙江省人民政府，2015年6月）划分，选址区域水功能区为运河桐乡饮用、农业用水区，保护级别为《地表水环境质量标准》（GB3838-2002）中的</w:t>
            </w:r>
            <w:r>
              <w:rPr>
                <w:szCs w:val="22"/>
              </w:rPr>
              <w:t>Ⅲ</w:t>
            </w:r>
            <w:r>
              <w:t>类标准</w:t>
            </w:r>
            <w:r>
              <w:rPr>
                <w:szCs w:val="24"/>
              </w:rPr>
              <w:t>。</w:t>
            </w:r>
          </w:p>
          <w:p>
            <w:pPr>
              <w:pStyle w:val="6"/>
              <w:rPr>
                <w:kern w:val="2"/>
              </w:rPr>
            </w:pPr>
            <w:r>
              <w:rPr>
                <w:kern w:val="2"/>
              </w:rPr>
              <w:t>3.2.2环境空气主要保护目标</w:t>
            </w:r>
          </w:p>
          <w:p>
            <w:pPr>
              <w:ind w:firstLine="480"/>
            </w:pPr>
            <w:r>
              <w:t>环境空气的保护目标为评价范围内的环境空气质量，根据嘉兴市环境空气质量功能区划，项目所在区域属环境空气二类功能区，保护级别为《环境空气质量标准》</w:t>
            </w:r>
            <w:r>
              <w:rPr>
                <w:rFonts w:hint="eastAsia"/>
              </w:rPr>
              <w:t>（</w:t>
            </w:r>
            <w:r>
              <w:t>GB3095-2012</w:t>
            </w:r>
            <w:r>
              <w:rPr>
                <w:rFonts w:hint="eastAsia"/>
              </w:rPr>
              <w:t>）</w:t>
            </w:r>
            <w:r>
              <w:t>中的二级标准。</w:t>
            </w:r>
          </w:p>
          <w:p>
            <w:pPr>
              <w:pStyle w:val="6"/>
              <w:rPr>
                <w:kern w:val="2"/>
              </w:rPr>
            </w:pPr>
            <w:r>
              <w:rPr>
                <w:kern w:val="2"/>
              </w:rPr>
              <w:t>3.3.3声环境主要保护目标</w:t>
            </w:r>
          </w:p>
          <w:p>
            <w:pPr>
              <w:ind w:firstLine="480"/>
            </w:pPr>
            <w:r>
              <w:t>声环境保护目标为本项目周围的声环境质量，</w:t>
            </w:r>
            <w:r>
              <w:rPr>
                <w:szCs w:val="24"/>
              </w:rPr>
              <w:t>本项目厂界</w:t>
            </w:r>
            <w:r>
              <w:t>区域保护级别为《声环境质量标准》（GB3096-2008）中的3类标准。</w:t>
            </w:r>
          </w:p>
          <w:p>
            <w:pPr>
              <w:ind w:firstLine="0" w:firstLineChars="0"/>
              <w:rPr>
                <w:b/>
                <w:bCs/>
                <w:szCs w:val="22"/>
              </w:rPr>
            </w:pPr>
            <w:r>
              <w:rPr>
                <w:rFonts w:hint="eastAsia"/>
                <w:b/>
                <w:bCs/>
                <w:szCs w:val="22"/>
              </w:rPr>
              <w:t>3.3.4土壤主要保护目标</w:t>
            </w:r>
          </w:p>
          <w:p>
            <w:pPr>
              <w:ind w:firstLine="480"/>
              <w:rPr>
                <w:szCs w:val="22"/>
              </w:rPr>
            </w:pPr>
            <w:r>
              <w:rPr>
                <w:rFonts w:hint="eastAsia"/>
                <w:szCs w:val="22"/>
              </w:rPr>
              <w:t>土壤保护目标主要为本项目周边农田，保护级别为</w:t>
            </w:r>
            <w:r>
              <w:rPr>
                <w:szCs w:val="22"/>
              </w:rPr>
              <w:t>《土壤环境质量 农用地土壤污染风险管控标准（试行）》（GB15618-2018）中</w:t>
            </w:r>
            <w:r>
              <w:rPr>
                <w:rFonts w:hint="eastAsia"/>
                <w:szCs w:val="22"/>
              </w:rPr>
              <w:t>相应风险筛选值。</w:t>
            </w:r>
          </w:p>
          <w:p>
            <w:pPr>
              <w:ind w:firstLine="480"/>
            </w:pPr>
            <w:r>
              <w:t>项目主要环境保护目标详见表3-</w:t>
            </w:r>
            <w:r>
              <w:rPr>
                <w:rFonts w:hint="eastAsia"/>
              </w:rPr>
              <w:t>8</w:t>
            </w:r>
            <w:r>
              <w:t>和图3-</w:t>
            </w:r>
            <w:r>
              <w:rPr>
                <w:rFonts w:hint="eastAsia"/>
              </w:rPr>
              <w:t>2</w:t>
            </w:r>
            <w:r>
              <w:t>。</w:t>
            </w:r>
          </w:p>
          <w:p>
            <w:pPr>
              <w:pStyle w:val="46"/>
            </w:pPr>
            <w:r>
              <w:t>表3-</w:t>
            </w:r>
            <w:r>
              <w:rPr>
                <w:rFonts w:hint="eastAsia"/>
              </w:rPr>
              <w:t>8</w:t>
            </w:r>
            <w:r>
              <w:t xml:space="preserve"> 环境主要保护目标汇总表</w:t>
            </w:r>
          </w:p>
          <w:tbl>
            <w:tblPr>
              <w:tblStyle w:val="3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
              <w:gridCol w:w="973"/>
              <w:gridCol w:w="1422"/>
              <w:gridCol w:w="1353"/>
              <w:gridCol w:w="720"/>
              <w:gridCol w:w="795"/>
              <w:gridCol w:w="777"/>
              <w:gridCol w:w="927"/>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restart"/>
                  <w:tcBorders>
                    <w:top w:val="single" w:color="auto" w:sz="4" w:space="0"/>
                    <w:left w:val="single" w:color="auto" w:sz="4" w:space="0"/>
                    <w:bottom w:val="single" w:color="auto" w:sz="4" w:space="0"/>
                    <w:right w:val="single" w:color="auto" w:sz="4" w:space="0"/>
                  </w:tcBorders>
                  <w:vAlign w:val="center"/>
                </w:tcPr>
                <w:p>
                  <w:pPr>
                    <w:pStyle w:val="49"/>
                    <w:rPr>
                      <w:b/>
                      <w:bCs/>
                      <w:szCs w:val="18"/>
                    </w:rPr>
                  </w:pPr>
                  <w:r>
                    <w:rPr>
                      <w:b/>
                      <w:bCs/>
                      <w:szCs w:val="18"/>
                    </w:rPr>
                    <w:t>环境</w:t>
                  </w:r>
                </w:p>
              </w:tc>
              <w:tc>
                <w:tcPr>
                  <w:tcW w:w="558" w:type="pct"/>
                  <w:vMerge w:val="restart"/>
                  <w:tcBorders>
                    <w:top w:val="single" w:color="auto" w:sz="4" w:space="0"/>
                    <w:left w:val="single" w:color="auto" w:sz="4" w:space="0"/>
                    <w:bottom w:val="single" w:color="auto" w:sz="4" w:space="0"/>
                    <w:right w:val="single" w:color="auto" w:sz="4" w:space="0"/>
                  </w:tcBorders>
                  <w:vAlign w:val="center"/>
                </w:tcPr>
                <w:p>
                  <w:pPr>
                    <w:pStyle w:val="49"/>
                    <w:rPr>
                      <w:b/>
                      <w:bCs/>
                      <w:szCs w:val="18"/>
                    </w:rPr>
                  </w:pPr>
                  <w:r>
                    <w:rPr>
                      <w:b/>
                      <w:bCs/>
                      <w:szCs w:val="18"/>
                    </w:rPr>
                    <w:t>环境保护目标</w:t>
                  </w:r>
                </w:p>
              </w:tc>
              <w:tc>
                <w:tcPr>
                  <w:tcW w:w="1592" w:type="pct"/>
                  <w:gridSpan w:val="2"/>
                  <w:tcBorders>
                    <w:top w:val="single" w:color="auto" w:sz="4" w:space="0"/>
                    <w:left w:val="single" w:color="auto" w:sz="4" w:space="0"/>
                    <w:bottom w:val="single" w:color="auto" w:sz="4" w:space="0"/>
                    <w:right w:val="single" w:color="auto" w:sz="4" w:space="0"/>
                  </w:tcBorders>
                  <w:vAlign w:val="center"/>
                </w:tcPr>
                <w:p>
                  <w:pPr>
                    <w:pStyle w:val="49"/>
                    <w:rPr>
                      <w:b/>
                      <w:bCs/>
                      <w:szCs w:val="18"/>
                    </w:rPr>
                  </w:pPr>
                  <w:r>
                    <w:rPr>
                      <w:b/>
                      <w:bCs/>
                      <w:szCs w:val="18"/>
                    </w:rPr>
                    <w:t>坐标*</w:t>
                  </w:r>
                </w:p>
              </w:tc>
              <w:tc>
                <w:tcPr>
                  <w:tcW w:w="413" w:type="pct"/>
                  <w:vMerge w:val="restart"/>
                  <w:tcBorders>
                    <w:top w:val="single" w:color="auto" w:sz="4" w:space="0"/>
                    <w:left w:val="single" w:color="auto" w:sz="4" w:space="0"/>
                    <w:bottom w:val="single" w:color="auto" w:sz="4" w:space="0"/>
                    <w:right w:val="single" w:color="auto" w:sz="4" w:space="0"/>
                  </w:tcBorders>
                  <w:vAlign w:val="center"/>
                </w:tcPr>
                <w:p>
                  <w:pPr>
                    <w:pStyle w:val="49"/>
                    <w:rPr>
                      <w:b/>
                      <w:bCs/>
                      <w:szCs w:val="18"/>
                    </w:rPr>
                  </w:pPr>
                  <w:r>
                    <w:rPr>
                      <w:b/>
                      <w:bCs/>
                      <w:szCs w:val="18"/>
                    </w:rPr>
                    <w:t>相对厂址方位</w:t>
                  </w:r>
                </w:p>
              </w:tc>
              <w:tc>
                <w:tcPr>
                  <w:tcW w:w="456" w:type="pct"/>
                  <w:vMerge w:val="restart"/>
                  <w:tcBorders>
                    <w:top w:val="single" w:color="auto" w:sz="4" w:space="0"/>
                    <w:left w:val="single" w:color="auto" w:sz="4" w:space="0"/>
                    <w:bottom w:val="single" w:color="auto" w:sz="4" w:space="0"/>
                    <w:right w:val="single" w:color="auto" w:sz="4" w:space="0"/>
                  </w:tcBorders>
                  <w:vAlign w:val="center"/>
                </w:tcPr>
                <w:p>
                  <w:pPr>
                    <w:pStyle w:val="49"/>
                    <w:rPr>
                      <w:b/>
                      <w:bCs/>
                      <w:szCs w:val="18"/>
                    </w:rPr>
                  </w:pPr>
                  <w:r>
                    <w:rPr>
                      <w:b/>
                      <w:bCs/>
                      <w:szCs w:val="18"/>
                    </w:rPr>
                    <w:t>相对厂界最近距离/m</w:t>
                  </w:r>
                </w:p>
              </w:tc>
              <w:tc>
                <w:tcPr>
                  <w:tcW w:w="446" w:type="pct"/>
                  <w:vMerge w:val="restart"/>
                  <w:tcBorders>
                    <w:top w:val="single" w:color="auto" w:sz="4" w:space="0"/>
                    <w:left w:val="single" w:color="auto" w:sz="4" w:space="0"/>
                    <w:bottom w:val="single" w:color="auto" w:sz="4" w:space="0"/>
                    <w:right w:val="single" w:color="auto" w:sz="4" w:space="0"/>
                  </w:tcBorders>
                  <w:vAlign w:val="center"/>
                </w:tcPr>
                <w:p>
                  <w:pPr>
                    <w:pStyle w:val="49"/>
                    <w:rPr>
                      <w:b/>
                      <w:bCs/>
                      <w:kern w:val="0"/>
                      <w:szCs w:val="18"/>
                    </w:rPr>
                  </w:pPr>
                  <w:r>
                    <w:rPr>
                      <w:b/>
                      <w:bCs/>
                      <w:kern w:val="0"/>
                      <w:szCs w:val="18"/>
                    </w:rPr>
                    <w:t>保护</w:t>
                  </w:r>
                </w:p>
                <w:p>
                  <w:pPr>
                    <w:pStyle w:val="49"/>
                    <w:rPr>
                      <w:b/>
                      <w:bCs/>
                      <w:kern w:val="0"/>
                      <w:szCs w:val="18"/>
                    </w:rPr>
                  </w:pPr>
                  <w:r>
                    <w:rPr>
                      <w:b/>
                      <w:bCs/>
                      <w:kern w:val="0"/>
                      <w:szCs w:val="18"/>
                    </w:rPr>
                    <w:t>对象</w:t>
                  </w:r>
                </w:p>
              </w:tc>
              <w:tc>
                <w:tcPr>
                  <w:tcW w:w="532" w:type="pct"/>
                  <w:vMerge w:val="restart"/>
                  <w:tcBorders>
                    <w:top w:val="single" w:color="auto" w:sz="4" w:space="0"/>
                    <w:left w:val="single" w:color="auto" w:sz="4" w:space="0"/>
                    <w:bottom w:val="single" w:color="auto" w:sz="4" w:space="0"/>
                    <w:right w:val="single" w:color="auto" w:sz="4" w:space="0"/>
                  </w:tcBorders>
                  <w:vAlign w:val="center"/>
                </w:tcPr>
                <w:p>
                  <w:pPr>
                    <w:pStyle w:val="49"/>
                    <w:rPr>
                      <w:b/>
                      <w:bCs/>
                      <w:kern w:val="0"/>
                      <w:szCs w:val="18"/>
                    </w:rPr>
                  </w:pPr>
                  <w:r>
                    <w:rPr>
                      <w:b/>
                      <w:bCs/>
                      <w:kern w:val="0"/>
                      <w:szCs w:val="18"/>
                    </w:rPr>
                    <w:t>保护内容</w:t>
                  </w:r>
                </w:p>
              </w:tc>
              <w:tc>
                <w:tcPr>
                  <w:tcW w:w="741" w:type="pct"/>
                  <w:vMerge w:val="restart"/>
                  <w:tcBorders>
                    <w:top w:val="single" w:color="auto" w:sz="4" w:space="0"/>
                    <w:left w:val="single" w:color="auto" w:sz="4" w:space="0"/>
                    <w:bottom w:val="single" w:color="auto" w:sz="4" w:space="0"/>
                    <w:right w:val="single" w:color="auto" w:sz="4" w:space="0"/>
                  </w:tcBorders>
                  <w:vAlign w:val="center"/>
                </w:tcPr>
                <w:p>
                  <w:pPr>
                    <w:pStyle w:val="49"/>
                    <w:rPr>
                      <w:b/>
                      <w:bCs/>
                      <w:szCs w:val="18"/>
                    </w:rPr>
                  </w:pPr>
                  <w:r>
                    <w:rPr>
                      <w:b/>
                      <w:bCs/>
                      <w:szCs w:val="18"/>
                    </w:rPr>
                    <w:t>环境功能区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top w:val="single" w:color="auto" w:sz="4" w:space="0"/>
                    <w:left w:val="single" w:color="auto" w:sz="4" w:space="0"/>
                    <w:bottom w:val="single" w:color="auto" w:sz="4" w:space="0"/>
                    <w:right w:val="single" w:color="auto" w:sz="4" w:space="0"/>
                  </w:tcBorders>
                  <w:vAlign w:val="center"/>
                </w:tcPr>
                <w:p>
                  <w:pPr>
                    <w:pStyle w:val="49"/>
                    <w:rPr>
                      <w:szCs w:val="18"/>
                    </w:rPr>
                  </w:pPr>
                </w:p>
              </w:tc>
              <w:tc>
                <w:tcPr>
                  <w:tcW w:w="558" w:type="pct"/>
                  <w:vMerge w:val="continue"/>
                  <w:tcBorders>
                    <w:top w:val="single" w:color="auto" w:sz="4" w:space="0"/>
                    <w:left w:val="single" w:color="auto" w:sz="4" w:space="0"/>
                    <w:bottom w:val="single" w:color="auto" w:sz="4" w:space="0"/>
                    <w:right w:val="single" w:color="auto" w:sz="4" w:space="0"/>
                  </w:tcBorders>
                  <w:vAlign w:val="center"/>
                </w:tcPr>
                <w:p>
                  <w:pPr>
                    <w:pStyle w:val="49"/>
                    <w:rPr>
                      <w:szCs w:val="18"/>
                    </w:rPr>
                  </w:pPr>
                </w:p>
              </w:tc>
              <w:tc>
                <w:tcPr>
                  <w:tcW w:w="816" w:type="pct"/>
                  <w:tcBorders>
                    <w:top w:val="single" w:color="auto" w:sz="4" w:space="0"/>
                    <w:left w:val="single" w:color="auto" w:sz="4" w:space="0"/>
                    <w:bottom w:val="single" w:color="auto" w:sz="4" w:space="0"/>
                    <w:right w:val="single" w:color="auto" w:sz="4" w:space="0"/>
                  </w:tcBorders>
                  <w:vAlign w:val="center"/>
                </w:tcPr>
                <w:p>
                  <w:pPr>
                    <w:pStyle w:val="49"/>
                    <w:rPr>
                      <w:b/>
                      <w:bCs/>
                      <w:szCs w:val="18"/>
                    </w:rPr>
                  </w:pPr>
                  <w:r>
                    <w:rPr>
                      <w:b/>
                      <w:bCs/>
                      <w:szCs w:val="18"/>
                    </w:rPr>
                    <w:t>X</w:t>
                  </w:r>
                </w:p>
              </w:tc>
              <w:tc>
                <w:tcPr>
                  <w:tcW w:w="775" w:type="pct"/>
                  <w:tcBorders>
                    <w:top w:val="single" w:color="auto" w:sz="4" w:space="0"/>
                    <w:left w:val="single" w:color="auto" w:sz="4" w:space="0"/>
                    <w:bottom w:val="single" w:color="auto" w:sz="4" w:space="0"/>
                    <w:right w:val="single" w:color="auto" w:sz="4" w:space="0"/>
                  </w:tcBorders>
                  <w:vAlign w:val="center"/>
                </w:tcPr>
                <w:p>
                  <w:pPr>
                    <w:pStyle w:val="49"/>
                    <w:rPr>
                      <w:b/>
                      <w:bCs/>
                      <w:szCs w:val="18"/>
                    </w:rPr>
                  </w:pPr>
                  <w:r>
                    <w:rPr>
                      <w:b/>
                      <w:bCs/>
                      <w:szCs w:val="18"/>
                    </w:rPr>
                    <w:t>Y</w:t>
                  </w:r>
                </w:p>
              </w:tc>
              <w:tc>
                <w:tcPr>
                  <w:tcW w:w="413" w:type="pct"/>
                  <w:vMerge w:val="continue"/>
                  <w:tcBorders>
                    <w:top w:val="single" w:color="auto" w:sz="4" w:space="0"/>
                    <w:left w:val="single" w:color="auto" w:sz="4" w:space="0"/>
                    <w:bottom w:val="single" w:color="auto" w:sz="4" w:space="0"/>
                    <w:right w:val="single" w:color="auto" w:sz="4" w:space="0"/>
                  </w:tcBorders>
                  <w:vAlign w:val="center"/>
                </w:tcPr>
                <w:p>
                  <w:pPr>
                    <w:pStyle w:val="49"/>
                    <w:rPr>
                      <w:szCs w:val="18"/>
                    </w:rPr>
                  </w:pPr>
                </w:p>
              </w:tc>
              <w:tc>
                <w:tcPr>
                  <w:tcW w:w="456" w:type="pct"/>
                  <w:vMerge w:val="continue"/>
                  <w:tcBorders>
                    <w:top w:val="single" w:color="auto" w:sz="4" w:space="0"/>
                    <w:left w:val="single" w:color="auto" w:sz="4" w:space="0"/>
                    <w:bottom w:val="single" w:color="auto" w:sz="4" w:space="0"/>
                    <w:right w:val="single" w:color="auto" w:sz="4" w:space="0"/>
                  </w:tcBorders>
                  <w:vAlign w:val="center"/>
                </w:tcPr>
                <w:p>
                  <w:pPr>
                    <w:pStyle w:val="49"/>
                    <w:rPr>
                      <w:szCs w:val="18"/>
                    </w:rPr>
                  </w:pPr>
                </w:p>
              </w:tc>
              <w:tc>
                <w:tcPr>
                  <w:tcW w:w="446" w:type="pct"/>
                  <w:vMerge w:val="continue"/>
                  <w:tcBorders>
                    <w:top w:val="single" w:color="auto" w:sz="4" w:space="0"/>
                    <w:left w:val="single" w:color="auto" w:sz="4" w:space="0"/>
                    <w:bottom w:val="single" w:color="auto" w:sz="4" w:space="0"/>
                    <w:right w:val="single" w:color="auto" w:sz="4" w:space="0"/>
                  </w:tcBorders>
                  <w:vAlign w:val="center"/>
                </w:tcPr>
                <w:p>
                  <w:pPr>
                    <w:pStyle w:val="49"/>
                    <w:rPr>
                      <w:kern w:val="0"/>
                      <w:szCs w:val="18"/>
                    </w:rPr>
                  </w:pPr>
                </w:p>
              </w:tc>
              <w:tc>
                <w:tcPr>
                  <w:tcW w:w="532" w:type="pct"/>
                  <w:vMerge w:val="continue"/>
                  <w:tcBorders>
                    <w:top w:val="single" w:color="auto" w:sz="4" w:space="0"/>
                    <w:left w:val="single" w:color="auto" w:sz="4" w:space="0"/>
                    <w:bottom w:val="single" w:color="auto" w:sz="4" w:space="0"/>
                    <w:right w:val="single" w:color="auto" w:sz="4" w:space="0"/>
                  </w:tcBorders>
                  <w:vAlign w:val="center"/>
                </w:tcPr>
                <w:p>
                  <w:pPr>
                    <w:pStyle w:val="49"/>
                    <w:rPr>
                      <w:kern w:val="0"/>
                      <w:szCs w:val="18"/>
                    </w:rPr>
                  </w:pPr>
                </w:p>
              </w:tc>
              <w:tc>
                <w:tcPr>
                  <w:tcW w:w="741" w:type="pct"/>
                  <w:vMerge w:val="continue"/>
                  <w:tcBorders>
                    <w:top w:val="single" w:color="auto" w:sz="4" w:space="0"/>
                    <w:left w:val="single" w:color="auto" w:sz="4" w:space="0"/>
                    <w:bottom w:val="single" w:color="auto" w:sz="4" w:space="0"/>
                    <w:right w:val="single" w:color="auto" w:sz="4" w:space="0"/>
                  </w:tcBorders>
                  <w:vAlign w:val="center"/>
                </w:tcPr>
                <w:p>
                  <w:pPr>
                    <w:pStyle w:val="49"/>
                    <w:rPr>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restart"/>
                  <w:tcBorders>
                    <w:top w:val="single" w:color="auto" w:sz="4" w:space="0"/>
                    <w:left w:val="single" w:color="auto" w:sz="4" w:space="0"/>
                    <w:right w:val="single" w:color="auto" w:sz="4" w:space="0"/>
                  </w:tcBorders>
                  <w:vAlign w:val="center"/>
                </w:tcPr>
                <w:p>
                  <w:pPr>
                    <w:pStyle w:val="49"/>
                    <w:rPr>
                      <w:szCs w:val="18"/>
                    </w:rPr>
                  </w:pPr>
                  <w:r>
                    <w:rPr>
                      <w:szCs w:val="18"/>
                    </w:rPr>
                    <w:t>地表水</w:t>
                  </w:r>
                </w:p>
              </w:tc>
              <w:tc>
                <w:tcPr>
                  <w:tcW w:w="558" w:type="pct"/>
                  <w:tcBorders>
                    <w:top w:val="single" w:color="auto" w:sz="4" w:space="0"/>
                    <w:left w:val="single" w:color="auto" w:sz="4" w:space="0"/>
                    <w:bottom w:val="single" w:color="auto" w:sz="4" w:space="0"/>
                    <w:right w:val="single" w:color="auto" w:sz="4" w:space="0"/>
                  </w:tcBorders>
                  <w:vAlign w:val="center"/>
                </w:tcPr>
                <w:p>
                  <w:pPr>
                    <w:pStyle w:val="49"/>
                    <w:rPr>
                      <w:szCs w:val="18"/>
                    </w:rPr>
                  </w:pPr>
                  <w:r>
                    <w:rPr>
                      <w:rFonts w:hint="eastAsia"/>
                      <w:kern w:val="0"/>
                      <w:szCs w:val="18"/>
                    </w:rPr>
                    <w:t>店街塘港</w:t>
                  </w:r>
                </w:p>
              </w:tc>
              <w:tc>
                <w:tcPr>
                  <w:tcW w:w="816" w:type="pct"/>
                  <w:tcBorders>
                    <w:top w:val="single" w:color="auto" w:sz="4" w:space="0"/>
                    <w:left w:val="single" w:color="auto" w:sz="4" w:space="0"/>
                    <w:bottom w:val="single" w:color="auto" w:sz="4" w:space="0"/>
                    <w:right w:val="single" w:color="auto" w:sz="4" w:space="0"/>
                  </w:tcBorders>
                  <w:vAlign w:val="center"/>
                </w:tcPr>
                <w:p>
                  <w:pPr>
                    <w:pStyle w:val="49"/>
                    <w:rPr>
                      <w:b/>
                      <w:bCs/>
                      <w:szCs w:val="18"/>
                    </w:rPr>
                  </w:pPr>
                  <w:r>
                    <w:rPr>
                      <w:kern w:val="0"/>
                      <w:szCs w:val="18"/>
                    </w:rPr>
                    <w:t>/</w:t>
                  </w:r>
                </w:p>
              </w:tc>
              <w:tc>
                <w:tcPr>
                  <w:tcW w:w="775" w:type="pct"/>
                  <w:tcBorders>
                    <w:top w:val="single" w:color="auto" w:sz="4" w:space="0"/>
                    <w:left w:val="single" w:color="auto" w:sz="4" w:space="0"/>
                    <w:bottom w:val="single" w:color="auto" w:sz="4" w:space="0"/>
                    <w:right w:val="single" w:color="auto" w:sz="4" w:space="0"/>
                  </w:tcBorders>
                  <w:vAlign w:val="center"/>
                </w:tcPr>
                <w:p>
                  <w:pPr>
                    <w:pStyle w:val="49"/>
                    <w:rPr>
                      <w:b/>
                      <w:bCs/>
                      <w:szCs w:val="18"/>
                    </w:rPr>
                  </w:pPr>
                  <w:r>
                    <w:rPr>
                      <w:kern w:val="0"/>
                      <w:szCs w:val="18"/>
                    </w:rPr>
                    <w:t>/</w:t>
                  </w:r>
                </w:p>
              </w:tc>
              <w:tc>
                <w:tcPr>
                  <w:tcW w:w="413" w:type="pct"/>
                  <w:tcBorders>
                    <w:top w:val="single" w:color="auto" w:sz="4" w:space="0"/>
                    <w:left w:val="single" w:color="auto" w:sz="4" w:space="0"/>
                    <w:bottom w:val="single" w:color="auto" w:sz="4" w:space="0"/>
                    <w:right w:val="single" w:color="auto" w:sz="4" w:space="0"/>
                  </w:tcBorders>
                  <w:vAlign w:val="center"/>
                </w:tcPr>
                <w:p>
                  <w:pPr>
                    <w:pStyle w:val="49"/>
                    <w:rPr>
                      <w:szCs w:val="18"/>
                    </w:rPr>
                  </w:pPr>
                  <w:r>
                    <w:rPr>
                      <w:rFonts w:hint="eastAsia"/>
                      <w:kern w:val="0"/>
                      <w:szCs w:val="18"/>
                    </w:rPr>
                    <w:t>N</w:t>
                  </w:r>
                </w:p>
              </w:tc>
              <w:tc>
                <w:tcPr>
                  <w:tcW w:w="456" w:type="pct"/>
                  <w:tcBorders>
                    <w:top w:val="single" w:color="auto" w:sz="4" w:space="0"/>
                    <w:left w:val="single" w:color="auto" w:sz="4" w:space="0"/>
                    <w:bottom w:val="single" w:color="auto" w:sz="4" w:space="0"/>
                    <w:right w:val="single" w:color="auto" w:sz="4" w:space="0"/>
                  </w:tcBorders>
                  <w:vAlign w:val="center"/>
                </w:tcPr>
                <w:p>
                  <w:pPr>
                    <w:pStyle w:val="49"/>
                    <w:rPr>
                      <w:szCs w:val="18"/>
                    </w:rPr>
                  </w:pPr>
                  <w:r>
                    <w:rPr>
                      <w:rFonts w:hint="eastAsia"/>
                      <w:kern w:val="0"/>
                      <w:szCs w:val="18"/>
                    </w:rPr>
                    <w:t>130</w:t>
                  </w:r>
                </w:p>
              </w:tc>
              <w:tc>
                <w:tcPr>
                  <w:tcW w:w="446" w:type="pct"/>
                  <w:tcBorders>
                    <w:top w:val="single" w:color="auto" w:sz="4" w:space="0"/>
                    <w:left w:val="single" w:color="auto" w:sz="4" w:space="0"/>
                    <w:bottom w:val="single" w:color="auto" w:sz="4" w:space="0"/>
                    <w:right w:val="single" w:color="auto" w:sz="4" w:space="0"/>
                  </w:tcBorders>
                  <w:vAlign w:val="center"/>
                </w:tcPr>
                <w:p>
                  <w:pPr>
                    <w:pStyle w:val="49"/>
                    <w:rPr>
                      <w:kern w:val="0"/>
                      <w:szCs w:val="18"/>
                    </w:rPr>
                  </w:pPr>
                  <w:r>
                    <w:rPr>
                      <w:kern w:val="0"/>
                      <w:szCs w:val="18"/>
                    </w:rPr>
                    <w:t>地表水</w:t>
                  </w:r>
                </w:p>
              </w:tc>
              <w:tc>
                <w:tcPr>
                  <w:tcW w:w="532" w:type="pct"/>
                  <w:tcBorders>
                    <w:top w:val="single" w:color="auto" w:sz="4" w:space="0"/>
                    <w:left w:val="single" w:color="auto" w:sz="4" w:space="0"/>
                    <w:bottom w:val="single" w:color="auto" w:sz="4" w:space="0"/>
                    <w:right w:val="single" w:color="auto" w:sz="4" w:space="0"/>
                  </w:tcBorders>
                  <w:vAlign w:val="center"/>
                </w:tcPr>
                <w:p>
                  <w:pPr>
                    <w:pStyle w:val="49"/>
                    <w:rPr>
                      <w:kern w:val="0"/>
                      <w:szCs w:val="18"/>
                    </w:rPr>
                  </w:pPr>
                  <w:r>
                    <w:rPr>
                      <w:kern w:val="0"/>
                      <w:szCs w:val="18"/>
                    </w:rPr>
                    <w:t>水质</w:t>
                  </w:r>
                </w:p>
              </w:tc>
              <w:tc>
                <w:tcPr>
                  <w:tcW w:w="741" w:type="pct"/>
                  <w:vMerge w:val="restart"/>
                  <w:tcBorders>
                    <w:top w:val="single" w:color="auto" w:sz="4" w:space="0"/>
                    <w:left w:val="single" w:color="auto" w:sz="4" w:space="0"/>
                    <w:right w:val="single" w:color="auto" w:sz="4" w:space="0"/>
                  </w:tcBorders>
                  <w:vAlign w:val="center"/>
                </w:tcPr>
                <w:p>
                  <w:pPr>
                    <w:pStyle w:val="49"/>
                    <w:rPr>
                      <w:szCs w:val="18"/>
                    </w:rPr>
                  </w:pPr>
                  <w:r>
                    <w:rPr>
                      <w:kern w:val="0"/>
                      <w:szCs w:val="18"/>
                    </w:rPr>
                    <w:t>《地表水质量标准》中的</w:t>
                  </w:r>
                  <w:r>
                    <w:rPr>
                      <w:rFonts w:hint="eastAsia" w:ascii="宋体" w:hAnsi="宋体" w:cs="宋体"/>
                      <w:kern w:val="0"/>
                      <w:szCs w:val="18"/>
                    </w:rPr>
                    <w:t>Ⅲ</w:t>
                  </w:r>
                  <w:r>
                    <w:rPr>
                      <w:kern w:val="0"/>
                      <w:szCs w:val="18"/>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left w:val="single" w:color="auto" w:sz="4" w:space="0"/>
                    <w:bottom w:val="single" w:color="auto" w:sz="4" w:space="0"/>
                    <w:right w:val="single" w:color="auto" w:sz="4" w:space="0"/>
                  </w:tcBorders>
                  <w:vAlign w:val="center"/>
                </w:tcPr>
                <w:p>
                  <w:pPr>
                    <w:pStyle w:val="49"/>
                    <w:rPr>
                      <w:szCs w:val="18"/>
                    </w:rPr>
                  </w:pPr>
                </w:p>
              </w:tc>
              <w:tc>
                <w:tcPr>
                  <w:tcW w:w="558" w:type="pct"/>
                  <w:tcBorders>
                    <w:top w:val="single" w:color="auto" w:sz="4" w:space="0"/>
                    <w:left w:val="single" w:color="auto" w:sz="4" w:space="0"/>
                    <w:bottom w:val="single" w:color="auto" w:sz="4" w:space="0"/>
                    <w:right w:val="single" w:color="auto" w:sz="4" w:space="0"/>
                  </w:tcBorders>
                  <w:vAlign w:val="center"/>
                </w:tcPr>
                <w:p>
                  <w:pPr>
                    <w:pStyle w:val="49"/>
                    <w:rPr>
                      <w:szCs w:val="18"/>
                    </w:rPr>
                  </w:pPr>
                  <w:r>
                    <w:rPr>
                      <w:kern w:val="0"/>
                      <w:szCs w:val="18"/>
                    </w:rPr>
                    <w:t>京杭运河</w:t>
                  </w:r>
                </w:p>
              </w:tc>
              <w:tc>
                <w:tcPr>
                  <w:tcW w:w="816" w:type="pct"/>
                  <w:tcBorders>
                    <w:top w:val="single" w:color="auto" w:sz="4" w:space="0"/>
                    <w:left w:val="single" w:color="auto" w:sz="4" w:space="0"/>
                    <w:bottom w:val="single" w:color="auto" w:sz="4" w:space="0"/>
                    <w:right w:val="single" w:color="auto" w:sz="4" w:space="0"/>
                  </w:tcBorders>
                  <w:vAlign w:val="center"/>
                </w:tcPr>
                <w:p>
                  <w:pPr>
                    <w:pStyle w:val="49"/>
                    <w:rPr>
                      <w:b/>
                      <w:bCs/>
                      <w:szCs w:val="18"/>
                    </w:rPr>
                  </w:pPr>
                  <w:r>
                    <w:rPr>
                      <w:rFonts w:hint="eastAsia"/>
                      <w:kern w:val="0"/>
                      <w:szCs w:val="18"/>
                    </w:rPr>
                    <w:t>/</w:t>
                  </w:r>
                </w:p>
              </w:tc>
              <w:tc>
                <w:tcPr>
                  <w:tcW w:w="775" w:type="pct"/>
                  <w:tcBorders>
                    <w:top w:val="single" w:color="auto" w:sz="4" w:space="0"/>
                    <w:left w:val="single" w:color="auto" w:sz="4" w:space="0"/>
                    <w:bottom w:val="single" w:color="auto" w:sz="4" w:space="0"/>
                    <w:right w:val="single" w:color="auto" w:sz="4" w:space="0"/>
                  </w:tcBorders>
                  <w:vAlign w:val="center"/>
                </w:tcPr>
                <w:p>
                  <w:pPr>
                    <w:pStyle w:val="49"/>
                    <w:rPr>
                      <w:b/>
                      <w:bCs/>
                      <w:szCs w:val="18"/>
                    </w:rPr>
                  </w:pPr>
                  <w:r>
                    <w:rPr>
                      <w:rFonts w:hint="eastAsia"/>
                      <w:kern w:val="0"/>
                      <w:szCs w:val="18"/>
                    </w:rPr>
                    <w:t>/</w:t>
                  </w:r>
                </w:p>
              </w:tc>
              <w:tc>
                <w:tcPr>
                  <w:tcW w:w="413" w:type="pct"/>
                  <w:tcBorders>
                    <w:top w:val="single" w:color="auto" w:sz="4" w:space="0"/>
                    <w:left w:val="single" w:color="auto" w:sz="4" w:space="0"/>
                    <w:bottom w:val="single" w:color="auto" w:sz="4" w:space="0"/>
                    <w:right w:val="single" w:color="auto" w:sz="4" w:space="0"/>
                  </w:tcBorders>
                  <w:vAlign w:val="center"/>
                </w:tcPr>
                <w:p>
                  <w:pPr>
                    <w:pStyle w:val="49"/>
                    <w:rPr>
                      <w:szCs w:val="18"/>
                    </w:rPr>
                  </w:pPr>
                  <w:r>
                    <w:rPr>
                      <w:rFonts w:hint="eastAsia"/>
                      <w:kern w:val="0"/>
                      <w:szCs w:val="18"/>
                    </w:rPr>
                    <w:t>W</w:t>
                  </w:r>
                </w:p>
              </w:tc>
              <w:tc>
                <w:tcPr>
                  <w:tcW w:w="456" w:type="pct"/>
                  <w:tcBorders>
                    <w:top w:val="single" w:color="auto" w:sz="4" w:space="0"/>
                    <w:left w:val="single" w:color="auto" w:sz="4" w:space="0"/>
                    <w:bottom w:val="single" w:color="auto" w:sz="4" w:space="0"/>
                    <w:right w:val="single" w:color="auto" w:sz="4" w:space="0"/>
                  </w:tcBorders>
                  <w:vAlign w:val="center"/>
                </w:tcPr>
                <w:p>
                  <w:pPr>
                    <w:pStyle w:val="49"/>
                    <w:rPr>
                      <w:szCs w:val="18"/>
                    </w:rPr>
                  </w:pPr>
                  <w:r>
                    <w:rPr>
                      <w:rFonts w:hint="eastAsia"/>
                      <w:kern w:val="0"/>
                      <w:szCs w:val="18"/>
                    </w:rPr>
                    <w:t>335</w:t>
                  </w:r>
                </w:p>
              </w:tc>
              <w:tc>
                <w:tcPr>
                  <w:tcW w:w="446" w:type="pct"/>
                  <w:tcBorders>
                    <w:top w:val="single" w:color="auto" w:sz="4" w:space="0"/>
                    <w:left w:val="single" w:color="auto" w:sz="4" w:space="0"/>
                    <w:bottom w:val="single" w:color="auto" w:sz="4" w:space="0"/>
                    <w:right w:val="single" w:color="auto" w:sz="4" w:space="0"/>
                  </w:tcBorders>
                  <w:vAlign w:val="center"/>
                </w:tcPr>
                <w:p>
                  <w:pPr>
                    <w:pStyle w:val="49"/>
                    <w:rPr>
                      <w:kern w:val="0"/>
                      <w:szCs w:val="18"/>
                    </w:rPr>
                  </w:pPr>
                  <w:r>
                    <w:rPr>
                      <w:kern w:val="0"/>
                      <w:szCs w:val="18"/>
                    </w:rPr>
                    <w:t>地表水</w:t>
                  </w:r>
                </w:p>
              </w:tc>
              <w:tc>
                <w:tcPr>
                  <w:tcW w:w="532" w:type="pct"/>
                  <w:tcBorders>
                    <w:top w:val="single" w:color="auto" w:sz="4" w:space="0"/>
                    <w:left w:val="single" w:color="auto" w:sz="4" w:space="0"/>
                    <w:bottom w:val="single" w:color="auto" w:sz="4" w:space="0"/>
                    <w:right w:val="single" w:color="auto" w:sz="4" w:space="0"/>
                  </w:tcBorders>
                  <w:vAlign w:val="center"/>
                </w:tcPr>
                <w:p>
                  <w:pPr>
                    <w:pStyle w:val="49"/>
                    <w:rPr>
                      <w:kern w:val="0"/>
                      <w:szCs w:val="18"/>
                    </w:rPr>
                  </w:pPr>
                  <w:r>
                    <w:rPr>
                      <w:kern w:val="0"/>
                      <w:szCs w:val="18"/>
                    </w:rPr>
                    <w:t>水质</w:t>
                  </w:r>
                </w:p>
              </w:tc>
              <w:tc>
                <w:tcPr>
                  <w:tcW w:w="741" w:type="pct"/>
                  <w:vMerge w:val="continue"/>
                  <w:tcBorders>
                    <w:left w:val="single" w:color="auto" w:sz="4" w:space="0"/>
                    <w:bottom w:val="single" w:color="auto" w:sz="4" w:space="0"/>
                    <w:right w:val="single" w:color="auto" w:sz="4" w:space="0"/>
                  </w:tcBorders>
                  <w:vAlign w:val="center"/>
                </w:tcPr>
                <w:p>
                  <w:pPr>
                    <w:pStyle w:val="49"/>
                    <w:rPr>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restart"/>
                  <w:tcBorders>
                    <w:top w:val="single" w:color="auto" w:sz="4" w:space="0"/>
                    <w:left w:val="single" w:color="auto" w:sz="4" w:space="0"/>
                    <w:right w:val="single" w:color="auto" w:sz="4" w:space="0"/>
                  </w:tcBorders>
                  <w:vAlign w:val="center"/>
                </w:tcPr>
                <w:p>
                  <w:pPr>
                    <w:pStyle w:val="49"/>
                    <w:rPr>
                      <w:szCs w:val="18"/>
                    </w:rPr>
                  </w:pPr>
                  <w:r>
                    <w:rPr>
                      <w:szCs w:val="18"/>
                    </w:rPr>
                    <w:t>空气</w:t>
                  </w:r>
                </w:p>
              </w:tc>
              <w:tc>
                <w:tcPr>
                  <w:tcW w:w="558" w:type="pct"/>
                  <w:tcBorders>
                    <w:top w:val="single" w:color="auto" w:sz="4" w:space="0"/>
                    <w:left w:val="single" w:color="auto" w:sz="4" w:space="0"/>
                    <w:bottom w:val="single" w:color="auto" w:sz="4" w:space="0"/>
                    <w:right w:val="single" w:color="auto" w:sz="4" w:space="0"/>
                  </w:tcBorders>
                  <w:vAlign w:val="center"/>
                </w:tcPr>
                <w:p>
                  <w:pPr>
                    <w:pStyle w:val="49"/>
                    <w:rPr>
                      <w:kern w:val="0"/>
                      <w:szCs w:val="16"/>
                    </w:rPr>
                  </w:pPr>
                  <w:r>
                    <w:rPr>
                      <w:kern w:val="0"/>
                      <w:szCs w:val="16"/>
                    </w:rPr>
                    <w:t>博艺幼托中心</w:t>
                  </w:r>
                </w:p>
              </w:tc>
              <w:tc>
                <w:tcPr>
                  <w:tcW w:w="816"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szCs w:val="16"/>
                    </w:rPr>
                    <w:t>E120.447750</w:t>
                  </w:r>
                  <w:r>
                    <w:rPr>
                      <w:rFonts w:hint="eastAsia"/>
                      <w:szCs w:val="16"/>
                    </w:rPr>
                    <w:t>°</w:t>
                  </w:r>
                </w:p>
              </w:tc>
              <w:tc>
                <w:tcPr>
                  <w:tcW w:w="775"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rFonts w:hint="eastAsia"/>
                      <w:szCs w:val="16"/>
                    </w:rPr>
                    <w:t>N</w:t>
                  </w:r>
                  <w:r>
                    <w:rPr>
                      <w:szCs w:val="16"/>
                    </w:rPr>
                    <w:t>30.547626</w:t>
                  </w:r>
                  <w:r>
                    <w:rPr>
                      <w:rFonts w:hint="eastAsia"/>
                      <w:szCs w:val="16"/>
                    </w:rPr>
                    <w:t>°</w:t>
                  </w:r>
                </w:p>
              </w:tc>
              <w:tc>
                <w:tcPr>
                  <w:tcW w:w="413"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rFonts w:hint="eastAsia"/>
                      <w:szCs w:val="16"/>
                    </w:rPr>
                    <w:t>E</w:t>
                  </w:r>
                </w:p>
              </w:tc>
              <w:tc>
                <w:tcPr>
                  <w:tcW w:w="456"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rFonts w:hint="eastAsia"/>
                      <w:szCs w:val="16"/>
                    </w:rPr>
                    <w:t>930</w:t>
                  </w:r>
                </w:p>
              </w:tc>
              <w:tc>
                <w:tcPr>
                  <w:tcW w:w="446" w:type="pct"/>
                  <w:tcBorders>
                    <w:top w:val="single" w:color="auto" w:sz="4" w:space="0"/>
                    <w:left w:val="single" w:color="auto" w:sz="4" w:space="0"/>
                    <w:bottom w:val="single" w:color="auto" w:sz="4" w:space="0"/>
                    <w:right w:val="single" w:color="auto" w:sz="4" w:space="0"/>
                  </w:tcBorders>
                  <w:vAlign w:val="center"/>
                </w:tcPr>
                <w:p>
                  <w:pPr>
                    <w:pStyle w:val="49"/>
                    <w:rPr>
                      <w:kern w:val="0"/>
                      <w:szCs w:val="16"/>
                    </w:rPr>
                  </w:pPr>
                  <w:r>
                    <w:rPr>
                      <w:rFonts w:hint="eastAsia"/>
                      <w:kern w:val="0"/>
                      <w:szCs w:val="16"/>
                    </w:rPr>
                    <w:t>师生</w:t>
                  </w:r>
                </w:p>
              </w:tc>
              <w:tc>
                <w:tcPr>
                  <w:tcW w:w="532" w:type="pct"/>
                  <w:tcBorders>
                    <w:top w:val="single" w:color="auto" w:sz="4" w:space="0"/>
                    <w:left w:val="single" w:color="auto" w:sz="4" w:space="0"/>
                    <w:bottom w:val="single" w:color="auto" w:sz="4" w:space="0"/>
                    <w:right w:val="single" w:color="auto" w:sz="4" w:space="0"/>
                  </w:tcBorders>
                  <w:vAlign w:val="center"/>
                </w:tcPr>
                <w:p>
                  <w:pPr>
                    <w:pStyle w:val="49"/>
                    <w:rPr>
                      <w:kern w:val="0"/>
                      <w:szCs w:val="16"/>
                    </w:rPr>
                  </w:pPr>
                  <w:r>
                    <w:rPr>
                      <w:rFonts w:hint="eastAsia"/>
                      <w:kern w:val="0"/>
                      <w:szCs w:val="16"/>
                    </w:rPr>
                    <w:t>~500人</w:t>
                  </w:r>
                </w:p>
              </w:tc>
              <w:tc>
                <w:tcPr>
                  <w:tcW w:w="741" w:type="pct"/>
                  <w:vMerge w:val="restart"/>
                  <w:tcBorders>
                    <w:top w:val="single" w:color="auto" w:sz="4" w:space="0"/>
                    <w:left w:val="single" w:color="auto" w:sz="4" w:space="0"/>
                    <w:right w:val="single" w:color="auto" w:sz="4" w:space="0"/>
                  </w:tcBorders>
                  <w:vAlign w:val="center"/>
                </w:tcPr>
                <w:p>
                  <w:pPr>
                    <w:pStyle w:val="49"/>
                    <w:rPr>
                      <w:szCs w:val="18"/>
                    </w:rPr>
                  </w:pPr>
                  <w:r>
                    <w:rPr>
                      <w:kern w:val="0"/>
                      <w:szCs w:val="18"/>
                    </w:rPr>
                    <w:t>《环境空气质量标准》及2018年修改单中的二级标准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left w:val="single" w:color="auto" w:sz="4" w:space="0"/>
                    <w:right w:val="single" w:color="auto" w:sz="4" w:space="0"/>
                  </w:tcBorders>
                  <w:vAlign w:val="center"/>
                </w:tcPr>
                <w:p>
                  <w:pPr>
                    <w:pStyle w:val="49"/>
                    <w:rPr>
                      <w:szCs w:val="18"/>
                    </w:rPr>
                  </w:pPr>
                </w:p>
              </w:tc>
              <w:tc>
                <w:tcPr>
                  <w:tcW w:w="558" w:type="pct"/>
                  <w:tcBorders>
                    <w:top w:val="single" w:color="auto" w:sz="4" w:space="0"/>
                    <w:left w:val="single" w:color="auto" w:sz="4" w:space="0"/>
                    <w:bottom w:val="single" w:color="auto" w:sz="4" w:space="0"/>
                    <w:right w:val="single" w:color="auto" w:sz="4" w:space="0"/>
                  </w:tcBorders>
                  <w:vAlign w:val="center"/>
                </w:tcPr>
                <w:p>
                  <w:pPr>
                    <w:pStyle w:val="49"/>
                    <w:rPr>
                      <w:kern w:val="0"/>
                      <w:szCs w:val="16"/>
                    </w:rPr>
                  </w:pPr>
                  <w:r>
                    <w:rPr>
                      <w:kern w:val="0"/>
                      <w:szCs w:val="16"/>
                    </w:rPr>
                    <w:t>杭福新村</w:t>
                  </w:r>
                </w:p>
              </w:tc>
              <w:tc>
                <w:tcPr>
                  <w:tcW w:w="816"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szCs w:val="16"/>
                    </w:rPr>
                    <w:t>E120.441442</w:t>
                  </w:r>
                  <w:r>
                    <w:rPr>
                      <w:rFonts w:hint="eastAsia"/>
                      <w:szCs w:val="16"/>
                    </w:rPr>
                    <w:t>°</w:t>
                  </w:r>
                </w:p>
              </w:tc>
              <w:tc>
                <w:tcPr>
                  <w:tcW w:w="775"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rFonts w:hint="eastAsia"/>
                      <w:szCs w:val="16"/>
                    </w:rPr>
                    <w:t>N</w:t>
                  </w:r>
                  <w:r>
                    <w:rPr>
                      <w:szCs w:val="16"/>
                    </w:rPr>
                    <w:t>30.544411</w:t>
                  </w:r>
                  <w:r>
                    <w:rPr>
                      <w:rFonts w:hint="eastAsia"/>
                      <w:szCs w:val="16"/>
                    </w:rPr>
                    <w:t>°</w:t>
                  </w:r>
                </w:p>
              </w:tc>
              <w:tc>
                <w:tcPr>
                  <w:tcW w:w="413"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rFonts w:hint="eastAsia"/>
                      <w:szCs w:val="16"/>
                    </w:rPr>
                    <w:t>ES</w:t>
                  </w:r>
                </w:p>
              </w:tc>
              <w:tc>
                <w:tcPr>
                  <w:tcW w:w="456"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rFonts w:hint="eastAsia"/>
                      <w:szCs w:val="16"/>
                    </w:rPr>
                    <w:t>400</w:t>
                  </w:r>
                </w:p>
              </w:tc>
              <w:tc>
                <w:tcPr>
                  <w:tcW w:w="446" w:type="pct"/>
                  <w:tcBorders>
                    <w:top w:val="single" w:color="auto" w:sz="4" w:space="0"/>
                    <w:left w:val="single" w:color="auto" w:sz="4" w:space="0"/>
                    <w:bottom w:val="single" w:color="auto" w:sz="4" w:space="0"/>
                    <w:right w:val="single" w:color="auto" w:sz="4" w:space="0"/>
                  </w:tcBorders>
                  <w:vAlign w:val="center"/>
                </w:tcPr>
                <w:p>
                  <w:pPr>
                    <w:pStyle w:val="49"/>
                    <w:rPr>
                      <w:kern w:val="0"/>
                      <w:szCs w:val="16"/>
                    </w:rPr>
                  </w:pPr>
                  <w:r>
                    <w:rPr>
                      <w:kern w:val="0"/>
                      <w:szCs w:val="16"/>
                    </w:rPr>
                    <w:t>居住区</w:t>
                  </w:r>
                </w:p>
              </w:tc>
              <w:tc>
                <w:tcPr>
                  <w:tcW w:w="532" w:type="pct"/>
                  <w:tcBorders>
                    <w:top w:val="single" w:color="auto" w:sz="4" w:space="0"/>
                    <w:left w:val="single" w:color="auto" w:sz="4" w:space="0"/>
                    <w:bottom w:val="single" w:color="auto" w:sz="4" w:space="0"/>
                    <w:right w:val="single" w:color="auto" w:sz="4" w:space="0"/>
                  </w:tcBorders>
                  <w:vAlign w:val="center"/>
                </w:tcPr>
                <w:p>
                  <w:pPr>
                    <w:pStyle w:val="49"/>
                    <w:rPr>
                      <w:kern w:val="0"/>
                      <w:szCs w:val="16"/>
                    </w:rPr>
                  </w:pPr>
                  <w:r>
                    <w:rPr>
                      <w:rFonts w:hint="eastAsia"/>
                      <w:kern w:val="0"/>
                      <w:szCs w:val="16"/>
                    </w:rPr>
                    <w:t>~1500人</w:t>
                  </w:r>
                </w:p>
              </w:tc>
              <w:tc>
                <w:tcPr>
                  <w:tcW w:w="741" w:type="pct"/>
                  <w:vMerge w:val="continue"/>
                  <w:tcBorders>
                    <w:left w:val="single" w:color="auto" w:sz="4" w:space="0"/>
                    <w:right w:val="single" w:color="auto" w:sz="4" w:space="0"/>
                  </w:tcBorders>
                  <w:vAlign w:val="center"/>
                </w:tcPr>
                <w:p>
                  <w:pPr>
                    <w:pStyle w:val="49"/>
                    <w:rPr>
                      <w:kern w:val="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left w:val="single" w:color="auto" w:sz="4" w:space="0"/>
                    <w:right w:val="single" w:color="auto" w:sz="4" w:space="0"/>
                  </w:tcBorders>
                  <w:vAlign w:val="center"/>
                </w:tcPr>
                <w:p>
                  <w:pPr>
                    <w:pStyle w:val="49"/>
                    <w:rPr>
                      <w:szCs w:val="18"/>
                    </w:rPr>
                  </w:pPr>
                </w:p>
              </w:tc>
              <w:tc>
                <w:tcPr>
                  <w:tcW w:w="558" w:type="pct"/>
                  <w:tcBorders>
                    <w:top w:val="single" w:color="auto" w:sz="4" w:space="0"/>
                    <w:left w:val="single" w:color="auto" w:sz="4" w:space="0"/>
                    <w:bottom w:val="single" w:color="auto" w:sz="4" w:space="0"/>
                    <w:right w:val="single" w:color="auto" w:sz="4" w:space="0"/>
                  </w:tcBorders>
                  <w:vAlign w:val="center"/>
                </w:tcPr>
                <w:p>
                  <w:pPr>
                    <w:pStyle w:val="49"/>
                    <w:rPr>
                      <w:kern w:val="0"/>
                      <w:szCs w:val="16"/>
                    </w:rPr>
                  </w:pPr>
                  <w:r>
                    <w:rPr>
                      <w:kern w:val="0"/>
                      <w:szCs w:val="16"/>
                    </w:rPr>
                    <w:t>茅桥埭小区</w:t>
                  </w:r>
                </w:p>
              </w:tc>
              <w:tc>
                <w:tcPr>
                  <w:tcW w:w="816"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szCs w:val="16"/>
                    </w:rPr>
                    <w:t>E120.442042</w:t>
                  </w:r>
                  <w:r>
                    <w:rPr>
                      <w:rFonts w:hint="eastAsia"/>
                      <w:szCs w:val="16"/>
                    </w:rPr>
                    <w:t>°</w:t>
                  </w:r>
                </w:p>
              </w:tc>
              <w:tc>
                <w:tcPr>
                  <w:tcW w:w="775"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rFonts w:hint="eastAsia"/>
                      <w:szCs w:val="16"/>
                    </w:rPr>
                    <w:t>N</w:t>
                  </w:r>
                  <w:r>
                    <w:rPr>
                      <w:szCs w:val="16"/>
                    </w:rPr>
                    <w:t>30.542489</w:t>
                  </w:r>
                  <w:r>
                    <w:rPr>
                      <w:rFonts w:hint="eastAsia"/>
                      <w:szCs w:val="16"/>
                    </w:rPr>
                    <w:t>°</w:t>
                  </w:r>
                </w:p>
              </w:tc>
              <w:tc>
                <w:tcPr>
                  <w:tcW w:w="413"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rFonts w:hint="eastAsia"/>
                      <w:szCs w:val="16"/>
                    </w:rPr>
                    <w:t>ES</w:t>
                  </w:r>
                </w:p>
              </w:tc>
              <w:tc>
                <w:tcPr>
                  <w:tcW w:w="456"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rFonts w:hint="eastAsia"/>
                      <w:szCs w:val="16"/>
                    </w:rPr>
                    <w:t>540</w:t>
                  </w:r>
                </w:p>
              </w:tc>
              <w:tc>
                <w:tcPr>
                  <w:tcW w:w="446" w:type="pct"/>
                  <w:tcBorders>
                    <w:top w:val="single" w:color="auto" w:sz="4" w:space="0"/>
                    <w:left w:val="single" w:color="auto" w:sz="4" w:space="0"/>
                    <w:bottom w:val="single" w:color="auto" w:sz="4" w:space="0"/>
                    <w:right w:val="single" w:color="auto" w:sz="4" w:space="0"/>
                  </w:tcBorders>
                  <w:vAlign w:val="center"/>
                </w:tcPr>
                <w:p>
                  <w:pPr>
                    <w:pStyle w:val="49"/>
                    <w:rPr>
                      <w:kern w:val="0"/>
                      <w:szCs w:val="16"/>
                    </w:rPr>
                  </w:pPr>
                  <w:r>
                    <w:rPr>
                      <w:kern w:val="0"/>
                      <w:szCs w:val="16"/>
                    </w:rPr>
                    <w:t>居住区</w:t>
                  </w:r>
                </w:p>
              </w:tc>
              <w:tc>
                <w:tcPr>
                  <w:tcW w:w="532" w:type="pct"/>
                  <w:tcBorders>
                    <w:top w:val="single" w:color="auto" w:sz="4" w:space="0"/>
                    <w:left w:val="single" w:color="auto" w:sz="4" w:space="0"/>
                    <w:bottom w:val="single" w:color="auto" w:sz="4" w:space="0"/>
                    <w:right w:val="single" w:color="auto" w:sz="4" w:space="0"/>
                  </w:tcBorders>
                  <w:vAlign w:val="center"/>
                </w:tcPr>
                <w:p>
                  <w:pPr>
                    <w:pStyle w:val="49"/>
                    <w:rPr>
                      <w:kern w:val="0"/>
                      <w:szCs w:val="16"/>
                    </w:rPr>
                  </w:pPr>
                  <w:r>
                    <w:rPr>
                      <w:rFonts w:hint="eastAsia"/>
                      <w:kern w:val="0"/>
                      <w:szCs w:val="16"/>
                    </w:rPr>
                    <w:t>~2000人</w:t>
                  </w:r>
                </w:p>
              </w:tc>
              <w:tc>
                <w:tcPr>
                  <w:tcW w:w="741" w:type="pct"/>
                  <w:vMerge w:val="continue"/>
                  <w:tcBorders>
                    <w:left w:val="single" w:color="auto" w:sz="4" w:space="0"/>
                    <w:right w:val="single" w:color="auto" w:sz="4" w:space="0"/>
                  </w:tcBorders>
                  <w:vAlign w:val="center"/>
                </w:tcPr>
                <w:p>
                  <w:pPr>
                    <w:pStyle w:val="49"/>
                    <w:rPr>
                      <w:kern w:val="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left w:val="single" w:color="auto" w:sz="4" w:space="0"/>
                    <w:right w:val="single" w:color="auto" w:sz="4" w:space="0"/>
                  </w:tcBorders>
                  <w:vAlign w:val="center"/>
                </w:tcPr>
                <w:p>
                  <w:pPr>
                    <w:pStyle w:val="49"/>
                    <w:rPr>
                      <w:szCs w:val="18"/>
                    </w:rPr>
                  </w:pPr>
                </w:p>
              </w:tc>
              <w:tc>
                <w:tcPr>
                  <w:tcW w:w="558" w:type="pct"/>
                  <w:tcBorders>
                    <w:top w:val="single" w:color="auto" w:sz="4" w:space="0"/>
                    <w:left w:val="single" w:color="auto" w:sz="4" w:space="0"/>
                    <w:bottom w:val="single" w:color="auto" w:sz="4" w:space="0"/>
                    <w:right w:val="single" w:color="auto" w:sz="4" w:space="0"/>
                  </w:tcBorders>
                  <w:vAlign w:val="center"/>
                </w:tcPr>
                <w:p>
                  <w:pPr>
                    <w:pStyle w:val="49"/>
                    <w:rPr>
                      <w:kern w:val="0"/>
                      <w:szCs w:val="16"/>
                    </w:rPr>
                  </w:pPr>
                  <w:r>
                    <w:rPr>
                      <w:kern w:val="0"/>
                      <w:szCs w:val="16"/>
                    </w:rPr>
                    <w:t>崇德小学</w:t>
                  </w:r>
                </w:p>
              </w:tc>
              <w:tc>
                <w:tcPr>
                  <w:tcW w:w="816"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szCs w:val="16"/>
                    </w:rPr>
                    <w:t>E120.442085</w:t>
                  </w:r>
                  <w:r>
                    <w:rPr>
                      <w:rFonts w:hint="eastAsia"/>
                      <w:szCs w:val="16"/>
                    </w:rPr>
                    <w:t>°</w:t>
                  </w:r>
                </w:p>
              </w:tc>
              <w:tc>
                <w:tcPr>
                  <w:tcW w:w="775"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rFonts w:hint="eastAsia"/>
                      <w:szCs w:val="16"/>
                    </w:rPr>
                    <w:t>N</w:t>
                  </w:r>
                  <w:r>
                    <w:rPr>
                      <w:szCs w:val="16"/>
                    </w:rPr>
                    <w:t>30.539495</w:t>
                  </w:r>
                  <w:r>
                    <w:rPr>
                      <w:rFonts w:hint="eastAsia"/>
                      <w:szCs w:val="16"/>
                    </w:rPr>
                    <w:t>°</w:t>
                  </w:r>
                </w:p>
              </w:tc>
              <w:tc>
                <w:tcPr>
                  <w:tcW w:w="413"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rFonts w:hint="eastAsia"/>
                      <w:szCs w:val="16"/>
                    </w:rPr>
                    <w:t>ES</w:t>
                  </w:r>
                </w:p>
              </w:tc>
              <w:tc>
                <w:tcPr>
                  <w:tcW w:w="456"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rFonts w:hint="eastAsia"/>
                      <w:szCs w:val="16"/>
                    </w:rPr>
                    <w:t>870</w:t>
                  </w:r>
                </w:p>
              </w:tc>
              <w:tc>
                <w:tcPr>
                  <w:tcW w:w="446" w:type="pct"/>
                  <w:tcBorders>
                    <w:top w:val="single" w:color="auto" w:sz="4" w:space="0"/>
                    <w:left w:val="single" w:color="auto" w:sz="4" w:space="0"/>
                    <w:bottom w:val="single" w:color="auto" w:sz="4" w:space="0"/>
                    <w:right w:val="single" w:color="auto" w:sz="4" w:space="0"/>
                  </w:tcBorders>
                  <w:vAlign w:val="center"/>
                </w:tcPr>
                <w:p>
                  <w:pPr>
                    <w:pStyle w:val="49"/>
                    <w:rPr>
                      <w:kern w:val="0"/>
                      <w:szCs w:val="16"/>
                    </w:rPr>
                  </w:pPr>
                  <w:r>
                    <w:rPr>
                      <w:rFonts w:hint="eastAsia"/>
                      <w:kern w:val="0"/>
                      <w:szCs w:val="16"/>
                    </w:rPr>
                    <w:t>师生</w:t>
                  </w:r>
                </w:p>
              </w:tc>
              <w:tc>
                <w:tcPr>
                  <w:tcW w:w="532" w:type="pct"/>
                  <w:tcBorders>
                    <w:top w:val="single" w:color="auto" w:sz="4" w:space="0"/>
                    <w:left w:val="single" w:color="auto" w:sz="4" w:space="0"/>
                    <w:bottom w:val="single" w:color="auto" w:sz="4" w:space="0"/>
                    <w:right w:val="single" w:color="auto" w:sz="4" w:space="0"/>
                  </w:tcBorders>
                  <w:vAlign w:val="center"/>
                </w:tcPr>
                <w:p>
                  <w:pPr>
                    <w:pStyle w:val="49"/>
                    <w:rPr>
                      <w:kern w:val="0"/>
                      <w:szCs w:val="16"/>
                    </w:rPr>
                  </w:pPr>
                  <w:r>
                    <w:rPr>
                      <w:rFonts w:hint="eastAsia"/>
                      <w:kern w:val="0"/>
                      <w:szCs w:val="16"/>
                    </w:rPr>
                    <w:t>~800人</w:t>
                  </w:r>
                </w:p>
              </w:tc>
              <w:tc>
                <w:tcPr>
                  <w:tcW w:w="741" w:type="pct"/>
                  <w:vMerge w:val="continue"/>
                  <w:tcBorders>
                    <w:left w:val="single" w:color="auto" w:sz="4" w:space="0"/>
                    <w:right w:val="single" w:color="auto" w:sz="4" w:space="0"/>
                  </w:tcBorders>
                  <w:vAlign w:val="center"/>
                </w:tcPr>
                <w:p>
                  <w:pPr>
                    <w:pStyle w:val="49"/>
                    <w:rPr>
                      <w:kern w:val="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left w:val="single" w:color="auto" w:sz="4" w:space="0"/>
                    <w:right w:val="single" w:color="auto" w:sz="4" w:space="0"/>
                  </w:tcBorders>
                  <w:vAlign w:val="center"/>
                </w:tcPr>
                <w:p>
                  <w:pPr>
                    <w:pStyle w:val="49"/>
                    <w:rPr>
                      <w:szCs w:val="18"/>
                    </w:rPr>
                  </w:pPr>
                </w:p>
              </w:tc>
              <w:tc>
                <w:tcPr>
                  <w:tcW w:w="558" w:type="pct"/>
                  <w:tcBorders>
                    <w:top w:val="single" w:color="auto" w:sz="4" w:space="0"/>
                    <w:left w:val="single" w:color="auto" w:sz="4" w:space="0"/>
                    <w:bottom w:val="single" w:color="auto" w:sz="4" w:space="0"/>
                    <w:right w:val="single" w:color="auto" w:sz="4" w:space="0"/>
                  </w:tcBorders>
                  <w:vAlign w:val="center"/>
                </w:tcPr>
                <w:p>
                  <w:pPr>
                    <w:pStyle w:val="49"/>
                    <w:rPr>
                      <w:kern w:val="0"/>
                      <w:szCs w:val="16"/>
                    </w:rPr>
                  </w:pPr>
                  <w:r>
                    <w:rPr>
                      <w:kern w:val="0"/>
                      <w:szCs w:val="16"/>
                    </w:rPr>
                    <w:t>网红公寓</w:t>
                  </w:r>
                </w:p>
              </w:tc>
              <w:tc>
                <w:tcPr>
                  <w:tcW w:w="816"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szCs w:val="16"/>
                    </w:rPr>
                    <w:t>E120.439038</w:t>
                  </w:r>
                  <w:r>
                    <w:rPr>
                      <w:rFonts w:hint="eastAsia"/>
                      <w:szCs w:val="16"/>
                    </w:rPr>
                    <w:t>°</w:t>
                  </w:r>
                </w:p>
              </w:tc>
              <w:tc>
                <w:tcPr>
                  <w:tcW w:w="775"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rFonts w:hint="eastAsia"/>
                      <w:szCs w:val="16"/>
                    </w:rPr>
                    <w:t>N</w:t>
                  </w:r>
                  <w:r>
                    <w:rPr>
                      <w:szCs w:val="16"/>
                    </w:rPr>
                    <w:t>30.540345</w:t>
                  </w:r>
                  <w:r>
                    <w:rPr>
                      <w:rFonts w:hint="eastAsia"/>
                      <w:szCs w:val="16"/>
                    </w:rPr>
                    <w:t>°</w:t>
                  </w:r>
                </w:p>
              </w:tc>
              <w:tc>
                <w:tcPr>
                  <w:tcW w:w="413"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rFonts w:hint="eastAsia"/>
                      <w:szCs w:val="16"/>
                    </w:rPr>
                    <w:t>S</w:t>
                  </w:r>
                </w:p>
              </w:tc>
              <w:tc>
                <w:tcPr>
                  <w:tcW w:w="456"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rFonts w:hint="eastAsia"/>
                      <w:szCs w:val="16"/>
                    </w:rPr>
                    <w:t>760</w:t>
                  </w:r>
                </w:p>
              </w:tc>
              <w:tc>
                <w:tcPr>
                  <w:tcW w:w="446" w:type="pct"/>
                  <w:tcBorders>
                    <w:top w:val="single" w:color="auto" w:sz="4" w:space="0"/>
                    <w:left w:val="single" w:color="auto" w:sz="4" w:space="0"/>
                    <w:bottom w:val="single" w:color="auto" w:sz="4" w:space="0"/>
                    <w:right w:val="single" w:color="auto" w:sz="4" w:space="0"/>
                  </w:tcBorders>
                  <w:vAlign w:val="center"/>
                </w:tcPr>
                <w:p>
                  <w:pPr>
                    <w:pStyle w:val="49"/>
                    <w:rPr>
                      <w:kern w:val="0"/>
                      <w:szCs w:val="16"/>
                    </w:rPr>
                  </w:pPr>
                  <w:r>
                    <w:rPr>
                      <w:kern w:val="0"/>
                      <w:szCs w:val="16"/>
                    </w:rPr>
                    <w:t>居住区</w:t>
                  </w:r>
                </w:p>
              </w:tc>
              <w:tc>
                <w:tcPr>
                  <w:tcW w:w="532" w:type="pct"/>
                  <w:tcBorders>
                    <w:top w:val="single" w:color="auto" w:sz="4" w:space="0"/>
                    <w:left w:val="single" w:color="auto" w:sz="4" w:space="0"/>
                    <w:bottom w:val="single" w:color="auto" w:sz="4" w:space="0"/>
                    <w:right w:val="single" w:color="auto" w:sz="4" w:space="0"/>
                  </w:tcBorders>
                  <w:vAlign w:val="center"/>
                </w:tcPr>
                <w:p>
                  <w:pPr>
                    <w:pStyle w:val="49"/>
                    <w:rPr>
                      <w:kern w:val="0"/>
                      <w:szCs w:val="16"/>
                    </w:rPr>
                  </w:pPr>
                  <w:r>
                    <w:rPr>
                      <w:rFonts w:hint="eastAsia"/>
                      <w:kern w:val="0"/>
                      <w:szCs w:val="16"/>
                    </w:rPr>
                    <w:t>~500人</w:t>
                  </w:r>
                </w:p>
              </w:tc>
              <w:tc>
                <w:tcPr>
                  <w:tcW w:w="741" w:type="pct"/>
                  <w:vMerge w:val="continue"/>
                  <w:tcBorders>
                    <w:left w:val="single" w:color="auto" w:sz="4" w:space="0"/>
                    <w:right w:val="single" w:color="auto" w:sz="4" w:space="0"/>
                  </w:tcBorders>
                  <w:vAlign w:val="center"/>
                </w:tcPr>
                <w:p>
                  <w:pPr>
                    <w:pStyle w:val="49"/>
                    <w:rPr>
                      <w:kern w:val="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left w:val="single" w:color="auto" w:sz="4" w:space="0"/>
                    <w:right w:val="single" w:color="auto" w:sz="4" w:space="0"/>
                  </w:tcBorders>
                  <w:vAlign w:val="center"/>
                </w:tcPr>
                <w:p>
                  <w:pPr>
                    <w:pStyle w:val="49"/>
                    <w:rPr>
                      <w:szCs w:val="18"/>
                    </w:rPr>
                  </w:pPr>
                </w:p>
              </w:tc>
              <w:tc>
                <w:tcPr>
                  <w:tcW w:w="558" w:type="pct"/>
                  <w:tcBorders>
                    <w:top w:val="single" w:color="auto" w:sz="4" w:space="0"/>
                    <w:left w:val="single" w:color="auto" w:sz="4" w:space="0"/>
                    <w:bottom w:val="single" w:color="auto" w:sz="4" w:space="0"/>
                    <w:right w:val="single" w:color="auto" w:sz="4" w:space="0"/>
                  </w:tcBorders>
                  <w:vAlign w:val="center"/>
                </w:tcPr>
                <w:p>
                  <w:pPr>
                    <w:pStyle w:val="49"/>
                    <w:rPr>
                      <w:kern w:val="0"/>
                      <w:szCs w:val="16"/>
                    </w:rPr>
                  </w:pPr>
                  <w:r>
                    <w:rPr>
                      <w:kern w:val="0"/>
                      <w:szCs w:val="16"/>
                    </w:rPr>
                    <w:t>仙人浜</w:t>
                  </w:r>
                </w:p>
              </w:tc>
              <w:tc>
                <w:tcPr>
                  <w:tcW w:w="816"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szCs w:val="16"/>
                    </w:rPr>
                    <w:t>E120.428610</w:t>
                  </w:r>
                  <w:r>
                    <w:rPr>
                      <w:rFonts w:hint="eastAsia"/>
                      <w:szCs w:val="16"/>
                    </w:rPr>
                    <w:t>°</w:t>
                  </w:r>
                </w:p>
              </w:tc>
              <w:tc>
                <w:tcPr>
                  <w:tcW w:w="775"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rFonts w:hint="eastAsia"/>
                      <w:szCs w:val="16"/>
                    </w:rPr>
                    <w:t>N</w:t>
                  </w:r>
                  <w:r>
                    <w:rPr>
                      <w:szCs w:val="16"/>
                    </w:rPr>
                    <w:t>30.542045</w:t>
                  </w:r>
                  <w:r>
                    <w:rPr>
                      <w:rFonts w:hint="eastAsia"/>
                      <w:szCs w:val="16"/>
                    </w:rPr>
                    <w:t>°</w:t>
                  </w:r>
                </w:p>
              </w:tc>
              <w:tc>
                <w:tcPr>
                  <w:tcW w:w="413"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rFonts w:hint="eastAsia"/>
                      <w:szCs w:val="16"/>
                    </w:rPr>
                    <w:t>WS</w:t>
                  </w:r>
                </w:p>
              </w:tc>
              <w:tc>
                <w:tcPr>
                  <w:tcW w:w="456"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rFonts w:hint="eastAsia"/>
                      <w:szCs w:val="16"/>
                    </w:rPr>
                    <w:t>710</w:t>
                  </w:r>
                </w:p>
              </w:tc>
              <w:tc>
                <w:tcPr>
                  <w:tcW w:w="446" w:type="pct"/>
                  <w:tcBorders>
                    <w:top w:val="single" w:color="auto" w:sz="4" w:space="0"/>
                    <w:left w:val="single" w:color="auto" w:sz="4" w:space="0"/>
                    <w:bottom w:val="single" w:color="auto" w:sz="4" w:space="0"/>
                    <w:right w:val="single" w:color="auto" w:sz="4" w:space="0"/>
                  </w:tcBorders>
                  <w:vAlign w:val="center"/>
                </w:tcPr>
                <w:p>
                  <w:pPr>
                    <w:pStyle w:val="49"/>
                    <w:rPr>
                      <w:kern w:val="0"/>
                      <w:szCs w:val="16"/>
                    </w:rPr>
                  </w:pPr>
                  <w:r>
                    <w:rPr>
                      <w:kern w:val="0"/>
                      <w:szCs w:val="16"/>
                    </w:rPr>
                    <w:t>居住区</w:t>
                  </w:r>
                </w:p>
              </w:tc>
              <w:tc>
                <w:tcPr>
                  <w:tcW w:w="532" w:type="pct"/>
                  <w:tcBorders>
                    <w:top w:val="single" w:color="auto" w:sz="4" w:space="0"/>
                    <w:left w:val="single" w:color="auto" w:sz="4" w:space="0"/>
                    <w:bottom w:val="single" w:color="auto" w:sz="4" w:space="0"/>
                    <w:right w:val="single" w:color="auto" w:sz="4" w:space="0"/>
                  </w:tcBorders>
                  <w:vAlign w:val="center"/>
                </w:tcPr>
                <w:p>
                  <w:pPr>
                    <w:pStyle w:val="49"/>
                    <w:rPr>
                      <w:kern w:val="0"/>
                      <w:szCs w:val="16"/>
                    </w:rPr>
                  </w:pPr>
                  <w:r>
                    <w:rPr>
                      <w:rFonts w:hint="eastAsia"/>
                      <w:kern w:val="0"/>
                      <w:szCs w:val="16"/>
                    </w:rPr>
                    <w:t>~500人</w:t>
                  </w:r>
                </w:p>
              </w:tc>
              <w:tc>
                <w:tcPr>
                  <w:tcW w:w="741" w:type="pct"/>
                  <w:vMerge w:val="continue"/>
                  <w:tcBorders>
                    <w:left w:val="single" w:color="auto" w:sz="4" w:space="0"/>
                    <w:right w:val="single" w:color="auto" w:sz="4" w:space="0"/>
                  </w:tcBorders>
                  <w:vAlign w:val="center"/>
                </w:tcPr>
                <w:p>
                  <w:pPr>
                    <w:pStyle w:val="49"/>
                    <w:rPr>
                      <w:kern w:val="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left w:val="single" w:color="auto" w:sz="4" w:space="0"/>
                    <w:right w:val="single" w:color="auto" w:sz="4" w:space="0"/>
                  </w:tcBorders>
                  <w:vAlign w:val="center"/>
                </w:tcPr>
                <w:p>
                  <w:pPr>
                    <w:pStyle w:val="49"/>
                    <w:rPr>
                      <w:szCs w:val="18"/>
                    </w:rPr>
                  </w:pPr>
                </w:p>
              </w:tc>
              <w:tc>
                <w:tcPr>
                  <w:tcW w:w="558" w:type="pct"/>
                  <w:tcBorders>
                    <w:top w:val="single" w:color="auto" w:sz="4" w:space="0"/>
                    <w:left w:val="single" w:color="auto" w:sz="4" w:space="0"/>
                    <w:bottom w:val="single" w:color="auto" w:sz="4" w:space="0"/>
                    <w:right w:val="single" w:color="auto" w:sz="4" w:space="0"/>
                  </w:tcBorders>
                  <w:vAlign w:val="center"/>
                </w:tcPr>
                <w:p>
                  <w:pPr>
                    <w:pStyle w:val="49"/>
                    <w:rPr>
                      <w:kern w:val="0"/>
                      <w:szCs w:val="16"/>
                    </w:rPr>
                  </w:pPr>
                  <w:r>
                    <w:rPr>
                      <w:kern w:val="0"/>
                      <w:szCs w:val="16"/>
                    </w:rPr>
                    <w:t>打鸟桥</w:t>
                  </w:r>
                </w:p>
              </w:tc>
              <w:tc>
                <w:tcPr>
                  <w:tcW w:w="816"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szCs w:val="16"/>
                    </w:rPr>
                    <w:t>E120.429125</w:t>
                  </w:r>
                  <w:r>
                    <w:rPr>
                      <w:rFonts w:hint="eastAsia"/>
                      <w:szCs w:val="16"/>
                    </w:rPr>
                    <w:t>°</w:t>
                  </w:r>
                </w:p>
              </w:tc>
              <w:tc>
                <w:tcPr>
                  <w:tcW w:w="775"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rFonts w:hint="eastAsia"/>
                      <w:szCs w:val="16"/>
                    </w:rPr>
                    <w:t>N</w:t>
                  </w:r>
                  <w:r>
                    <w:rPr>
                      <w:szCs w:val="16"/>
                    </w:rPr>
                    <w:t>30.547515</w:t>
                  </w:r>
                  <w:r>
                    <w:rPr>
                      <w:rFonts w:hint="eastAsia"/>
                      <w:szCs w:val="16"/>
                    </w:rPr>
                    <w:t>°</w:t>
                  </w:r>
                </w:p>
              </w:tc>
              <w:tc>
                <w:tcPr>
                  <w:tcW w:w="413"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rFonts w:hint="eastAsia"/>
                      <w:szCs w:val="16"/>
                    </w:rPr>
                    <w:t>NW</w:t>
                  </w:r>
                </w:p>
              </w:tc>
              <w:tc>
                <w:tcPr>
                  <w:tcW w:w="456"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rFonts w:hint="eastAsia"/>
                      <w:szCs w:val="16"/>
                    </w:rPr>
                    <w:t>590</w:t>
                  </w:r>
                </w:p>
              </w:tc>
              <w:tc>
                <w:tcPr>
                  <w:tcW w:w="446" w:type="pct"/>
                  <w:tcBorders>
                    <w:top w:val="single" w:color="auto" w:sz="4" w:space="0"/>
                    <w:left w:val="single" w:color="auto" w:sz="4" w:space="0"/>
                    <w:bottom w:val="single" w:color="auto" w:sz="4" w:space="0"/>
                    <w:right w:val="single" w:color="auto" w:sz="4" w:space="0"/>
                  </w:tcBorders>
                  <w:vAlign w:val="center"/>
                </w:tcPr>
                <w:p>
                  <w:pPr>
                    <w:pStyle w:val="49"/>
                    <w:rPr>
                      <w:kern w:val="0"/>
                      <w:szCs w:val="16"/>
                    </w:rPr>
                  </w:pPr>
                  <w:r>
                    <w:rPr>
                      <w:kern w:val="0"/>
                      <w:szCs w:val="16"/>
                    </w:rPr>
                    <w:t>居住区</w:t>
                  </w:r>
                </w:p>
              </w:tc>
              <w:tc>
                <w:tcPr>
                  <w:tcW w:w="532" w:type="pct"/>
                  <w:tcBorders>
                    <w:top w:val="single" w:color="auto" w:sz="4" w:space="0"/>
                    <w:left w:val="single" w:color="auto" w:sz="4" w:space="0"/>
                    <w:bottom w:val="single" w:color="auto" w:sz="4" w:space="0"/>
                    <w:right w:val="single" w:color="auto" w:sz="4" w:space="0"/>
                  </w:tcBorders>
                  <w:vAlign w:val="center"/>
                </w:tcPr>
                <w:p>
                  <w:pPr>
                    <w:pStyle w:val="49"/>
                    <w:rPr>
                      <w:kern w:val="0"/>
                      <w:szCs w:val="16"/>
                    </w:rPr>
                  </w:pPr>
                  <w:r>
                    <w:rPr>
                      <w:rFonts w:hint="eastAsia"/>
                      <w:kern w:val="0"/>
                      <w:szCs w:val="16"/>
                    </w:rPr>
                    <w:t>~600人</w:t>
                  </w:r>
                </w:p>
              </w:tc>
              <w:tc>
                <w:tcPr>
                  <w:tcW w:w="741" w:type="pct"/>
                  <w:vMerge w:val="continue"/>
                  <w:tcBorders>
                    <w:left w:val="single" w:color="auto" w:sz="4" w:space="0"/>
                    <w:right w:val="single" w:color="auto" w:sz="4" w:space="0"/>
                  </w:tcBorders>
                  <w:vAlign w:val="center"/>
                </w:tcPr>
                <w:p>
                  <w:pPr>
                    <w:pStyle w:val="49"/>
                    <w:rPr>
                      <w:kern w:val="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left w:val="single" w:color="auto" w:sz="4" w:space="0"/>
                    <w:right w:val="single" w:color="auto" w:sz="4" w:space="0"/>
                  </w:tcBorders>
                  <w:vAlign w:val="center"/>
                </w:tcPr>
                <w:p>
                  <w:pPr>
                    <w:pStyle w:val="49"/>
                    <w:rPr>
                      <w:szCs w:val="18"/>
                    </w:rPr>
                  </w:pPr>
                </w:p>
              </w:tc>
              <w:tc>
                <w:tcPr>
                  <w:tcW w:w="558" w:type="pct"/>
                  <w:tcBorders>
                    <w:top w:val="single" w:color="auto" w:sz="4" w:space="0"/>
                    <w:left w:val="single" w:color="auto" w:sz="4" w:space="0"/>
                    <w:bottom w:val="single" w:color="auto" w:sz="4" w:space="0"/>
                    <w:right w:val="single" w:color="auto" w:sz="4" w:space="0"/>
                  </w:tcBorders>
                  <w:vAlign w:val="center"/>
                </w:tcPr>
                <w:p>
                  <w:pPr>
                    <w:pStyle w:val="49"/>
                    <w:rPr>
                      <w:kern w:val="0"/>
                      <w:szCs w:val="16"/>
                    </w:rPr>
                  </w:pPr>
                  <w:r>
                    <w:rPr>
                      <w:kern w:val="0"/>
                      <w:szCs w:val="16"/>
                    </w:rPr>
                    <w:t>东芝村</w:t>
                  </w:r>
                </w:p>
              </w:tc>
              <w:tc>
                <w:tcPr>
                  <w:tcW w:w="816"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szCs w:val="16"/>
                    </w:rPr>
                    <w:t>E120.428438</w:t>
                  </w:r>
                  <w:r>
                    <w:rPr>
                      <w:rFonts w:hint="eastAsia"/>
                      <w:szCs w:val="16"/>
                    </w:rPr>
                    <w:t>°</w:t>
                  </w:r>
                </w:p>
              </w:tc>
              <w:tc>
                <w:tcPr>
                  <w:tcW w:w="775"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rFonts w:hint="eastAsia"/>
                      <w:szCs w:val="16"/>
                    </w:rPr>
                    <w:t>N</w:t>
                  </w:r>
                  <w:r>
                    <w:rPr>
                      <w:szCs w:val="16"/>
                    </w:rPr>
                    <w:t>30.553577</w:t>
                  </w:r>
                  <w:r>
                    <w:rPr>
                      <w:rFonts w:hint="eastAsia"/>
                      <w:szCs w:val="16"/>
                    </w:rPr>
                    <w:t>°</w:t>
                  </w:r>
                </w:p>
              </w:tc>
              <w:tc>
                <w:tcPr>
                  <w:tcW w:w="413"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rFonts w:hint="eastAsia"/>
                      <w:szCs w:val="16"/>
                    </w:rPr>
                    <w:t>NW</w:t>
                  </w:r>
                </w:p>
              </w:tc>
              <w:tc>
                <w:tcPr>
                  <w:tcW w:w="456"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rFonts w:hint="eastAsia"/>
                      <w:szCs w:val="16"/>
                    </w:rPr>
                    <w:t>850</w:t>
                  </w:r>
                </w:p>
              </w:tc>
              <w:tc>
                <w:tcPr>
                  <w:tcW w:w="446" w:type="pct"/>
                  <w:tcBorders>
                    <w:top w:val="single" w:color="auto" w:sz="4" w:space="0"/>
                    <w:left w:val="single" w:color="auto" w:sz="4" w:space="0"/>
                    <w:bottom w:val="single" w:color="auto" w:sz="4" w:space="0"/>
                    <w:right w:val="single" w:color="auto" w:sz="4" w:space="0"/>
                  </w:tcBorders>
                  <w:vAlign w:val="center"/>
                </w:tcPr>
                <w:p>
                  <w:pPr>
                    <w:pStyle w:val="49"/>
                    <w:rPr>
                      <w:kern w:val="0"/>
                      <w:szCs w:val="16"/>
                    </w:rPr>
                  </w:pPr>
                  <w:r>
                    <w:rPr>
                      <w:kern w:val="0"/>
                      <w:szCs w:val="16"/>
                    </w:rPr>
                    <w:t>居住区</w:t>
                  </w:r>
                </w:p>
              </w:tc>
              <w:tc>
                <w:tcPr>
                  <w:tcW w:w="532" w:type="pct"/>
                  <w:tcBorders>
                    <w:top w:val="single" w:color="auto" w:sz="4" w:space="0"/>
                    <w:left w:val="single" w:color="auto" w:sz="4" w:space="0"/>
                    <w:bottom w:val="single" w:color="auto" w:sz="4" w:space="0"/>
                    <w:right w:val="single" w:color="auto" w:sz="4" w:space="0"/>
                  </w:tcBorders>
                  <w:vAlign w:val="center"/>
                </w:tcPr>
                <w:p>
                  <w:pPr>
                    <w:pStyle w:val="49"/>
                    <w:rPr>
                      <w:kern w:val="0"/>
                      <w:szCs w:val="16"/>
                    </w:rPr>
                  </w:pPr>
                  <w:r>
                    <w:rPr>
                      <w:rFonts w:hint="eastAsia"/>
                      <w:kern w:val="0"/>
                      <w:szCs w:val="16"/>
                    </w:rPr>
                    <w:t>~600人</w:t>
                  </w:r>
                </w:p>
              </w:tc>
              <w:tc>
                <w:tcPr>
                  <w:tcW w:w="741" w:type="pct"/>
                  <w:vMerge w:val="continue"/>
                  <w:tcBorders>
                    <w:left w:val="single" w:color="auto" w:sz="4" w:space="0"/>
                    <w:right w:val="single" w:color="auto" w:sz="4" w:space="0"/>
                  </w:tcBorders>
                  <w:vAlign w:val="center"/>
                </w:tcPr>
                <w:p>
                  <w:pPr>
                    <w:pStyle w:val="49"/>
                    <w:rPr>
                      <w:kern w:val="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left w:val="single" w:color="auto" w:sz="4" w:space="0"/>
                    <w:right w:val="single" w:color="auto" w:sz="4" w:space="0"/>
                  </w:tcBorders>
                  <w:vAlign w:val="center"/>
                </w:tcPr>
                <w:p>
                  <w:pPr>
                    <w:pStyle w:val="49"/>
                    <w:rPr>
                      <w:szCs w:val="18"/>
                    </w:rPr>
                  </w:pPr>
                </w:p>
              </w:tc>
              <w:tc>
                <w:tcPr>
                  <w:tcW w:w="558" w:type="pct"/>
                  <w:tcBorders>
                    <w:top w:val="single" w:color="auto" w:sz="4" w:space="0"/>
                    <w:left w:val="single" w:color="auto" w:sz="4" w:space="0"/>
                    <w:bottom w:val="single" w:color="auto" w:sz="4" w:space="0"/>
                    <w:right w:val="single" w:color="auto" w:sz="4" w:space="0"/>
                  </w:tcBorders>
                  <w:vAlign w:val="center"/>
                </w:tcPr>
                <w:p>
                  <w:pPr>
                    <w:pStyle w:val="49"/>
                    <w:rPr>
                      <w:kern w:val="0"/>
                      <w:szCs w:val="16"/>
                    </w:rPr>
                  </w:pPr>
                  <w:r>
                    <w:rPr>
                      <w:kern w:val="0"/>
                      <w:szCs w:val="16"/>
                    </w:rPr>
                    <w:t>外张浜</w:t>
                  </w:r>
                </w:p>
              </w:tc>
              <w:tc>
                <w:tcPr>
                  <w:tcW w:w="816"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szCs w:val="16"/>
                    </w:rPr>
                    <w:t>E120.443587</w:t>
                  </w:r>
                  <w:r>
                    <w:rPr>
                      <w:rFonts w:hint="eastAsia"/>
                      <w:szCs w:val="16"/>
                    </w:rPr>
                    <w:t>°</w:t>
                  </w:r>
                </w:p>
              </w:tc>
              <w:tc>
                <w:tcPr>
                  <w:tcW w:w="775"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rFonts w:hint="eastAsia"/>
                      <w:szCs w:val="16"/>
                    </w:rPr>
                    <w:t>N</w:t>
                  </w:r>
                  <w:r>
                    <w:rPr>
                      <w:szCs w:val="16"/>
                    </w:rPr>
                    <w:t>30.553133</w:t>
                  </w:r>
                  <w:r>
                    <w:rPr>
                      <w:rFonts w:hint="eastAsia"/>
                      <w:szCs w:val="16"/>
                    </w:rPr>
                    <w:t>°</w:t>
                  </w:r>
                </w:p>
              </w:tc>
              <w:tc>
                <w:tcPr>
                  <w:tcW w:w="413"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rFonts w:hint="eastAsia"/>
                      <w:szCs w:val="16"/>
                    </w:rPr>
                    <w:t>NE</w:t>
                  </w:r>
                </w:p>
              </w:tc>
              <w:tc>
                <w:tcPr>
                  <w:tcW w:w="456"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rFonts w:hint="eastAsia"/>
                      <w:szCs w:val="16"/>
                    </w:rPr>
                    <w:t>760</w:t>
                  </w:r>
                </w:p>
              </w:tc>
              <w:tc>
                <w:tcPr>
                  <w:tcW w:w="446" w:type="pct"/>
                  <w:tcBorders>
                    <w:top w:val="single" w:color="auto" w:sz="4" w:space="0"/>
                    <w:left w:val="single" w:color="auto" w:sz="4" w:space="0"/>
                    <w:bottom w:val="single" w:color="auto" w:sz="4" w:space="0"/>
                    <w:right w:val="single" w:color="auto" w:sz="4" w:space="0"/>
                  </w:tcBorders>
                  <w:vAlign w:val="center"/>
                </w:tcPr>
                <w:p>
                  <w:pPr>
                    <w:pStyle w:val="49"/>
                    <w:rPr>
                      <w:kern w:val="0"/>
                      <w:szCs w:val="16"/>
                    </w:rPr>
                  </w:pPr>
                  <w:r>
                    <w:rPr>
                      <w:kern w:val="0"/>
                      <w:szCs w:val="16"/>
                    </w:rPr>
                    <w:t>居住区</w:t>
                  </w:r>
                </w:p>
              </w:tc>
              <w:tc>
                <w:tcPr>
                  <w:tcW w:w="532" w:type="pct"/>
                  <w:tcBorders>
                    <w:top w:val="single" w:color="auto" w:sz="4" w:space="0"/>
                    <w:left w:val="single" w:color="auto" w:sz="4" w:space="0"/>
                    <w:bottom w:val="single" w:color="auto" w:sz="4" w:space="0"/>
                    <w:right w:val="single" w:color="auto" w:sz="4" w:space="0"/>
                  </w:tcBorders>
                  <w:vAlign w:val="center"/>
                </w:tcPr>
                <w:p>
                  <w:pPr>
                    <w:pStyle w:val="49"/>
                    <w:rPr>
                      <w:kern w:val="0"/>
                      <w:szCs w:val="16"/>
                    </w:rPr>
                  </w:pPr>
                  <w:r>
                    <w:rPr>
                      <w:rFonts w:hint="eastAsia"/>
                      <w:kern w:val="0"/>
                      <w:szCs w:val="16"/>
                    </w:rPr>
                    <w:t>~800人</w:t>
                  </w:r>
                </w:p>
              </w:tc>
              <w:tc>
                <w:tcPr>
                  <w:tcW w:w="741" w:type="pct"/>
                  <w:vMerge w:val="continue"/>
                  <w:tcBorders>
                    <w:left w:val="single" w:color="auto" w:sz="4" w:space="0"/>
                    <w:right w:val="single" w:color="auto" w:sz="4" w:space="0"/>
                  </w:tcBorders>
                  <w:vAlign w:val="center"/>
                </w:tcPr>
                <w:p>
                  <w:pPr>
                    <w:pStyle w:val="49"/>
                    <w:rPr>
                      <w:kern w:val="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left w:val="single" w:color="auto" w:sz="4" w:space="0"/>
                    <w:right w:val="single" w:color="auto" w:sz="4" w:space="0"/>
                  </w:tcBorders>
                  <w:vAlign w:val="center"/>
                </w:tcPr>
                <w:p>
                  <w:pPr>
                    <w:pStyle w:val="49"/>
                    <w:rPr>
                      <w:szCs w:val="18"/>
                    </w:rPr>
                  </w:pPr>
                </w:p>
              </w:tc>
              <w:tc>
                <w:tcPr>
                  <w:tcW w:w="558" w:type="pct"/>
                  <w:tcBorders>
                    <w:top w:val="single" w:color="auto" w:sz="4" w:space="0"/>
                    <w:left w:val="single" w:color="auto" w:sz="4" w:space="0"/>
                    <w:bottom w:val="single" w:color="auto" w:sz="4" w:space="0"/>
                    <w:right w:val="single" w:color="auto" w:sz="4" w:space="0"/>
                  </w:tcBorders>
                  <w:vAlign w:val="center"/>
                </w:tcPr>
                <w:p>
                  <w:pPr>
                    <w:pStyle w:val="49"/>
                    <w:rPr>
                      <w:kern w:val="0"/>
                      <w:szCs w:val="16"/>
                    </w:rPr>
                  </w:pPr>
                  <w:r>
                    <w:rPr>
                      <w:kern w:val="0"/>
                      <w:szCs w:val="16"/>
                    </w:rPr>
                    <w:t>李家坝村</w:t>
                  </w:r>
                </w:p>
              </w:tc>
              <w:tc>
                <w:tcPr>
                  <w:tcW w:w="816"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szCs w:val="16"/>
                    </w:rPr>
                    <w:t>E120.445175</w:t>
                  </w:r>
                  <w:r>
                    <w:rPr>
                      <w:rFonts w:hint="eastAsia"/>
                      <w:szCs w:val="16"/>
                    </w:rPr>
                    <w:t>°</w:t>
                  </w:r>
                </w:p>
              </w:tc>
              <w:tc>
                <w:tcPr>
                  <w:tcW w:w="775"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rFonts w:hint="eastAsia"/>
                      <w:szCs w:val="16"/>
                    </w:rPr>
                    <w:t>N</w:t>
                  </w:r>
                  <w:r>
                    <w:rPr>
                      <w:szCs w:val="16"/>
                    </w:rPr>
                    <w:t>30.549955</w:t>
                  </w:r>
                  <w:r>
                    <w:rPr>
                      <w:rFonts w:hint="eastAsia"/>
                      <w:szCs w:val="16"/>
                    </w:rPr>
                    <w:t>°</w:t>
                  </w:r>
                </w:p>
              </w:tc>
              <w:tc>
                <w:tcPr>
                  <w:tcW w:w="413"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rFonts w:hint="eastAsia"/>
                      <w:szCs w:val="16"/>
                    </w:rPr>
                    <w:t>NE</w:t>
                  </w:r>
                </w:p>
              </w:tc>
              <w:tc>
                <w:tcPr>
                  <w:tcW w:w="456"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rFonts w:hint="eastAsia"/>
                      <w:szCs w:val="16"/>
                    </w:rPr>
                    <w:t>760</w:t>
                  </w:r>
                </w:p>
              </w:tc>
              <w:tc>
                <w:tcPr>
                  <w:tcW w:w="446" w:type="pct"/>
                  <w:tcBorders>
                    <w:top w:val="single" w:color="auto" w:sz="4" w:space="0"/>
                    <w:left w:val="single" w:color="auto" w:sz="4" w:space="0"/>
                    <w:bottom w:val="single" w:color="auto" w:sz="4" w:space="0"/>
                    <w:right w:val="single" w:color="auto" w:sz="4" w:space="0"/>
                  </w:tcBorders>
                  <w:vAlign w:val="center"/>
                </w:tcPr>
                <w:p>
                  <w:pPr>
                    <w:pStyle w:val="49"/>
                    <w:rPr>
                      <w:kern w:val="0"/>
                      <w:szCs w:val="16"/>
                    </w:rPr>
                  </w:pPr>
                  <w:r>
                    <w:rPr>
                      <w:kern w:val="0"/>
                      <w:szCs w:val="16"/>
                    </w:rPr>
                    <w:t>居住区</w:t>
                  </w:r>
                </w:p>
              </w:tc>
              <w:tc>
                <w:tcPr>
                  <w:tcW w:w="532" w:type="pct"/>
                  <w:tcBorders>
                    <w:top w:val="single" w:color="auto" w:sz="4" w:space="0"/>
                    <w:left w:val="single" w:color="auto" w:sz="4" w:space="0"/>
                    <w:bottom w:val="single" w:color="auto" w:sz="4" w:space="0"/>
                    <w:right w:val="single" w:color="auto" w:sz="4" w:space="0"/>
                  </w:tcBorders>
                  <w:vAlign w:val="center"/>
                </w:tcPr>
                <w:p>
                  <w:pPr>
                    <w:pStyle w:val="49"/>
                    <w:rPr>
                      <w:kern w:val="0"/>
                      <w:szCs w:val="16"/>
                    </w:rPr>
                  </w:pPr>
                  <w:r>
                    <w:rPr>
                      <w:rFonts w:hint="eastAsia"/>
                      <w:kern w:val="0"/>
                      <w:szCs w:val="16"/>
                    </w:rPr>
                    <w:t>~500人</w:t>
                  </w:r>
                </w:p>
              </w:tc>
              <w:tc>
                <w:tcPr>
                  <w:tcW w:w="741" w:type="pct"/>
                  <w:vMerge w:val="continue"/>
                  <w:tcBorders>
                    <w:left w:val="single" w:color="auto" w:sz="4" w:space="0"/>
                    <w:right w:val="single" w:color="auto" w:sz="4" w:space="0"/>
                  </w:tcBorders>
                  <w:vAlign w:val="center"/>
                </w:tcPr>
                <w:p>
                  <w:pPr>
                    <w:pStyle w:val="49"/>
                    <w:rPr>
                      <w:kern w:val="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tcBorders>
                    <w:top w:val="single" w:color="auto" w:sz="4" w:space="0"/>
                    <w:left w:val="single" w:color="auto" w:sz="4" w:space="0"/>
                    <w:right w:val="single" w:color="auto" w:sz="4" w:space="0"/>
                  </w:tcBorders>
                  <w:vAlign w:val="center"/>
                </w:tcPr>
                <w:p>
                  <w:pPr>
                    <w:pStyle w:val="49"/>
                    <w:rPr>
                      <w:szCs w:val="18"/>
                    </w:rPr>
                  </w:pPr>
                  <w:r>
                    <w:rPr>
                      <w:szCs w:val="18"/>
                    </w:rPr>
                    <w:t>声环境</w:t>
                  </w:r>
                </w:p>
              </w:tc>
              <w:tc>
                <w:tcPr>
                  <w:tcW w:w="558" w:type="pct"/>
                  <w:tcBorders>
                    <w:top w:val="single" w:color="auto" w:sz="4" w:space="0"/>
                    <w:left w:val="single" w:color="auto" w:sz="4" w:space="0"/>
                    <w:bottom w:val="single" w:color="auto" w:sz="4" w:space="0"/>
                    <w:right w:val="single" w:color="auto" w:sz="4" w:space="0"/>
                  </w:tcBorders>
                  <w:vAlign w:val="center"/>
                </w:tcPr>
                <w:p>
                  <w:pPr>
                    <w:pStyle w:val="49"/>
                    <w:rPr>
                      <w:kern w:val="0"/>
                      <w:szCs w:val="18"/>
                    </w:rPr>
                  </w:pPr>
                  <w:r>
                    <w:rPr>
                      <w:rFonts w:hint="eastAsia"/>
                      <w:szCs w:val="16"/>
                    </w:rPr>
                    <w:t>厂界周围声环境</w:t>
                  </w:r>
                </w:p>
              </w:tc>
              <w:tc>
                <w:tcPr>
                  <w:tcW w:w="816"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rFonts w:hint="eastAsia"/>
                      <w:szCs w:val="16"/>
                    </w:rPr>
                    <w:t>/</w:t>
                  </w:r>
                </w:p>
              </w:tc>
              <w:tc>
                <w:tcPr>
                  <w:tcW w:w="775"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rFonts w:hint="eastAsia"/>
                      <w:szCs w:val="16"/>
                    </w:rPr>
                    <w:t>/</w:t>
                  </w:r>
                </w:p>
              </w:tc>
              <w:tc>
                <w:tcPr>
                  <w:tcW w:w="413"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rFonts w:hint="eastAsia"/>
                      <w:szCs w:val="16"/>
                    </w:rPr>
                    <w:t>/</w:t>
                  </w:r>
                </w:p>
              </w:tc>
              <w:tc>
                <w:tcPr>
                  <w:tcW w:w="456"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rFonts w:hint="eastAsia"/>
                      <w:szCs w:val="16"/>
                    </w:rPr>
                    <w:t>/</w:t>
                  </w:r>
                </w:p>
              </w:tc>
              <w:tc>
                <w:tcPr>
                  <w:tcW w:w="446" w:type="pct"/>
                  <w:tcBorders>
                    <w:top w:val="single" w:color="auto" w:sz="4" w:space="0"/>
                    <w:left w:val="single" w:color="auto" w:sz="4" w:space="0"/>
                    <w:bottom w:val="single" w:color="auto" w:sz="4" w:space="0"/>
                    <w:right w:val="single" w:color="auto" w:sz="4" w:space="0"/>
                  </w:tcBorders>
                  <w:vAlign w:val="center"/>
                </w:tcPr>
                <w:p>
                  <w:pPr>
                    <w:pStyle w:val="49"/>
                    <w:rPr>
                      <w:kern w:val="0"/>
                      <w:szCs w:val="18"/>
                    </w:rPr>
                  </w:pPr>
                  <w:r>
                    <w:rPr>
                      <w:rFonts w:hint="eastAsia"/>
                      <w:szCs w:val="16"/>
                    </w:rPr>
                    <w:t>200m以内区域</w:t>
                  </w:r>
                </w:p>
              </w:tc>
              <w:tc>
                <w:tcPr>
                  <w:tcW w:w="532" w:type="pct"/>
                  <w:tcBorders>
                    <w:top w:val="single" w:color="auto" w:sz="4" w:space="0"/>
                    <w:left w:val="single" w:color="auto" w:sz="4" w:space="0"/>
                    <w:bottom w:val="single" w:color="auto" w:sz="4" w:space="0"/>
                    <w:right w:val="single" w:color="auto" w:sz="4" w:space="0"/>
                  </w:tcBorders>
                  <w:vAlign w:val="center"/>
                </w:tcPr>
                <w:p>
                  <w:pPr>
                    <w:pStyle w:val="49"/>
                    <w:rPr>
                      <w:kern w:val="0"/>
                      <w:szCs w:val="18"/>
                    </w:rPr>
                  </w:pPr>
                  <w:r>
                    <w:rPr>
                      <w:rFonts w:hint="eastAsia"/>
                      <w:kern w:val="0"/>
                      <w:szCs w:val="18"/>
                    </w:rPr>
                    <w:t>/</w:t>
                  </w:r>
                </w:p>
              </w:tc>
              <w:tc>
                <w:tcPr>
                  <w:tcW w:w="741" w:type="pct"/>
                  <w:tcBorders>
                    <w:top w:val="single" w:color="auto" w:sz="4" w:space="0"/>
                    <w:left w:val="single" w:color="auto" w:sz="4" w:space="0"/>
                    <w:right w:val="single" w:color="auto" w:sz="4" w:space="0"/>
                  </w:tcBorders>
                  <w:vAlign w:val="center"/>
                </w:tcPr>
                <w:p>
                  <w:pPr>
                    <w:pStyle w:val="49"/>
                    <w:rPr>
                      <w:kern w:val="0"/>
                      <w:szCs w:val="18"/>
                    </w:rPr>
                  </w:pPr>
                  <w:r>
                    <w:rPr>
                      <w:kern w:val="0"/>
                      <w:szCs w:val="18"/>
                    </w:rPr>
                    <w:t>《声环境质量标准》中的</w:t>
                  </w:r>
                  <w:r>
                    <w:rPr>
                      <w:rFonts w:hint="eastAsia"/>
                      <w:kern w:val="0"/>
                      <w:szCs w:val="18"/>
                    </w:rPr>
                    <w:t>3</w:t>
                  </w:r>
                  <w:r>
                    <w:rPr>
                      <w:kern w:val="0"/>
                      <w:szCs w:val="18"/>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tcBorders>
                    <w:top w:val="single" w:color="auto" w:sz="4" w:space="0"/>
                    <w:left w:val="single" w:color="auto" w:sz="4" w:space="0"/>
                    <w:right w:val="single" w:color="auto" w:sz="4" w:space="0"/>
                  </w:tcBorders>
                  <w:vAlign w:val="center"/>
                </w:tcPr>
                <w:p>
                  <w:pPr>
                    <w:pStyle w:val="49"/>
                    <w:rPr>
                      <w:szCs w:val="18"/>
                    </w:rPr>
                  </w:pPr>
                  <w:r>
                    <w:rPr>
                      <w:rFonts w:hint="eastAsia"/>
                      <w:szCs w:val="18"/>
                    </w:rPr>
                    <w:t>土壤</w:t>
                  </w:r>
                </w:p>
              </w:tc>
              <w:tc>
                <w:tcPr>
                  <w:tcW w:w="558" w:type="pct"/>
                  <w:tcBorders>
                    <w:top w:val="single" w:color="auto" w:sz="4" w:space="0"/>
                    <w:left w:val="single" w:color="auto" w:sz="4" w:space="0"/>
                    <w:bottom w:val="single" w:color="auto" w:sz="4" w:space="0"/>
                    <w:right w:val="single" w:color="auto" w:sz="4" w:space="0"/>
                  </w:tcBorders>
                  <w:vAlign w:val="center"/>
                </w:tcPr>
                <w:p>
                  <w:pPr>
                    <w:pStyle w:val="49"/>
                    <w:rPr>
                      <w:kern w:val="0"/>
                      <w:szCs w:val="18"/>
                    </w:rPr>
                  </w:pPr>
                  <w:r>
                    <w:rPr>
                      <w:rFonts w:hint="eastAsia"/>
                      <w:kern w:val="0"/>
                      <w:szCs w:val="18"/>
                    </w:rPr>
                    <w:t>农田</w:t>
                  </w:r>
                </w:p>
              </w:tc>
              <w:tc>
                <w:tcPr>
                  <w:tcW w:w="816"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rFonts w:hint="eastAsia"/>
                      <w:szCs w:val="16"/>
                    </w:rPr>
                    <w:t>/</w:t>
                  </w:r>
                </w:p>
              </w:tc>
              <w:tc>
                <w:tcPr>
                  <w:tcW w:w="775"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rFonts w:hint="eastAsia"/>
                      <w:szCs w:val="16"/>
                    </w:rPr>
                    <w:t>/</w:t>
                  </w:r>
                </w:p>
              </w:tc>
              <w:tc>
                <w:tcPr>
                  <w:tcW w:w="413"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rFonts w:hint="eastAsia"/>
                      <w:szCs w:val="16"/>
                    </w:rPr>
                    <w:t>/</w:t>
                  </w:r>
                </w:p>
              </w:tc>
              <w:tc>
                <w:tcPr>
                  <w:tcW w:w="456" w:type="pct"/>
                  <w:tcBorders>
                    <w:top w:val="single" w:color="auto" w:sz="4" w:space="0"/>
                    <w:left w:val="single" w:color="auto" w:sz="4" w:space="0"/>
                    <w:bottom w:val="single" w:color="auto" w:sz="4" w:space="0"/>
                    <w:right w:val="single" w:color="auto" w:sz="4" w:space="0"/>
                  </w:tcBorders>
                  <w:vAlign w:val="center"/>
                </w:tcPr>
                <w:p>
                  <w:pPr>
                    <w:pStyle w:val="49"/>
                    <w:rPr>
                      <w:szCs w:val="16"/>
                    </w:rPr>
                  </w:pPr>
                  <w:r>
                    <w:rPr>
                      <w:rFonts w:hint="eastAsia"/>
                      <w:szCs w:val="16"/>
                    </w:rPr>
                    <w:t>/</w:t>
                  </w:r>
                </w:p>
              </w:tc>
              <w:tc>
                <w:tcPr>
                  <w:tcW w:w="446" w:type="pct"/>
                  <w:tcBorders>
                    <w:top w:val="single" w:color="auto" w:sz="4" w:space="0"/>
                    <w:left w:val="single" w:color="auto" w:sz="4" w:space="0"/>
                    <w:bottom w:val="single" w:color="auto" w:sz="4" w:space="0"/>
                    <w:right w:val="single" w:color="auto" w:sz="4" w:space="0"/>
                  </w:tcBorders>
                  <w:vAlign w:val="center"/>
                </w:tcPr>
                <w:p>
                  <w:pPr>
                    <w:pStyle w:val="49"/>
                    <w:rPr>
                      <w:kern w:val="0"/>
                      <w:szCs w:val="18"/>
                    </w:rPr>
                  </w:pPr>
                  <w:r>
                    <w:rPr>
                      <w:rFonts w:hint="eastAsia"/>
                      <w:szCs w:val="16"/>
                    </w:rPr>
                    <w:t>130m以内</w:t>
                  </w:r>
                  <w:r>
                    <w:rPr>
                      <w:rFonts w:hint="eastAsia"/>
                      <w:kern w:val="0"/>
                      <w:szCs w:val="18"/>
                    </w:rPr>
                    <w:t>区域</w:t>
                  </w:r>
                </w:p>
              </w:tc>
              <w:tc>
                <w:tcPr>
                  <w:tcW w:w="532" w:type="pct"/>
                  <w:tcBorders>
                    <w:top w:val="single" w:color="auto" w:sz="4" w:space="0"/>
                    <w:left w:val="single" w:color="auto" w:sz="4" w:space="0"/>
                    <w:bottom w:val="single" w:color="auto" w:sz="4" w:space="0"/>
                    <w:right w:val="single" w:color="auto" w:sz="4" w:space="0"/>
                  </w:tcBorders>
                  <w:vAlign w:val="center"/>
                </w:tcPr>
                <w:p>
                  <w:pPr>
                    <w:pStyle w:val="49"/>
                    <w:rPr>
                      <w:kern w:val="0"/>
                      <w:szCs w:val="18"/>
                    </w:rPr>
                  </w:pPr>
                  <w:r>
                    <w:rPr>
                      <w:rFonts w:hint="eastAsia"/>
                      <w:kern w:val="0"/>
                      <w:szCs w:val="18"/>
                    </w:rPr>
                    <w:t>土壤</w:t>
                  </w:r>
                </w:p>
              </w:tc>
              <w:tc>
                <w:tcPr>
                  <w:tcW w:w="741" w:type="pct"/>
                  <w:tcBorders>
                    <w:top w:val="single" w:color="auto" w:sz="4" w:space="0"/>
                    <w:left w:val="single" w:color="auto" w:sz="4" w:space="0"/>
                    <w:right w:val="single" w:color="auto" w:sz="4" w:space="0"/>
                  </w:tcBorders>
                  <w:vAlign w:val="center"/>
                </w:tcPr>
                <w:p>
                  <w:pPr>
                    <w:pStyle w:val="49"/>
                    <w:rPr>
                      <w:kern w:val="0"/>
                      <w:szCs w:val="18"/>
                    </w:rPr>
                  </w:pPr>
                  <w:r>
                    <w:rPr>
                      <w:kern w:val="0"/>
                      <w:szCs w:val="18"/>
                    </w:rPr>
                    <w:t>《土壤环境质量 农用地土壤污染风险管控标准（试行）》（GB15618-2018）中相应风险筛选值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9"/>
                  <w:tcBorders>
                    <w:top w:val="single" w:color="auto" w:sz="4" w:space="0"/>
                    <w:left w:val="single" w:color="auto" w:sz="4" w:space="0"/>
                    <w:bottom w:val="single" w:color="auto" w:sz="4" w:space="0"/>
                    <w:right w:val="single" w:color="auto" w:sz="4" w:space="0"/>
                  </w:tcBorders>
                  <w:vAlign w:val="center"/>
                </w:tcPr>
                <w:p>
                  <w:pPr>
                    <w:pStyle w:val="49"/>
                    <w:jc w:val="both"/>
                    <w:rPr>
                      <w:kern w:val="0"/>
                      <w:szCs w:val="18"/>
                    </w:rPr>
                  </w:pPr>
                  <w:r>
                    <w:rPr>
                      <w:rFonts w:hint="eastAsia"/>
                      <w:kern w:val="0"/>
                      <w:szCs w:val="18"/>
                    </w:rPr>
                    <w:t>*注：</w:t>
                  </w:r>
                  <w:r>
                    <w:rPr>
                      <w:kern w:val="0"/>
                      <w:szCs w:val="18"/>
                    </w:rPr>
                    <w:t>本项目采用经纬度</w:t>
                  </w:r>
                </w:p>
              </w:tc>
            </w:tr>
          </w:tbl>
          <w:p>
            <w:pPr>
              <w:pStyle w:val="2"/>
              <w:spacing w:after="0" w:line="240" w:lineRule="auto"/>
              <w:ind w:left="0" w:leftChars="0" w:firstLine="0" w:firstLineChars="0"/>
            </w:pPr>
          </w:p>
          <w:p>
            <w:pPr>
              <w:pStyle w:val="2"/>
              <w:spacing w:after="0" w:line="240" w:lineRule="auto"/>
              <w:ind w:left="0" w:leftChars="0" w:firstLine="0" w:firstLineChars="0"/>
            </w:pPr>
          </w:p>
          <w:p>
            <w:pPr>
              <w:pStyle w:val="2"/>
              <w:spacing w:after="0" w:line="240" w:lineRule="auto"/>
              <w:ind w:left="0" w:leftChars="0" w:firstLine="0" w:firstLineChars="0"/>
            </w:pPr>
          </w:p>
          <w:p>
            <w:pPr>
              <w:pStyle w:val="2"/>
              <w:spacing w:after="0" w:line="240" w:lineRule="auto"/>
              <w:ind w:left="0" w:leftChars="0" w:firstLine="0" w:firstLineChars="0"/>
            </w:pPr>
          </w:p>
          <w:p>
            <w:pPr>
              <w:pStyle w:val="2"/>
              <w:spacing w:after="0" w:line="240" w:lineRule="auto"/>
              <w:ind w:left="0" w:leftChars="0" w:firstLine="0" w:firstLineChars="0"/>
            </w:pPr>
          </w:p>
          <w:p>
            <w:pPr>
              <w:pStyle w:val="2"/>
              <w:spacing w:after="0" w:line="240" w:lineRule="auto"/>
              <w:ind w:left="0" w:leftChars="0" w:firstLine="0" w:firstLineChars="0"/>
            </w:pPr>
          </w:p>
          <w:p>
            <w:pPr>
              <w:pStyle w:val="2"/>
              <w:spacing w:after="0" w:line="240" w:lineRule="auto"/>
              <w:ind w:left="0" w:leftChars="0" w:firstLine="0" w:firstLineChars="0"/>
            </w:pPr>
          </w:p>
          <w:p>
            <w:pPr>
              <w:pStyle w:val="2"/>
              <w:spacing w:after="0" w:line="240" w:lineRule="auto"/>
              <w:ind w:left="0" w:leftChars="0" w:firstLine="0" w:firstLineChars="0"/>
            </w:pPr>
          </w:p>
          <w:p>
            <w:pPr>
              <w:pStyle w:val="2"/>
              <w:spacing w:after="0" w:line="240" w:lineRule="auto"/>
              <w:ind w:left="0" w:leftChars="0" w:firstLine="0" w:firstLineChars="0"/>
            </w:pPr>
          </w:p>
          <w:p>
            <w:pPr>
              <w:pStyle w:val="2"/>
              <w:spacing w:after="0" w:line="240" w:lineRule="auto"/>
              <w:ind w:left="0" w:leftChars="0" w:firstLine="0" w:firstLineChars="0"/>
            </w:pPr>
          </w:p>
          <w:p>
            <w:pPr>
              <w:pStyle w:val="2"/>
              <w:spacing w:after="0" w:line="240" w:lineRule="auto"/>
              <w:ind w:left="0" w:leftChars="0" w:firstLine="0" w:firstLineChars="0"/>
            </w:pPr>
          </w:p>
          <w:p>
            <w:pPr>
              <w:pStyle w:val="2"/>
              <w:spacing w:after="0" w:line="240" w:lineRule="auto"/>
              <w:ind w:left="0" w:leftChars="0" w:firstLine="0" w:firstLineChars="0"/>
            </w:pPr>
          </w:p>
          <w:p>
            <w:pPr>
              <w:pStyle w:val="2"/>
              <w:spacing w:after="0" w:line="240" w:lineRule="auto"/>
              <w:ind w:left="0" w:leftChars="0" w:firstLine="0" w:firstLineChars="0"/>
              <w:rPr>
                <w:b/>
                <w:bCs/>
              </w:rPr>
            </w:pPr>
            <w:r>
              <w:drawing>
                <wp:anchor distT="0" distB="0" distL="114300" distR="114300" simplePos="0" relativeHeight="251759616" behindDoc="0" locked="0" layoutInCell="1" allowOverlap="1">
                  <wp:simplePos x="0" y="0"/>
                  <wp:positionH relativeFrom="column">
                    <wp:posOffset>5039360</wp:posOffset>
                  </wp:positionH>
                  <wp:positionV relativeFrom="paragraph">
                    <wp:posOffset>46990</wp:posOffset>
                  </wp:positionV>
                  <wp:extent cx="420370" cy="502920"/>
                  <wp:effectExtent l="0" t="0" r="0" b="0"/>
                  <wp:wrapNone/>
                  <wp:docPr id="809"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 name="图片 3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20370" cy="502920"/>
                          </a:xfrm>
                          <a:prstGeom prst="rect">
                            <a:avLst/>
                          </a:prstGeom>
                          <a:noFill/>
                          <a:ln>
                            <a:noFill/>
                          </a:ln>
                        </pic:spPr>
                      </pic:pic>
                    </a:graphicData>
                  </a:graphic>
                </wp:anchor>
              </w:drawing>
            </w:r>
            <w:r>
              <w:drawing>
                <wp:inline distT="0" distB="0" distL="0" distR="0">
                  <wp:extent cx="5539740" cy="4316730"/>
                  <wp:effectExtent l="0" t="0" r="0" b="0"/>
                  <wp:docPr id="5"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539740" cy="4316730"/>
                          </a:xfrm>
                          <a:prstGeom prst="rect">
                            <a:avLst/>
                          </a:prstGeom>
                          <a:noFill/>
                          <a:ln>
                            <a:noFill/>
                          </a:ln>
                        </pic:spPr>
                      </pic:pic>
                    </a:graphicData>
                  </a:graphic>
                </wp:inline>
              </w:drawing>
            </w:r>
          </w:p>
          <w:p>
            <w:pPr>
              <w:pStyle w:val="71"/>
              <w:spacing w:after="120"/>
              <w:rPr>
                <w:szCs w:val="24"/>
              </w:rPr>
            </w:pPr>
            <w:r>
              <w:rPr>
                <w:szCs w:val="24"/>
              </w:rPr>
              <w:t>图3-</w:t>
            </w:r>
            <w:r>
              <w:rPr>
                <w:rFonts w:hint="eastAsia"/>
                <w:szCs w:val="24"/>
              </w:rPr>
              <w:t>2</w:t>
            </w:r>
            <w:r>
              <w:rPr>
                <w:szCs w:val="24"/>
              </w:rPr>
              <w:t xml:space="preserve"> 主要环境保护目标图</w:t>
            </w:r>
          </w:p>
          <w:p>
            <w:pPr>
              <w:ind w:firstLine="0" w:firstLineChars="0"/>
              <w:rPr>
                <w:sz w:val="18"/>
                <w:szCs w:val="13"/>
              </w:rPr>
            </w:pPr>
          </w:p>
          <w:p>
            <w:pPr>
              <w:ind w:firstLine="0" w:firstLineChars="0"/>
              <w:rPr>
                <w:sz w:val="18"/>
                <w:szCs w:val="13"/>
              </w:rPr>
            </w:pPr>
          </w:p>
          <w:p>
            <w:pPr>
              <w:pStyle w:val="2"/>
              <w:ind w:left="480" w:firstLine="400"/>
            </w:pPr>
          </w:p>
          <w:p>
            <w:pPr>
              <w:ind w:firstLine="0" w:firstLineChars="0"/>
              <w:rPr>
                <w:sz w:val="18"/>
                <w:szCs w:val="13"/>
              </w:rPr>
            </w:pPr>
          </w:p>
          <w:p>
            <w:pPr>
              <w:ind w:firstLine="0" w:firstLineChars="0"/>
              <w:rPr>
                <w:sz w:val="18"/>
                <w:szCs w:val="13"/>
              </w:rPr>
            </w:pPr>
          </w:p>
          <w:p>
            <w:pPr>
              <w:ind w:firstLine="0" w:firstLineChars="0"/>
              <w:rPr>
                <w:sz w:val="18"/>
                <w:szCs w:val="13"/>
              </w:rPr>
            </w:pPr>
          </w:p>
          <w:p>
            <w:pPr>
              <w:ind w:firstLine="0" w:firstLineChars="0"/>
              <w:rPr>
                <w:sz w:val="18"/>
                <w:szCs w:val="13"/>
              </w:rPr>
            </w:pPr>
          </w:p>
          <w:p>
            <w:pPr>
              <w:ind w:firstLine="0" w:firstLineChars="0"/>
              <w:rPr>
                <w:sz w:val="18"/>
                <w:szCs w:val="13"/>
              </w:rPr>
            </w:pPr>
          </w:p>
          <w:p>
            <w:pPr>
              <w:pStyle w:val="2"/>
              <w:ind w:left="480" w:firstLine="360"/>
              <w:rPr>
                <w:sz w:val="18"/>
                <w:szCs w:val="13"/>
              </w:rPr>
            </w:pPr>
          </w:p>
          <w:p>
            <w:pPr>
              <w:pStyle w:val="2"/>
              <w:ind w:left="480" w:firstLine="360"/>
              <w:rPr>
                <w:sz w:val="18"/>
                <w:szCs w:val="13"/>
              </w:rPr>
            </w:pPr>
          </w:p>
          <w:p>
            <w:pPr>
              <w:pStyle w:val="2"/>
              <w:ind w:left="480" w:firstLine="360"/>
              <w:rPr>
                <w:sz w:val="18"/>
                <w:szCs w:val="13"/>
              </w:rPr>
            </w:pPr>
          </w:p>
          <w:p>
            <w:pPr>
              <w:pStyle w:val="2"/>
              <w:ind w:left="480" w:firstLine="360"/>
              <w:rPr>
                <w:sz w:val="18"/>
                <w:szCs w:val="13"/>
              </w:rPr>
            </w:pPr>
          </w:p>
          <w:p>
            <w:pPr>
              <w:ind w:firstLine="0" w:firstLineChars="0"/>
              <w:rPr>
                <w:sz w:val="18"/>
                <w:szCs w:val="13"/>
              </w:rPr>
            </w:pPr>
          </w:p>
          <w:p>
            <w:pPr>
              <w:ind w:firstLine="0" w:firstLineChars="0"/>
              <w:rPr>
                <w:sz w:val="18"/>
                <w:szCs w:val="13"/>
              </w:rPr>
            </w:pPr>
          </w:p>
          <w:p>
            <w:pPr>
              <w:ind w:firstLine="0" w:firstLineChars="0"/>
              <w:rPr>
                <w:sz w:val="18"/>
                <w:szCs w:val="13"/>
              </w:rPr>
            </w:pPr>
          </w:p>
          <w:p>
            <w:pPr>
              <w:ind w:firstLine="0" w:firstLineChars="0"/>
              <w:rPr>
                <w:sz w:val="18"/>
                <w:szCs w:val="13"/>
              </w:rPr>
            </w:pPr>
          </w:p>
          <w:p>
            <w:pPr>
              <w:ind w:firstLine="0" w:firstLineChars="0"/>
              <w:rPr>
                <w:sz w:val="18"/>
                <w:szCs w:val="13"/>
              </w:rPr>
            </w:pPr>
          </w:p>
          <w:p>
            <w:pPr>
              <w:ind w:firstLine="0" w:firstLineChars="0"/>
              <w:rPr>
                <w:sz w:val="18"/>
                <w:szCs w:val="13"/>
              </w:rPr>
            </w:pPr>
          </w:p>
          <w:p>
            <w:pPr>
              <w:ind w:firstLine="0" w:firstLineChars="0"/>
              <w:rPr>
                <w:sz w:val="18"/>
                <w:szCs w:val="13"/>
              </w:rPr>
            </w:pPr>
          </w:p>
        </w:tc>
      </w:tr>
    </w:tbl>
    <w:p>
      <w:pPr>
        <w:pStyle w:val="4"/>
      </w:pPr>
      <w:bookmarkStart w:id="92" w:name="_Toc3498"/>
      <w:r>
        <w:t>4、评价适用标准</w:t>
      </w:r>
      <w:bookmarkEnd w:id="80"/>
      <w:bookmarkEnd w:id="81"/>
      <w:bookmarkEnd w:id="92"/>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8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317" w:type="pct"/>
            <w:tcBorders>
              <w:top w:val="single" w:color="auto" w:sz="12" w:space="0"/>
              <w:left w:val="single" w:color="auto" w:sz="12" w:space="0"/>
              <w:bottom w:val="single" w:color="auto" w:sz="12" w:space="0"/>
              <w:right w:val="single" w:color="auto" w:sz="12" w:space="0"/>
            </w:tcBorders>
            <w:vAlign w:val="center"/>
          </w:tcPr>
          <w:p>
            <w:pPr>
              <w:snapToGrid w:val="0"/>
              <w:spacing w:line="480" w:lineRule="auto"/>
              <w:ind w:firstLine="0" w:firstLineChars="0"/>
              <w:jc w:val="center"/>
              <w:rPr>
                <w:kern w:val="0"/>
              </w:rPr>
            </w:pPr>
            <w:r>
              <w:rPr>
                <w:kern w:val="0"/>
              </w:rPr>
              <w:t>环</w:t>
            </w:r>
          </w:p>
          <w:p>
            <w:pPr>
              <w:snapToGrid w:val="0"/>
              <w:spacing w:line="480" w:lineRule="auto"/>
              <w:ind w:firstLine="0" w:firstLineChars="0"/>
              <w:jc w:val="center"/>
              <w:rPr>
                <w:kern w:val="0"/>
              </w:rPr>
            </w:pPr>
            <w:r>
              <w:rPr>
                <w:kern w:val="0"/>
              </w:rPr>
              <w:t>境</w:t>
            </w:r>
          </w:p>
          <w:p>
            <w:pPr>
              <w:snapToGrid w:val="0"/>
              <w:spacing w:line="480" w:lineRule="auto"/>
              <w:ind w:firstLine="0" w:firstLineChars="0"/>
              <w:jc w:val="center"/>
              <w:rPr>
                <w:kern w:val="0"/>
              </w:rPr>
            </w:pPr>
            <w:r>
              <w:rPr>
                <w:kern w:val="0"/>
              </w:rPr>
              <w:t>质</w:t>
            </w:r>
          </w:p>
          <w:p>
            <w:pPr>
              <w:snapToGrid w:val="0"/>
              <w:spacing w:line="480" w:lineRule="auto"/>
              <w:ind w:firstLine="0" w:firstLineChars="0"/>
              <w:jc w:val="center"/>
              <w:rPr>
                <w:kern w:val="0"/>
              </w:rPr>
            </w:pPr>
            <w:r>
              <w:rPr>
                <w:kern w:val="0"/>
              </w:rPr>
              <w:t>量</w:t>
            </w:r>
          </w:p>
          <w:p>
            <w:pPr>
              <w:snapToGrid w:val="0"/>
              <w:spacing w:line="480" w:lineRule="auto"/>
              <w:ind w:firstLine="0" w:firstLineChars="0"/>
              <w:jc w:val="center"/>
              <w:rPr>
                <w:kern w:val="0"/>
              </w:rPr>
            </w:pPr>
            <w:r>
              <w:rPr>
                <w:kern w:val="0"/>
              </w:rPr>
              <w:t>标</w:t>
            </w:r>
          </w:p>
          <w:p>
            <w:pPr>
              <w:snapToGrid w:val="0"/>
              <w:spacing w:line="480" w:lineRule="auto"/>
              <w:ind w:firstLine="0" w:firstLineChars="0"/>
              <w:jc w:val="center"/>
              <w:rPr>
                <w:kern w:val="0"/>
              </w:rPr>
            </w:pPr>
            <w:r>
              <w:rPr>
                <w:kern w:val="0"/>
              </w:rPr>
              <w:t>准</w:t>
            </w:r>
          </w:p>
        </w:tc>
        <w:tc>
          <w:tcPr>
            <w:tcW w:w="4683" w:type="pct"/>
            <w:tcBorders>
              <w:top w:val="single" w:color="auto" w:sz="12" w:space="0"/>
              <w:left w:val="single" w:color="auto" w:sz="12" w:space="0"/>
              <w:bottom w:val="single" w:color="auto" w:sz="12" w:space="0"/>
              <w:right w:val="single" w:color="auto" w:sz="12" w:space="0"/>
            </w:tcBorders>
          </w:tcPr>
          <w:p>
            <w:pPr>
              <w:pStyle w:val="5"/>
            </w:pPr>
            <w:bookmarkStart w:id="93" w:name="_Toc29380611"/>
            <w:bookmarkStart w:id="94" w:name="_Toc29388562"/>
            <w:bookmarkStart w:id="95" w:name="_Toc50517359"/>
            <w:r>
              <w:t>4.1环境质量标准</w:t>
            </w:r>
            <w:bookmarkEnd w:id="93"/>
            <w:bookmarkEnd w:id="94"/>
          </w:p>
          <w:p>
            <w:pPr>
              <w:pStyle w:val="6"/>
            </w:pPr>
            <w:bookmarkStart w:id="96" w:name="_Toc29380612"/>
            <w:bookmarkStart w:id="97" w:name="_Toc29388563"/>
            <w:r>
              <w:t>4.1.1地表水环境</w:t>
            </w:r>
            <w:bookmarkEnd w:id="95"/>
            <w:bookmarkEnd w:id="96"/>
            <w:bookmarkEnd w:id="97"/>
          </w:p>
          <w:p>
            <w:pPr>
              <w:ind w:firstLine="480"/>
            </w:pPr>
            <w:r>
              <w:t>本项目地处杭嘉湖平原，河道纵横，附近主要河流是</w:t>
            </w:r>
            <w:r>
              <w:rPr>
                <w:rFonts w:hint="eastAsia"/>
                <w:szCs w:val="22"/>
              </w:rPr>
              <w:t>京杭运河及其支流店街塘港</w:t>
            </w:r>
            <w:r>
              <w:t>，根据《浙江省水功能区划水环境</w:t>
            </w:r>
            <w:r>
              <w:rPr>
                <w:szCs w:val="22"/>
              </w:rPr>
              <w:t>功能区划分方案》（浙江省人民政府，2015年6月），本项目附近地表水属于Ⅲ类功能区，地表水污染物执行《地表水环境质量标准》（GB3838-2002）Ⅲ类</w:t>
            </w:r>
            <w:r>
              <w:t>标准，具体见下表。</w:t>
            </w:r>
          </w:p>
          <w:p>
            <w:pPr>
              <w:pStyle w:val="46"/>
              <w:jc w:val="right"/>
            </w:pPr>
            <w:r>
              <w:t>表4-1 《地表水环境质量标准》（GB3838-2002） 单位：除pH外，其余均为mg/L</w:t>
            </w:r>
          </w:p>
          <w:tbl>
            <w:tblPr>
              <w:tblStyle w:val="3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1547"/>
              <w:gridCol w:w="831"/>
              <w:gridCol w:w="1002"/>
              <w:gridCol w:w="1001"/>
              <w:gridCol w:w="1170"/>
              <w:gridCol w:w="1001"/>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67" w:type="pct"/>
                  <w:tcBorders>
                    <w:top w:val="single" w:color="auto" w:sz="4" w:space="0"/>
                    <w:left w:val="single" w:color="auto" w:sz="4" w:space="0"/>
                    <w:bottom w:val="single" w:color="auto" w:sz="4" w:space="0"/>
                    <w:right w:val="single" w:color="auto" w:sz="4" w:space="0"/>
                  </w:tcBorders>
                  <w:vAlign w:val="center"/>
                </w:tcPr>
                <w:p>
                  <w:pPr>
                    <w:pStyle w:val="46"/>
                  </w:pPr>
                  <w:r>
                    <w:t>项目</w:t>
                  </w:r>
                </w:p>
              </w:tc>
              <w:tc>
                <w:tcPr>
                  <w:tcW w:w="949" w:type="pct"/>
                  <w:tcBorders>
                    <w:top w:val="single" w:color="auto" w:sz="4" w:space="0"/>
                    <w:left w:val="single" w:color="auto" w:sz="4" w:space="0"/>
                    <w:bottom w:val="single" w:color="auto" w:sz="4" w:space="0"/>
                    <w:right w:val="single" w:color="auto" w:sz="4" w:space="0"/>
                  </w:tcBorders>
                  <w:vAlign w:val="center"/>
                </w:tcPr>
                <w:p>
                  <w:pPr>
                    <w:pStyle w:val="46"/>
                  </w:pPr>
                  <w:r>
                    <w:t>pH(无量纲)</w:t>
                  </w:r>
                </w:p>
              </w:tc>
              <w:tc>
                <w:tcPr>
                  <w:tcW w:w="510" w:type="pct"/>
                  <w:tcBorders>
                    <w:top w:val="single" w:color="auto" w:sz="4" w:space="0"/>
                    <w:left w:val="single" w:color="auto" w:sz="4" w:space="0"/>
                    <w:bottom w:val="single" w:color="auto" w:sz="4" w:space="0"/>
                    <w:right w:val="single" w:color="auto" w:sz="4" w:space="0"/>
                  </w:tcBorders>
                  <w:vAlign w:val="center"/>
                </w:tcPr>
                <w:p>
                  <w:pPr>
                    <w:pStyle w:val="46"/>
                  </w:pPr>
                  <w:r>
                    <w:t>DO</w:t>
                  </w:r>
                </w:p>
              </w:tc>
              <w:tc>
                <w:tcPr>
                  <w:tcW w:w="615" w:type="pct"/>
                  <w:tcBorders>
                    <w:top w:val="single" w:color="auto" w:sz="4" w:space="0"/>
                    <w:left w:val="single" w:color="auto" w:sz="4" w:space="0"/>
                    <w:bottom w:val="single" w:color="auto" w:sz="4" w:space="0"/>
                    <w:right w:val="single" w:color="auto" w:sz="4" w:space="0"/>
                  </w:tcBorders>
                  <w:vAlign w:val="center"/>
                </w:tcPr>
                <w:p>
                  <w:pPr>
                    <w:pStyle w:val="46"/>
                  </w:pPr>
                  <w:r>
                    <w:t>COD</w:t>
                  </w:r>
                  <w:r>
                    <w:rPr>
                      <w:vertAlign w:val="subscript"/>
                    </w:rPr>
                    <w:t>Cr</w:t>
                  </w:r>
                </w:p>
              </w:tc>
              <w:tc>
                <w:tcPr>
                  <w:tcW w:w="614" w:type="pct"/>
                  <w:tcBorders>
                    <w:top w:val="single" w:color="auto" w:sz="4" w:space="0"/>
                    <w:left w:val="single" w:color="auto" w:sz="4" w:space="0"/>
                    <w:bottom w:val="single" w:color="auto" w:sz="4" w:space="0"/>
                    <w:right w:val="single" w:color="auto" w:sz="4" w:space="0"/>
                  </w:tcBorders>
                  <w:vAlign w:val="center"/>
                </w:tcPr>
                <w:p>
                  <w:pPr>
                    <w:pStyle w:val="46"/>
                  </w:pPr>
                  <w:r>
                    <w:t>BOD</w:t>
                  </w:r>
                  <w:r>
                    <w:rPr>
                      <w:vertAlign w:val="subscript"/>
                    </w:rPr>
                    <w:t>5</w:t>
                  </w:r>
                </w:p>
              </w:tc>
              <w:tc>
                <w:tcPr>
                  <w:tcW w:w="718" w:type="pct"/>
                  <w:tcBorders>
                    <w:top w:val="single" w:color="auto" w:sz="4" w:space="0"/>
                    <w:left w:val="single" w:color="auto" w:sz="4" w:space="0"/>
                    <w:bottom w:val="single" w:color="auto" w:sz="4" w:space="0"/>
                    <w:right w:val="single" w:color="auto" w:sz="4" w:space="0"/>
                  </w:tcBorders>
                  <w:vAlign w:val="center"/>
                </w:tcPr>
                <w:p>
                  <w:pPr>
                    <w:pStyle w:val="46"/>
                  </w:pPr>
                  <w:r>
                    <w:t>COD</w:t>
                  </w:r>
                  <w:r>
                    <w:rPr>
                      <w:vertAlign w:val="subscript"/>
                    </w:rPr>
                    <w:t>Mn</w:t>
                  </w:r>
                </w:p>
              </w:tc>
              <w:tc>
                <w:tcPr>
                  <w:tcW w:w="614" w:type="pct"/>
                  <w:tcBorders>
                    <w:top w:val="single" w:color="auto" w:sz="4" w:space="0"/>
                    <w:left w:val="single" w:color="auto" w:sz="4" w:space="0"/>
                    <w:bottom w:val="single" w:color="auto" w:sz="4" w:space="0"/>
                    <w:right w:val="single" w:color="auto" w:sz="4" w:space="0"/>
                  </w:tcBorders>
                  <w:vAlign w:val="center"/>
                </w:tcPr>
                <w:p>
                  <w:pPr>
                    <w:pStyle w:val="46"/>
                  </w:pPr>
                  <w:r>
                    <w:t>NH</w:t>
                  </w:r>
                  <w:r>
                    <w:rPr>
                      <w:vertAlign w:val="subscript"/>
                    </w:rPr>
                    <w:t>3</w:t>
                  </w:r>
                  <w:r>
                    <w:t>-N</w:t>
                  </w:r>
                </w:p>
              </w:tc>
              <w:tc>
                <w:tcPr>
                  <w:tcW w:w="511" w:type="pct"/>
                  <w:tcBorders>
                    <w:top w:val="single" w:color="auto" w:sz="4" w:space="0"/>
                    <w:left w:val="single" w:color="auto" w:sz="4" w:space="0"/>
                    <w:bottom w:val="single" w:color="auto" w:sz="4" w:space="0"/>
                    <w:right w:val="single" w:color="auto" w:sz="4" w:space="0"/>
                  </w:tcBorders>
                  <w:vAlign w:val="center"/>
                </w:tcPr>
                <w:p>
                  <w:pPr>
                    <w:pStyle w:val="46"/>
                  </w:pPr>
                  <w:r>
                    <w:t>T</w:t>
                  </w:r>
                  <w:r>
                    <w:rPr>
                      <w:rFonts w:hint="eastAsia"/>
                    </w:rPr>
                    <w: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pct"/>
                  <w:tcBorders>
                    <w:top w:val="single" w:color="auto" w:sz="4" w:space="0"/>
                    <w:left w:val="single" w:color="auto" w:sz="4" w:space="0"/>
                    <w:bottom w:val="single" w:color="auto" w:sz="4" w:space="0"/>
                    <w:right w:val="single" w:color="auto" w:sz="4" w:space="0"/>
                  </w:tcBorders>
                  <w:vAlign w:val="center"/>
                </w:tcPr>
                <w:p>
                  <w:pPr>
                    <w:pStyle w:val="47"/>
                  </w:pPr>
                  <w:r>
                    <w:t>Ⅲ类</w:t>
                  </w:r>
                </w:p>
              </w:tc>
              <w:tc>
                <w:tcPr>
                  <w:tcW w:w="949" w:type="pct"/>
                  <w:tcBorders>
                    <w:top w:val="single" w:color="auto" w:sz="4" w:space="0"/>
                    <w:left w:val="single" w:color="auto" w:sz="4" w:space="0"/>
                    <w:bottom w:val="single" w:color="auto" w:sz="4" w:space="0"/>
                    <w:right w:val="single" w:color="auto" w:sz="4" w:space="0"/>
                  </w:tcBorders>
                  <w:vAlign w:val="center"/>
                </w:tcPr>
                <w:p>
                  <w:pPr>
                    <w:pStyle w:val="47"/>
                  </w:pPr>
                  <w:r>
                    <w:t>6~9</w:t>
                  </w:r>
                </w:p>
              </w:tc>
              <w:tc>
                <w:tcPr>
                  <w:tcW w:w="510" w:type="pct"/>
                  <w:tcBorders>
                    <w:top w:val="single" w:color="auto" w:sz="4" w:space="0"/>
                    <w:left w:val="single" w:color="auto" w:sz="4" w:space="0"/>
                    <w:bottom w:val="single" w:color="auto" w:sz="4" w:space="0"/>
                    <w:right w:val="single" w:color="auto" w:sz="4" w:space="0"/>
                  </w:tcBorders>
                  <w:vAlign w:val="center"/>
                </w:tcPr>
                <w:p>
                  <w:pPr>
                    <w:pStyle w:val="47"/>
                  </w:pPr>
                  <w:r>
                    <w:t>≥</w:t>
                  </w:r>
                  <w:r>
                    <w:rPr>
                      <w:rFonts w:hint="eastAsia"/>
                    </w:rPr>
                    <w:t>5</w:t>
                  </w:r>
                </w:p>
              </w:tc>
              <w:tc>
                <w:tcPr>
                  <w:tcW w:w="615" w:type="pct"/>
                  <w:tcBorders>
                    <w:top w:val="single" w:color="auto" w:sz="4" w:space="0"/>
                    <w:left w:val="single" w:color="auto" w:sz="4" w:space="0"/>
                    <w:bottom w:val="single" w:color="auto" w:sz="4" w:space="0"/>
                    <w:right w:val="single" w:color="auto" w:sz="4" w:space="0"/>
                  </w:tcBorders>
                  <w:vAlign w:val="center"/>
                </w:tcPr>
                <w:p>
                  <w:pPr>
                    <w:pStyle w:val="47"/>
                  </w:pPr>
                  <w:r>
                    <w:t>≤</w:t>
                  </w:r>
                  <w:r>
                    <w:rPr>
                      <w:rFonts w:hint="eastAsia"/>
                    </w:rPr>
                    <w:t>20</w:t>
                  </w:r>
                </w:p>
              </w:tc>
              <w:tc>
                <w:tcPr>
                  <w:tcW w:w="614" w:type="pct"/>
                  <w:tcBorders>
                    <w:top w:val="single" w:color="auto" w:sz="4" w:space="0"/>
                    <w:left w:val="single" w:color="auto" w:sz="4" w:space="0"/>
                    <w:bottom w:val="single" w:color="auto" w:sz="4" w:space="0"/>
                    <w:right w:val="single" w:color="auto" w:sz="4" w:space="0"/>
                  </w:tcBorders>
                  <w:vAlign w:val="center"/>
                </w:tcPr>
                <w:p>
                  <w:pPr>
                    <w:pStyle w:val="47"/>
                  </w:pPr>
                  <w:r>
                    <w:t>≤</w:t>
                  </w:r>
                  <w:r>
                    <w:rPr>
                      <w:rFonts w:hint="eastAsia"/>
                    </w:rPr>
                    <w:t>4</w:t>
                  </w:r>
                </w:p>
              </w:tc>
              <w:tc>
                <w:tcPr>
                  <w:tcW w:w="718" w:type="pct"/>
                  <w:tcBorders>
                    <w:top w:val="single" w:color="auto" w:sz="4" w:space="0"/>
                    <w:left w:val="single" w:color="auto" w:sz="4" w:space="0"/>
                    <w:bottom w:val="single" w:color="auto" w:sz="4" w:space="0"/>
                    <w:right w:val="single" w:color="auto" w:sz="4" w:space="0"/>
                  </w:tcBorders>
                  <w:vAlign w:val="center"/>
                </w:tcPr>
                <w:p>
                  <w:pPr>
                    <w:pStyle w:val="47"/>
                  </w:pPr>
                  <w:r>
                    <w:t>≤</w:t>
                  </w:r>
                  <w:r>
                    <w:rPr>
                      <w:rFonts w:hint="eastAsia"/>
                    </w:rPr>
                    <w:t>6</w:t>
                  </w:r>
                </w:p>
              </w:tc>
              <w:tc>
                <w:tcPr>
                  <w:tcW w:w="614" w:type="pct"/>
                  <w:tcBorders>
                    <w:top w:val="single" w:color="auto" w:sz="4" w:space="0"/>
                    <w:left w:val="single" w:color="auto" w:sz="4" w:space="0"/>
                    <w:bottom w:val="single" w:color="auto" w:sz="4" w:space="0"/>
                    <w:right w:val="single" w:color="auto" w:sz="4" w:space="0"/>
                  </w:tcBorders>
                  <w:vAlign w:val="center"/>
                </w:tcPr>
                <w:p>
                  <w:pPr>
                    <w:pStyle w:val="47"/>
                  </w:pPr>
                  <w:r>
                    <w:t>≤1.</w:t>
                  </w:r>
                  <w:r>
                    <w:rPr>
                      <w:rFonts w:hint="eastAsia"/>
                    </w:rPr>
                    <w:t>0</w:t>
                  </w:r>
                </w:p>
              </w:tc>
              <w:tc>
                <w:tcPr>
                  <w:tcW w:w="511" w:type="pct"/>
                  <w:tcBorders>
                    <w:top w:val="single" w:color="auto" w:sz="4" w:space="0"/>
                    <w:left w:val="single" w:color="auto" w:sz="4" w:space="0"/>
                    <w:bottom w:val="single" w:color="auto" w:sz="4" w:space="0"/>
                    <w:right w:val="single" w:color="auto" w:sz="4" w:space="0"/>
                  </w:tcBorders>
                  <w:vAlign w:val="center"/>
                </w:tcPr>
                <w:p>
                  <w:pPr>
                    <w:pStyle w:val="47"/>
                  </w:pPr>
                  <w:r>
                    <w:t>≤0.</w:t>
                  </w:r>
                  <w:r>
                    <w:rPr>
                      <w:rFonts w:hint="eastAsia"/>
                    </w:rPr>
                    <w:t>2</w:t>
                  </w:r>
                </w:p>
              </w:tc>
            </w:tr>
          </w:tbl>
          <w:p>
            <w:pPr>
              <w:pStyle w:val="6"/>
              <w:spacing w:before="120" w:beforeLines="50"/>
            </w:pPr>
            <w:bookmarkStart w:id="98" w:name="_Toc29388564"/>
            <w:bookmarkStart w:id="99" w:name="_Toc29380613"/>
            <w:r>
              <w:t>4.1.2环境空气</w:t>
            </w:r>
            <w:bookmarkEnd w:id="98"/>
            <w:bookmarkEnd w:id="99"/>
          </w:p>
          <w:p>
            <w:pPr>
              <w:ind w:firstLine="480"/>
            </w:pPr>
            <w:r>
              <w:rPr>
                <w:rFonts w:hint="eastAsia"/>
              </w:rPr>
              <w:t>根据嘉兴市环境空气质量功能区划，项目所在区域属环境空气二类功能区，环境空气基本项目执行《环境空气质量标准》（</w:t>
            </w:r>
            <w:r>
              <w:t>GB3095-2012</w:t>
            </w:r>
            <w:r>
              <w:rPr>
                <w:rFonts w:hint="eastAsia"/>
              </w:rPr>
              <w:t>）及</w:t>
            </w:r>
            <w:r>
              <w:t>2018</w:t>
            </w:r>
            <w:r>
              <w:rPr>
                <w:rFonts w:hint="eastAsia"/>
              </w:rPr>
              <w:t>年修改单中的二级标准；特征污染物因子非甲烷总烃</w:t>
            </w:r>
            <w:r>
              <w:rPr>
                <w:rFonts w:hint="eastAsia"/>
                <w:szCs w:val="22"/>
              </w:rPr>
              <w:t>环境质量标准采用《大气污染物综合排放标准详解》（GB16297-1996）中的说明限值，具体</w:t>
            </w:r>
            <w:r>
              <w:rPr>
                <w:rFonts w:hint="eastAsia"/>
              </w:rPr>
              <w:t>见下表</w:t>
            </w:r>
            <w:r>
              <w:t>。</w:t>
            </w:r>
          </w:p>
          <w:p>
            <w:pPr>
              <w:pStyle w:val="46"/>
            </w:pPr>
            <w:r>
              <w:t>表4-2  《环境空气质量标准》（GB3095-2012）</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2540"/>
              <w:gridCol w:w="1441"/>
              <w:gridCol w:w="1441"/>
              <w:gridCol w:w="1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0" w:type="pct"/>
                  <w:vMerge w:val="restart"/>
                  <w:tcBorders>
                    <w:top w:val="single" w:color="auto" w:sz="4" w:space="0"/>
                    <w:left w:val="single" w:color="auto" w:sz="4" w:space="0"/>
                    <w:bottom w:val="single" w:color="auto" w:sz="4" w:space="0"/>
                    <w:right w:val="single" w:color="auto" w:sz="4" w:space="0"/>
                  </w:tcBorders>
                  <w:vAlign w:val="center"/>
                </w:tcPr>
                <w:p>
                  <w:pPr>
                    <w:pStyle w:val="46"/>
                  </w:pPr>
                  <w:bookmarkStart w:id="100" w:name="_Toc29380614"/>
                  <w:bookmarkStart w:id="101" w:name="_Toc29388565"/>
                  <w:r>
                    <w:t>污染物项目</w:t>
                  </w:r>
                </w:p>
              </w:tc>
              <w:tc>
                <w:tcPr>
                  <w:tcW w:w="1558" w:type="pct"/>
                  <w:vMerge w:val="restart"/>
                  <w:tcBorders>
                    <w:top w:val="single" w:color="auto" w:sz="4" w:space="0"/>
                    <w:left w:val="single" w:color="auto" w:sz="4" w:space="0"/>
                    <w:bottom w:val="single" w:color="auto" w:sz="4" w:space="0"/>
                    <w:right w:val="single" w:color="auto" w:sz="4" w:space="0"/>
                  </w:tcBorders>
                  <w:vAlign w:val="center"/>
                </w:tcPr>
                <w:p>
                  <w:pPr>
                    <w:pStyle w:val="46"/>
                  </w:pPr>
                  <w:r>
                    <w:t>环境标准</w:t>
                  </w:r>
                </w:p>
              </w:tc>
              <w:tc>
                <w:tcPr>
                  <w:tcW w:w="2661" w:type="pct"/>
                  <w:gridSpan w:val="3"/>
                  <w:tcBorders>
                    <w:top w:val="single" w:color="auto" w:sz="4" w:space="0"/>
                    <w:left w:val="single" w:color="auto" w:sz="4" w:space="0"/>
                    <w:bottom w:val="single" w:color="auto" w:sz="4" w:space="0"/>
                    <w:right w:val="single" w:color="auto" w:sz="4" w:space="0"/>
                  </w:tcBorders>
                  <w:vAlign w:val="center"/>
                </w:tcPr>
                <w:p>
                  <w:pPr>
                    <w:pStyle w:val="46"/>
                  </w:pPr>
                  <w:r>
                    <w:t>标准限值（mg/m</w:t>
                  </w:r>
                  <w:r>
                    <w:rPr>
                      <w:vertAlign w:val="superscript"/>
                    </w:rPr>
                    <w:t>3</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0" w:type="pct"/>
                  <w:vMerge w:val="continue"/>
                  <w:tcBorders>
                    <w:top w:val="single" w:color="auto" w:sz="4" w:space="0"/>
                    <w:left w:val="single" w:color="auto" w:sz="4" w:space="0"/>
                    <w:bottom w:val="single" w:color="auto" w:sz="4" w:space="0"/>
                    <w:right w:val="single" w:color="auto" w:sz="4" w:space="0"/>
                  </w:tcBorders>
                  <w:vAlign w:val="center"/>
                </w:tcPr>
                <w:p>
                  <w:pPr>
                    <w:pStyle w:val="46"/>
                  </w:pPr>
                </w:p>
              </w:tc>
              <w:tc>
                <w:tcPr>
                  <w:tcW w:w="1558" w:type="pct"/>
                  <w:vMerge w:val="continue"/>
                  <w:tcBorders>
                    <w:top w:val="single" w:color="auto" w:sz="4" w:space="0"/>
                    <w:left w:val="single" w:color="auto" w:sz="4" w:space="0"/>
                    <w:bottom w:val="single" w:color="auto" w:sz="4" w:space="0"/>
                    <w:right w:val="single" w:color="auto" w:sz="4" w:space="0"/>
                  </w:tcBorders>
                  <w:vAlign w:val="center"/>
                </w:tcPr>
                <w:p>
                  <w:pPr>
                    <w:pStyle w:val="46"/>
                  </w:pPr>
                </w:p>
              </w:tc>
              <w:tc>
                <w:tcPr>
                  <w:tcW w:w="884" w:type="pct"/>
                  <w:tcBorders>
                    <w:top w:val="single" w:color="auto" w:sz="4" w:space="0"/>
                    <w:left w:val="single" w:color="auto" w:sz="4" w:space="0"/>
                    <w:bottom w:val="single" w:color="auto" w:sz="4" w:space="0"/>
                    <w:right w:val="single" w:color="auto" w:sz="4" w:space="0"/>
                  </w:tcBorders>
                  <w:vAlign w:val="center"/>
                </w:tcPr>
                <w:p>
                  <w:pPr>
                    <w:pStyle w:val="46"/>
                  </w:pPr>
                  <w:r>
                    <w:t>1小时平均</w:t>
                  </w:r>
                </w:p>
              </w:tc>
              <w:tc>
                <w:tcPr>
                  <w:tcW w:w="884" w:type="pct"/>
                  <w:tcBorders>
                    <w:top w:val="single" w:color="auto" w:sz="4" w:space="0"/>
                    <w:left w:val="single" w:color="auto" w:sz="4" w:space="0"/>
                    <w:bottom w:val="single" w:color="auto" w:sz="4" w:space="0"/>
                    <w:right w:val="single" w:color="auto" w:sz="4" w:space="0"/>
                  </w:tcBorders>
                  <w:vAlign w:val="center"/>
                </w:tcPr>
                <w:p>
                  <w:pPr>
                    <w:pStyle w:val="46"/>
                  </w:pPr>
                  <w:r>
                    <w:t>日平均</w:t>
                  </w:r>
                </w:p>
              </w:tc>
              <w:tc>
                <w:tcPr>
                  <w:tcW w:w="893" w:type="pct"/>
                  <w:tcBorders>
                    <w:top w:val="single" w:color="auto" w:sz="4" w:space="0"/>
                    <w:left w:val="single" w:color="auto" w:sz="4" w:space="0"/>
                    <w:bottom w:val="single" w:color="auto" w:sz="4" w:space="0"/>
                    <w:right w:val="single" w:color="auto" w:sz="4" w:space="0"/>
                  </w:tcBorders>
                  <w:vAlign w:val="center"/>
                </w:tcPr>
                <w:p>
                  <w:pPr>
                    <w:pStyle w:val="46"/>
                  </w:pPr>
                  <w:r>
                    <w:t>年平均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0" w:type="pct"/>
                  <w:tcBorders>
                    <w:top w:val="single" w:color="auto" w:sz="4" w:space="0"/>
                    <w:left w:val="single" w:color="auto" w:sz="4" w:space="0"/>
                    <w:bottom w:val="single" w:color="auto" w:sz="4" w:space="0"/>
                    <w:right w:val="single" w:color="auto" w:sz="4" w:space="0"/>
                  </w:tcBorders>
                  <w:vAlign w:val="center"/>
                </w:tcPr>
                <w:p>
                  <w:pPr>
                    <w:pStyle w:val="47"/>
                  </w:pPr>
                  <w:r>
                    <w:t>SO</w:t>
                  </w:r>
                  <w:r>
                    <w:rPr>
                      <w:vertAlign w:val="subscript"/>
                    </w:rPr>
                    <w:t>2</w:t>
                  </w:r>
                </w:p>
              </w:tc>
              <w:tc>
                <w:tcPr>
                  <w:tcW w:w="1558" w:type="pct"/>
                  <w:vMerge w:val="restart"/>
                  <w:tcBorders>
                    <w:top w:val="single" w:color="auto" w:sz="4" w:space="0"/>
                    <w:left w:val="single" w:color="auto" w:sz="4" w:space="0"/>
                    <w:right w:val="single" w:color="auto" w:sz="4" w:space="0"/>
                  </w:tcBorders>
                  <w:vAlign w:val="center"/>
                </w:tcPr>
                <w:p>
                  <w:pPr>
                    <w:pStyle w:val="47"/>
                  </w:pPr>
                  <w:r>
                    <w:t>《</w:t>
                  </w:r>
                  <w:r>
                    <w:rPr>
                      <w:rFonts w:hint="eastAsia"/>
                    </w:rPr>
                    <w:t>环境</w:t>
                  </w:r>
                  <w:r>
                    <w:t>空气质量标准》（G</w:t>
                  </w:r>
                  <w:r>
                    <w:rPr>
                      <w:rFonts w:hint="eastAsia"/>
                    </w:rPr>
                    <w:t>B</w:t>
                  </w:r>
                  <w:r>
                    <w:t>3095-2012）及修改单（生态环境部公告 2018年第29号）二级标准</w:t>
                  </w:r>
                </w:p>
              </w:tc>
              <w:tc>
                <w:tcPr>
                  <w:tcW w:w="884" w:type="pct"/>
                  <w:tcBorders>
                    <w:top w:val="single" w:color="auto" w:sz="4" w:space="0"/>
                    <w:left w:val="single" w:color="auto" w:sz="4" w:space="0"/>
                    <w:bottom w:val="single" w:color="auto" w:sz="4" w:space="0"/>
                    <w:right w:val="single" w:color="auto" w:sz="4" w:space="0"/>
                  </w:tcBorders>
                  <w:vAlign w:val="center"/>
                </w:tcPr>
                <w:p>
                  <w:pPr>
                    <w:pStyle w:val="47"/>
                  </w:pPr>
                  <w:r>
                    <w:t>0.5</w:t>
                  </w:r>
                  <w:r>
                    <w:rPr>
                      <w:rFonts w:hint="eastAsia"/>
                    </w:rPr>
                    <w:t>0</w:t>
                  </w:r>
                </w:p>
              </w:tc>
              <w:tc>
                <w:tcPr>
                  <w:tcW w:w="884" w:type="pct"/>
                  <w:tcBorders>
                    <w:top w:val="single" w:color="auto" w:sz="4" w:space="0"/>
                    <w:left w:val="single" w:color="auto" w:sz="4" w:space="0"/>
                    <w:bottom w:val="single" w:color="auto" w:sz="4" w:space="0"/>
                    <w:right w:val="single" w:color="auto" w:sz="4" w:space="0"/>
                  </w:tcBorders>
                  <w:vAlign w:val="center"/>
                </w:tcPr>
                <w:p>
                  <w:pPr>
                    <w:pStyle w:val="47"/>
                  </w:pPr>
                  <w:r>
                    <w:t>0.15</w:t>
                  </w:r>
                </w:p>
              </w:tc>
              <w:tc>
                <w:tcPr>
                  <w:tcW w:w="893" w:type="pct"/>
                  <w:tcBorders>
                    <w:top w:val="single" w:color="auto" w:sz="4" w:space="0"/>
                    <w:left w:val="single" w:color="auto" w:sz="4" w:space="0"/>
                    <w:bottom w:val="single" w:color="auto" w:sz="4" w:space="0"/>
                    <w:right w:val="single" w:color="auto" w:sz="4" w:space="0"/>
                  </w:tcBorders>
                  <w:vAlign w:val="center"/>
                </w:tcPr>
                <w:p>
                  <w:pPr>
                    <w:pStyle w:val="47"/>
                  </w:pPr>
                  <w: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0" w:type="pct"/>
                  <w:tcBorders>
                    <w:top w:val="single" w:color="auto" w:sz="4" w:space="0"/>
                    <w:left w:val="single" w:color="auto" w:sz="4" w:space="0"/>
                    <w:bottom w:val="single" w:color="auto" w:sz="4" w:space="0"/>
                    <w:right w:val="single" w:color="auto" w:sz="4" w:space="0"/>
                  </w:tcBorders>
                  <w:vAlign w:val="center"/>
                </w:tcPr>
                <w:p>
                  <w:pPr>
                    <w:pStyle w:val="47"/>
                  </w:pPr>
                  <w:r>
                    <w:t>NO</w:t>
                  </w:r>
                  <w:r>
                    <w:rPr>
                      <w:vertAlign w:val="subscript"/>
                    </w:rPr>
                    <w:t>2</w:t>
                  </w:r>
                </w:p>
              </w:tc>
              <w:tc>
                <w:tcPr>
                  <w:tcW w:w="1558" w:type="pct"/>
                  <w:vMerge w:val="continue"/>
                  <w:tcBorders>
                    <w:left w:val="single" w:color="auto" w:sz="4" w:space="0"/>
                    <w:right w:val="single" w:color="auto" w:sz="4" w:space="0"/>
                  </w:tcBorders>
                  <w:vAlign w:val="center"/>
                </w:tcPr>
                <w:p>
                  <w:pPr>
                    <w:pStyle w:val="47"/>
                  </w:pPr>
                </w:p>
              </w:tc>
              <w:tc>
                <w:tcPr>
                  <w:tcW w:w="884" w:type="pct"/>
                  <w:tcBorders>
                    <w:top w:val="single" w:color="auto" w:sz="4" w:space="0"/>
                    <w:left w:val="single" w:color="auto" w:sz="4" w:space="0"/>
                    <w:bottom w:val="single" w:color="auto" w:sz="4" w:space="0"/>
                    <w:right w:val="single" w:color="auto" w:sz="4" w:space="0"/>
                  </w:tcBorders>
                  <w:vAlign w:val="center"/>
                </w:tcPr>
                <w:p>
                  <w:pPr>
                    <w:pStyle w:val="47"/>
                  </w:pPr>
                  <w:r>
                    <w:t>0.2</w:t>
                  </w:r>
                  <w:r>
                    <w:rPr>
                      <w:rFonts w:hint="eastAsia"/>
                    </w:rPr>
                    <w:t>0</w:t>
                  </w:r>
                </w:p>
              </w:tc>
              <w:tc>
                <w:tcPr>
                  <w:tcW w:w="884" w:type="pct"/>
                  <w:tcBorders>
                    <w:top w:val="single" w:color="auto" w:sz="4" w:space="0"/>
                    <w:left w:val="single" w:color="auto" w:sz="4" w:space="0"/>
                    <w:bottom w:val="single" w:color="auto" w:sz="4" w:space="0"/>
                    <w:right w:val="single" w:color="auto" w:sz="4" w:space="0"/>
                  </w:tcBorders>
                  <w:vAlign w:val="center"/>
                </w:tcPr>
                <w:p>
                  <w:pPr>
                    <w:pStyle w:val="47"/>
                  </w:pPr>
                  <w:r>
                    <w:t>0.08</w:t>
                  </w:r>
                </w:p>
              </w:tc>
              <w:tc>
                <w:tcPr>
                  <w:tcW w:w="893" w:type="pct"/>
                  <w:tcBorders>
                    <w:top w:val="single" w:color="auto" w:sz="4" w:space="0"/>
                    <w:left w:val="single" w:color="auto" w:sz="4" w:space="0"/>
                    <w:bottom w:val="single" w:color="auto" w:sz="4" w:space="0"/>
                    <w:right w:val="single" w:color="auto" w:sz="4" w:space="0"/>
                  </w:tcBorders>
                  <w:vAlign w:val="center"/>
                </w:tcPr>
                <w:p>
                  <w:pPr>
                    <w:pStyle w:val="47"/>
                  </w:pPr>
                  <w: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0" w:type="pct"/>
                  <w:tcBorders>
                    <w:top w:val="single" w:color="auto" w:sz="4" w:space="0"/>
                    <w:left w:val="single" w:color="auto" w:sz="4" w:space="0"/>
                    <w:bottom w:val="single" w:color="auto" w:sz="4" w:space="0"/>
                    <w:right w:val="single" w:color="auto" w:sz="4" w:space="0"/>
                  </w:tcBorders>
                  <w:vAlign w:val="center"/>
                </w:tcPr>
                <w:p>
                  <w:pPr>
                    <w:pStyle w:val="47"/>
                  </w:pPr>
                  <w:r>
                    <w:t>PM</w:t>
                  </w:r>
                  <w:r>
                    <w:rPr>
                      <w:vertAlign w:val="subscript"/>
                    </w:rPr>
                    <w:t>10</w:t>
                  </w:r>
                </w:p>
              </w:tc>
              <w:tc>
                <w:tcPr>
                  <w:tcW w:w="1558" w:type="pct"/>
                  <w:vMerge w:val="continue"/>
                  <w:tcBorders>
                    <w:left w:val="single" w:color="auto" w:sz="4" w:space="0"/>
                    <w:right w:val="single" w:color="auto" w:sz="4" w:space="0"/>
                  </w:tcBorders>
                  <w:vAlign w:val="center"/>
                </w:tcPr>
                <w:p>
                  <w:pPr>
                    <w:pStyle w:val="47"/>
                  </w:pPr>
                </w:p>
              </w:tc>
              <w:tc>
                <w:tcPr>
                  <w:tcW w:w="884" w:type="pct"/>
                  <w:tcBorders>
                    <w:top w:val="single" w:color="auto" w:sz="4" w:space="0"/>
                    <w:left w:val="single" w:color="auto" w:sz="4" w:space="0"/>
                    <w:bottom w:val="single" w:color="auto" w:sz="4" w:space="0"/>
                    <w:right w:val="single" w:color="auto" w:sz="4" w:space="0"/>
                  </w:tcBorders>
                  <w:vAlign w:val="center"/>
                </w:tcPr>
                <w:p>
                  <w:pPr>
                    <w:pStyle w:val="47"/>
                  </w:pPr>
                  <w:r>
                    <w:t>/</w:t>
                  </w:r>
                </w:p>
              </w:tc>
              <w:tc>
                <w:tcPr>
                  <w:tcW w:w="884" w:type="pct"/>
                  <w:tcBorders>
                    <w:top w:val="single" w:color="auto" w:sz="4" w:space="0"/>
                    <w:left w:val="single" w:color="auto" w:sz="4" w:space="0"/>
                    <w:bottom w:val="single" w:color="auto" w:sz="4" w:space="0"/>
                    <w:right w:val="single" w:color="auto" w:sz="4" w:space="0"/>
                  </w:tcBorders>
                  <w:vAlign w:val="center"/>
                </w:tcPr>
                <w:p>
                  <w:pPr>
                    <w:pStyle w:val="47"/>
                  </w:pPr>
                  <w:r>
                    <w:t>0.15</w:t>
                  </w:r>
                </w:p>
              </w:tc>
              <w:tc>
                <w:tcPr>
                  <w:tcW w:w="893" w:type="pct"/>
                  <w:tcBorders>
                    <w:top w:val="single" w:color="auto" w:sz="4" w:space="0"/>
                    <w:left w:val="single" w:color="auto" w:sz="4" w:space="0"/>
                    <w:bottom w:val="single" w:color="auto" w:sz="4" w:space="0"/>
                    <w:right w:val="single" w:color="auto" w:sz="4" w:space="0"/>
                  </w:tcBorders>
                  <w:vAlign w:val="center"/>
                </w:tcPr>
                <w:p>
                  <w:pPr>
                    <w:pStyle w:val="47"/>
                  </w:pPr>
                  <w: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0" w:type="pct"/>
                  <w:tcBorders>
                    <w:top w:val="single" w:color="auto" w:sz="4" w:space="0"/>
                    <w:left w:val="single" w:color="auto" w:sz="4" w:space="0"/>
                    <w:bottom w:val="single" w:color="auto" w:sz="4" w:space="0"/>
                    <w:right w:val="single" w:color="auto" w:sz="4" w:space="0"/>
                  </w:tcBorders>
                  <w:vAlign w:val="center"/>
                </w:tcPr>
                <w:p>
                  <w:pPr>
                    <w:pStyle w:val="47"/>
                  </w:pPr>
                  <w:r>
                    <w:t>PM</w:t>
                  </w:r>
                  <w:r>
                    <w:rPr>
                      <w:vertAlign w:val="subscript"/>
                    </w:rPr>
                    <w:t>2.5</w:t>
                  </w:r>
                </w:p>
              </w:tc>
              <w:tc>
                <w:tcPr>
                  <w:tcW w:w="1558" w:type="pct"/>
                  <w:vMerge w:val="continue"/>
                  <w:tcBorders>
                    <w:left w:val="single" w:color="auto" w:sz="4" w:space="0"/>
                    <w:right w:val="single" w:color="auto" w:sz="4" w:space="0"/>
                  </w:tcBorders>
                  <w:vAlign w:val="center"/>
                </w:tcPr>
                <w:p>
                  <w:pPr>
                    <w:pStyle w:val="47"/>
                  </w:pPr>
                </w:p>
              </w:tc>
              <w:tc>
                <w:tcPr>
                  <w:tcW w:w="884" w:type="pct"/>
                  <w:tcBorders>
                    <w:top w:val="single" w:color="auto" w:sz="4" w:space="0"/>
                    <w:left w:val="single" w:color="auto" w:sz="4" w:space="0"/>
                    <w:bottom w:val="single" w:color="auto" w:sz="4" w:space="0"/>
                    <w:right w:val="single" w:color="auto" w:sz="4" w:space="0"/>
                  </w:tcBorders>
                  <w:vAlign w:val="center"/>
                </w:tcPr>
                <w:p>
                  <w:pPr>
                    <w:pStyle w:val="47"/>
                  </w:pPr>
                  <w:r>
                    <w:t>/</w:t>
                  </w:r>
                </w:p>
              </w:tc>
              <w:tc>
                <w:tcPr>
                  <w:tcW w:w="884" w:type="pct"/>
                  <w:tcBorders>
                    <w:top w:val="single" w:color="auto" w:sz="4" w:space="0"/>
                    <w:left w:val="single" w:color="auto" w:sz="4" w:space="0"/>
                    <w:bottom w:val="single" w:color="auto" w:sz="4" w:space="0"/>
                    <w:right w:val="single" w:color="auto" w:sz="4" w:space="0"/>
                  </w:tcBorders>
                  <w:vAlign w:val="center"/>
                </w:tcPr>
                <w:p>
                  <w:pPr>
                    <w:pStyle w:val="47"/>
                  </w:pPr>
                  <w:r>
                    <w:t>0.075</w:t>
                  </w:r>
                </w:p>
              </w:tc>
              <w:tc>
                <w:tcPr>
                  <w:tcW w:w="893" w:type="pct"/>
                  <w:tcBorders>
                    <w:top w:val="single" w:color="auto" w:sz="4" w:space="0"/>
                    <w:left w:val="single" w:color="auto" w:sz="4" w:space="0"/>
                    <w:bottom w:val="single" w:color="auto" w:sz="4" w:space="0"/>
                    <w:right w:val="single" w:color="auto" w:sz="4" w:space="0"/>
                  </w:tcBorders>
                  <w:vAlign w:val="center"/>
                </w:tcPr>
                <w:p>
                  <w:pPr>
                    <w:pStyle w:val="47"/>
                  </w:pPr>
                  <w: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0" w:type="pct"/>
                  <w:tcBorders>
                    <w:top w:val="single" w:color="auto" w:sz="4" w:space="0"/>
                    <w:left w:val="single" w:color="auto" w:sz="4" w:space="0"/>
                    <w:bottom w:val="single" w:color="auto" w:sz="4" w:space="0"/>
                    <w:right w:val="single" w:color="auto" w:sz="4" w:space="0"/>
                  </w:tcBorders>
                  <w:vAlign w:val="center"/>
                </w:tcPr>
                <w:p>
                  <w:pPr>
                    <w:pStyle w:val="47"/>
                  </w:pPr>
                  <w:r>
                    <w:t>CO</w:t>
                  </w:r>
                </w:p>
              </w:tc>
              <w:tc>
                <w:tcPr>
                  <w:tcW w:w="1558" w:type="pct"/>
                  <w:vMerge w:val="continue"/>
                  <w:tcBorders>
                    <w:left w:val="single" w:color="auto" w:sz="4" w:space="0"/>
                    <w:right w:val="single" w:color="auto" w:sz="4" w:space="0"/>
                  </w:tcBorders>
                  <w:vAlign w:val="center"/>
                </w:tcPr>
                <w:p>
                  <w:pPr>
                    <w:pStyle w:val="47"/>
                  </w:pPr>
                </w:p>
              </w:tc>
              <w:tc>
                <w:tcPr>
                  <w:tcW w:w="884" w:type="pct"/>
                  <w:tcBorders>
                    <w:top w:val="single" w:color="auto" w:sz="4" w:space="0"/>
                    <w:left w:val="single" w:color="auto" w:sz="4" w:space="0"/>
                    <w:bottom w:val="single" w:color="auto" w:sz="4" w:space="0"/>
                    <w:right w:val="single" w:color="auto" w:sz="4" w:space="0"/>
                  </w:tcBorders>
                  <w:vAlign w:val="center"/>
                </w:tcPr>
                <w:p>
                  <w:pPr>
                    <w:pStyle w:val="47"/>
                  </w:pPr>
                  <w:r>
                    <w:t>10</w:t>
                  </w:r>
                  <w:r>
                    <w:rPr>
                      <w:rFonts w:hint="eastAsia"/>
                    </w:rPr>
                    <w:t>.0</w:t>
                  </w:r>
                </w:p>
              </w:tc>
              <w:tc>
                <w:tcPr>
                  <w:tcW w:w="884" w:type="pct"/>
                  <w:tcBorders>
                    <w:top w:val="single" w:color="auto" w:sz="4" w:space="0"/>
                    <w:left w:val="single" w:color="auto" w:sz="4" w:space="0"/>
                    <w:bottom w:val="single" w:color="auto" w:sz="4" w:space="0"/>
                    <w:right w:val="single" w:color="auto" w:sz="4" w:space="0"/>
                  </w:tcBorders>
                  <w:vAlign w:val="center"/>
                </w:tcPr>
                <w:p>
                  <w:pPr>
                    <w:pStyle w:val="47"/>
                  </w:pPr>
                  <w:r>
                    <w:t>4</w:t>
                  </w:r>
                  <w:r>
                    <w:rPr>
                      <w:rFonts w:hint="eastAsia"/>
                    </w:rPr>
                    <w:t>.0</w:t>
                  </w:r>
                </w:p>
              </w:tc>
              <w:tc>
                <w:tcPr>
                  <w:tcW w:w="893" w:type="pct"/>
                  <w:tcBorders>
                    <w:top w:val="single" w:color="auto" w:sz="4" w:space="0"/>
                    <w:left w:val="single" w:color="auto" w:sz="4" w:space="0"/>
                    <w:bottom w:val="single" w:color="auto" w:sz="4" w:space="0"/>
                    <w:right w:val="single" w:color="auto" w:sz="4" w:space="0"/>
                  </w:tcBorders>
                  <w:vAlign w:val="center"/>
                </w:tcPr>
                <w:p>
                  <w:pPr>
                    <w:pStyle w:val="4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0" w:type="pct"/>
                  <w:tcBorders>
                    <w:top w:val="single" w:color="auto" w:sz="4" w:space="0"/>
                    <w:left w:val="single" w:color="auto" w:sz="4" w:space="0"/>
                    <w:bottom w:val="single" w:color="auto" w:sz="4" w:space="0"/>
                    <w:right w:val="single" w:color="auto" w:sz="4" w:space="0"/>
                  </w:tcBorders>
                  <w:vAlign w:val="center"/>
                </w:tcPr>
                <w:p>
                  <w:pPr>
                    <w:pStyle w:val="47"/>
                  </w:pPr>
                  <w:r>
                    <w:t>臭氧</w:t>
                  </w:r>
                </w:p>
              </w:tc>
              <w:tc>
                <w:tcPr>
                  <w:tcW w:w="1558" w:type="pct"/>
                  <w:vMerge w:val="continue"/>
                  <w:tcBorders>
                    <w:left w:val="single" w:color="auto" w:sz="4" w:space="0"/>
                    <w:right w:val="single" w:color="auto" w:sz="4" w:space="0"/>
                  </w:tcBorders>
                  <w:vAlign w:val="center"/>
                </w:tcPr>
                <w:p>
                  <w:pPr>
                    <w:pStyle w:val="47"/>
                  </w:pPr>
                </w:p>
              </w:tc>
              <w:tc>
                <w:tcPr>
                  <w:tcW w:w="884"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w:t>
                  </w:r>
                  <w:r>
                    <w:t>2</w:t>
                  </w:r>
                </w:p>
              </w:tc>
              <w:tc>
                <w:tcPr>
                  <w:tcW w:w="884"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0.1</w:t>
                  </w:r>
                  <w:r>
                    <w:t>6*</w:t>
                  </w:r>
                </w:p>
              </w:tc>
              <w:tc>
                <w:tcPr>
                  <w:tcW w:w="893" w:type="pct"/>
                  <w:tcBorders>
                    <w:top w:val="single" w:color="auto" w:sz="4" w:space="0"/>
                    <w:left w:val="single" w:color="auto" w:sz="4" w:space="0"/>
                    <w:bottom w:val="single" w:color="auto" w:sz="4" w:space="0"/>
                    <w:right w:val="single" w:color="auto" w:sz="4" w:space="0"/>
                  </w:tcBorders>
                  <w:vAlign w:val="center"/>
                </w:tcPr>
                <w:p>
                  <w:pPr>
                    <w:pStyle w:val="4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0" w:type="pct"/>
                  <w:tcBorders>
                    <w:top w:val="single" w:color="auto" w:sz="4" w:space="0"/>
                    <w:left w:val="single" w:color="auto" w:sz="4" w:space="0"/>
                    <w:bottom w:val="single" w:color="auto" w:sz="4" w:space="0"/>
                    <w:right w:val="single" w:color="auto" w:sz="4" w:space="0"/>
                  </w:tcBorders>
                  <w:vAlign w:val="center"/>
                </w:tcPr>
                <w:p>
                  <w:pPr>
                    <w:pStyle w:val="47"/>
                  </w:pPr>
                  <w:r>
                    <w:t>非甲烷总烃</w:t>
                  </w:r>
                </w:p>
              </w:tc>
              <w:tc>
                <w:tcPr>
                  <w:tcW w:w="1558" w:type="pct"/>
                  <w:tcBorders>
                    <w:left w:val="single" w:color="auto" w:sz="4" w:space="0"/>
                    <w:right w:val="single" w:color="auto" w:sz="4" w:space="0"/>
                  </w:tcBorders>
                  <w:vAlign w:val="center"/>
                </w:tcPr>
                <w:p>
                  <w:pPr>
                    <w:pStyle w:val="47"/>
                  </w:pPr>
                  <w:r>
                    <w:t>《大气污染物综合排放标准详解》（GB16297-1996）</w:t>
                  </w:r>
                </w:p>
              </w:tc>
              <w:tc>
                <w:tcPr>
                  <w:tcW w:w="2661" w:type="pct"/>
                  <w:gridSpan w:val="3"/>
                  <w:tcBorders>
                    <w:top w:val="single" w:color="auto" w:sz="4" w:space="0"/>
                    <w:left w:val="single" w:color="auto" w:sz="4" w:space="0"/>
                    <w:bottom w:val="single" w:color="auto" w:sz="4" w:space="0"/>
                    <w:right w:val="single" w:color="auto" w:sz="4" w:space="0"/>
                  </w:tcBorders>
                  <w:vAlign w:val="center"/>
                </w:tcPr>
                <w:p>
                  <w:pPr>
                    <w:pStyle w:val="47"/>
                  </w:pPr>
                  <w:r>
                    <w:t>2.0（一次值）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pPr>
                    <w:pStyle w:val="49"/>
                    <w:jc w:val="both"/>
                  </w:pPr>
                  <w:r>
                    <w:rPr>
                      <w:bCs/>
                      <w:szCs w:val="16"/>
                    </w:rPr>
                    <w:t>备注：*臭氧（O</w:t>
                  </w:r>
                  <w:r>
                    <w:rPr>
                      <w:bCs/>
                      <w:szCs w:val="16"/>
                      <w:vertAlign w:val="subscript"/>
                    </w:rPr>
                    <w:t>3</w:t>
                  </w:r>
                  <w:r>
                    <w:rPr>
                      <w:bCs/>
                      <w:szCs w:val="16"/>
                    </w:rPr>
                    <w:t>）0.16</w:t>
                  </w:r>
                  <w:r>
                    <w:rPr>
                      <w:szCs w:val="16"/>
                    </w:rPr>
                    <w:t xml:space="preserve"> mg/m</w:t>
                  </w:r>
                  <w:r>
                    <w:rPr>
                      <w:szCs w:val="16"/>
                      <w:vertAlign w:val="superscript"/>
                    </w:rPr>
                    <w:t>3</w:t>
                  </w:r>
                  <w:r>
                    <w:rPr>
                      <w:szCs w:val="16"/>
                    </w:rPr>
                    <w:t>为日最大8小时平均浓度限值。</w:t>
                  </w:r>
                </w:p>
              </w:tc>
            </w:tr>
          </w:tbl>
          <w:p>
            <w:pPr>
              <w:pStyle w:val="6"/>
              <w:spacing w:before="120" w:beforeLines="50"/>
            </w:pPr>
            <w:r>
              <w:t>4.1.3声环境</w:t>
            </w:r>
            <w:bookmarkEnd w:id="100"/>
            <w:bookmarkEnd w:id="101"/>
          </w:p>
          <w:p>
            <w:pPr>
              <w:ind w:firstLine="480"/>
            </w:pPr>
            <w:r>
              <w:t>根据《声</w:t>
            </w:r>
            <w:r>
              <w:rPr>
                <w:szCs w:val="22"/>
              </w:rPr>
              <w:t>环境质量标准》（GB3096-2008）及《桐乡市&lt;城市区域环境噪声标准&gt;适用区域划分调整方案的通知》对声环境功能区的划分，</w:t>
            </w:r>
            <w:r>
              <w:rPr>
                <w:rFonts w:hint="eastAsia"/>
                <w:szCs w:val="22"/>
              </w:rPr>
              <w:t>本项目位于桐乡市崇福镇杭福路1336号20幢，位于崇福工业区内，因此项</w:t>
            </w:r>
            <w:r>
              <w:rPr>
                <w:rFonts w:hint="eastAsia"/>
              </w:rPr>
              <w:t>目厂界区域</w:t>
            </w:r>
            <w:r>
              <w:t>环境</w:t>
            </w:r>
            <w:r>
              <w:rPr>
                <w:rFonts w:hint="eastAsia"/>
              </w:rPr>
              <w:t>噪声</w:t>
            </w:r>
            <w:r>
              <w:t>执行《声环境质量标准》（GB3096-2008）</w:t>
            </w:r>
            <w:r>
              <w:rPr>
                <w:rFonts w:hint="eastAsia"/>
              </w:rPr>
              <w:t>3</w:t>
            </w:r>
            <w:r>
              <w:t>类标准，具体见下表。</w:t>
            </w:r>
          </w:p>
          <w:p>
            <w:pPr>
              <w:pStyle w:val="46"/>
            </w:pPr>
          </w:p>
          <w:p>
            <w:pPr>
              <w:pStyle w:val="46"/>
            </w:pPr>
            <w:r>
              <w:t>表4-3   《声环境质量标准》（GB3096-2008）   单位：dB（A）</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1"/>
              <w:gridCol w:w="3793"/>
              <w:gridCol w:w="1453"/>
              <w:gridCol w:w="1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0" w:type="pct"/>
                  <w:tcBorders>
                    <w:top w:val="single" w:color="auto" w:sz="4" w:space="0"/>
                    <w:left w:val="single" w:color="auto" w:sz="4" w:space="0"/>
                    <w:bottom w:val="single" w:color="auto" w:sz="4" w:space="0"/>
                    <w:right w:val="single" w:color="auto" w:sz="4" w:space="0"/>
                  </w:tcBorders>
                  <w:vAlign w:val="center"/>
                </w:tcPr>
                <w:p>
                  <w:pPr>
                    <w:pStyle w:val="46"/>
                  </w:pPr>
                  <w:r>
                    <w:t>功能区类别</w:t>
                  </w:r>
                </w:p>
              </w:tc>
              <w:tc>
                <w:tcPr>
                  <w:tcW w:w="2326" w:type="pct"/>
                  <w:tcBorders>
                    <w:top w:val="single" w:color="auto" w:sz="4" w:space="0"/>
                    <w:left w:val="single" w:color="auto" w:sz="4" w:space="0"/>
                    <w:bottom w:val="single" w:color="auto" w:sz="4" w:space="0"/>
                    <w:right w:val="single" w:color="auto" w:sz="4" w:space="0"/>
                  </w:tcBorders>
                  <w:vAlign w:val="center"/>
                </w:tcPr>
                <w:p>
                  <w:pPr>
                    <w:pStyle w:val="46"/>
                  </w:pPr>
                  <w:r>
                    <w:t>适用区域</w:t>
                  </w:r>
                </w:p>
              </w:tc>
              <w:tc>
                <w:tcPr>
                  <w:tcW w:w="891" w:type="pct"/>
                  <w:tcBorders>
                    <w:top w:val="single" w:color="auto" w:sz="4" w:space="0"/>
                    <w:left w:val="single" w:color="auto" w:sz="4" w:space="0"/>
                    <w:bottom w:val="single" w:color="auto" w:sz="4" w:space="0"/>
                    <w:right w:val="single" w:color="auto" w:sz="4" w:space="0"/>
                  </w:tcBorders>
                  <w:vAlign w:val="center"/>
                </w:tcPr>
                <w:p>
                  <w:pPr>
                    <w:pStyle w:val="46"/>
                  </w:pPr>
                  <w:r>
                    <w:t>昼间</w:t>
                  </w:r>
                </w:p>
              </w:tc>
              <w:tc>
                <w:tcPr>
                  <w:tcW w:w="891" w:type="pct"/>
                  <w:tcBorders>
                    <w:top w:val="single" w:color="auto" w:sz="4" w:space="0"/>
                    <w:left w:val="single" w:color="auto" w:sz="4" w:space="0"/>
                    <w:bottom w:val="single" w:color="auto" w:sz="4" w:space="0"/>
                    <w:right w:val="single" w:color="auto" w:sz="4" w:space="0"/>
                  </w:tcBorders>
                  <w:vAlign w:val="center"/>
                </w:tcPr>
                <w:p>
                  <w:pPr>
                    <w:pStyle w:val="46"/>
                  </w:pPr>
                  <w: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0" w:type="pct"/>
                  <w:tcBorders>
                    <w:top w:val="single" w:color="auto" w:sz="4" w:space="0"/>
                    <w:left w:val="single" w:color="auto" w:sz="4" w:space="0"/>
                    <w:bottom w:val="single" w:color="auto" w:sz="4" w:space="0"/>
                    <w:right w:val="single" w:color="auto" w:sz="4" w:space="0"/>
                  </w:tcBorders>
                  <w:vAlign w:val="center"/>
                </w:tcPr>
                <w:p>
                  <w:pPr>
                    <w:pStyle w:val="47"/>
                  </w:pPr>
                  <w:r>
                    <w:t>3类</w:t>
                  </w:r>
                </w:p>
              </w:tc>
              <w:tc>
                <w:tcPr>
                  <w:tcW w:w="2326" w:type="pct"/>
                  <w:tcBorders>
                    <w:top w:val="single" w:color="auto" w:sz="4" w:space="0"/>
                    <w:left w:val="single" w:color="auto" w:sz="4" w:space="0"/>
                    <w:bottom w:val="single" w:color="auto" w:sz="4" w:space="0"/>
                    <w:right w:val="single" w:color="auto" w:sz="4" w:space="0"/>
                  </w:tcBorders>
                  <w:vAlign w:val="center"/>
                </w:tcPr>
                <w:p>
                  <w:pPr>
                    <w:pStyle w:val="47"/>
                  </w:pPr>
                  <w:r>
                    <w:t>以工业生产、仓储物流为主要功能</w:t>
                  </w:r>
                </w:p>
              </w:tc>
              <w:tc>
                <w:tcPr>
                  <w:tcW w:w="891" w:type="pct"/>
                  <w:tcBorders>
                    <w:top w:val="single" w:color="auto" w:sz="4" w:space="0"/>
                    <w:left w:val="single" w:color="auto" w:sz="4" w:space="0"/>
                    <w:bottom w:val="single" w:color="auto" w:sz="4" w:space="0"/>
                    <w:right w:val="single" w:color="auto" w:sz="4" w:space="0"/>
                  </w:tcBorders>
                  <w:vAlign w:val="center"/>
                </w:tcPr>
                <w:p>
                  <w:pPr>
                    <w:pStyle w:val="47"/>
                  </w:pPr>
                  <w:r>
                    <w:t>65</w:t>
                  </w:r>
                </w:p>
              </w:tc>
              <w:tc>
                <w:tcPr>
                  <w:tcW w:w="891" w:type="pct"/>
                  <w:tcBorders>
                    <w:top w:val="single" w:color="auto" w:sz="4" w:space="0"/>
                    <w:left w:val="single" w:color="auto" w:sz="4" w:space="0"/>
                    <w:bottom w:val="single" w:color="auto" w:sz="4" w:space="0"/>
                    <w:right w:val="single" w:color="auto" w:sz="4" w:space="0"/>
                  </w:tcBorders>
                  <w:vAlign w:val="center"/>
                </w:tcPr>
                <w:p>
                  <w:pPr>
                    <w:pStyle w:val="47"/>
                  </w:pPr>
                  <w:r>
                    <w:t>55</w:t>
                  </w:r>
                </w:p>
              </w:tc>
            </w:tr>
          </w:tbl>
          <w:p>
            <w:pPr>
              <w:pStyle w:val="6"/>
              <w:spacing w:before="120" w:beforeLines="50"/>
            </w:pPr>
            <w:r>
              <w:rPr>
                <w:rFonts w:hint="eastAsia"/>
              </w:rPr>
              <w:t>4.1.4土壤环境</w:t>
            </w:r>
          </w:p>
          <w:p>
            <w:pPr>
              <w:ind w:firstLine="480"/>
            </w:pPr>
            <w:r>
              <w:rPr>
                <w:rFonts w:hint="eastAsia"/>
                <w:szCs w:val="22"/>
              </w:rPr>
              <w:t>本项目位于桐乡市崇福镇杭福路1336号20幢，位于崇福工业区内，所在地</w:t>
            </w:r>
            <w:r>
              <w:rPr>
                <w:rFonts w:hint="eastAsia"/>
              </w:rPr>
              <w:t>为工业用地，属于建设用地中的第二类用地，建设用地土壤执行《土壤环境质量建设用地土壤污染风险管控标准（试行）》</w:t>
            </w:r>
            <w:r>
              <w:t xml:space="preserve"> (GB36600-2018)</w:t>
            </w:r>
            <w:r>
              <w:rPr>
                <w:rFonts w:hint="eastAsia"/>
              </w:rPr>
              <w:t>表</w:t>
            </w:r>
            <w:r>
              <w:t>1</w:t>
            </w:r>
            <w:r>
              <w:rPr>
                <w:rFonts w:hint="eastAsia"/>
              </w:rPr>
              <w:t>及表2中的第二类用地风险筛选值，具体标准限值见表4-4。</w:t>
            </w:r>
          </w:p>
          <w:p>
            <w:pPr>
              <w:pStyle w:val="46"/>
              <w:rPr>
                <w:bCs/>
              </w:rPr>
            </w:pPr>
            <w:r>
              <w:rPr>
                <w:rFonts w:hint="eastAsia"/>
              </w:rPr>
              <w:t>表4-4  第二类建设用地土壤污染风险筛选值和管控值</w:t>
            </w:r>
            <w:r>
              <w:t xml:space="preserve">    </w:t>
            </w:r>
            <w:r>
              <w:rPr>
                <w:rFonts w:hint="eastAsia"/>
                <w:bCs/>
              </w:rPr>
              <w:t>单位：</w:t>
            </w:r>
            <w:r>
              <w:rPr>
                <w:bCs/>
              </w:rPr>
              <w:t>mg/kg</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2299"/>
              <w:gridCol w:w="1963"/>
              <w:gridCol w:w="1616"/>
              <w:gridCol w:w="1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pct"/>
                  <w:vAlign w:val="center"/>
                </w:tcPr>
                <w:p>
                  <w:pPr>
                    <w:pStyle w:val="47"/>
                    <w:rPr>
                      <w:b/>
                      <w:bCs/>
                    </w:rPr>
                  </w:pPr>
                  <w:r>
                    <w:rPr>
                      <w:rFonts w:hint="eastAsia"/>
                      <w:b/>
                      <w:bCs/>
                    </w:rPr>
                    <w:t>序号</w:t>
                  </w:r>
                </w:p>
              </w:tc>
              <w:tc>
                <w:tcPr>
                  <w:tcW w:w="1410" w:type="pct"/>
                  <w:vAlign w:val="center"/>
                </w:tcPr>
                <w:p>
                  <w:pPr>
                    <w:pStyle w:val="47"/>
                    <w:rPr>
                      <w:b/>
                      <w:bCs/>
                    </w:rPr>
                  </w:pPr>
                  <w:r>
                    <w:rPr>
                      <w:rFonts w:hint="eastAsia"/>
                      <w:b/>
                      <w:bCs/>
                    </w:rPr>
                    <w:t>污染物项目</w:t>
                  </w:r>
                </w:p>
              </w:tc>
              <w:tc>
                <w:tcPr>
                  <w:tcW w:w="1204" w:type="pct"/>
                  <w:vAlign w:val="center"/>
                </w:tcPr>
                <w:p>
                  <w:pPr>
                    <w:pStyle w:val="47"/>
                    <w:rPr>
                      <w:b/>
                      <w:bCs/>
                    </w:rPr>
                  </w:pPr>
                  <w:r>
                    <w:rPr>
                      <w:b/>
                      <w:bCs/>
                    </w:rPr>
                    <w:t>CAS</w:t>
                  </w:r>
                  <w:r>
                    <w:rPr>
                      <w:rFonts w:hint="eastAsia"/>
                      <w:b/>
                      <w:bCs/>
                    </w:rPr>
                    <w:t>编号</w:t>
                  </w:r>
                </w:p>
              </w:tc>
              <w:tc>
                <w:tcPr>
                  <w:tcW w:w="991" w:type="pct"/>
                  <w:vAlign w:val="center"/>
                </w:tcPr>
                <w:p>
                  <w:pPr>
                    <w:pStyle w:val="47"/>
                    <w:rPr>
                      <w:b/>
                      <w:bCs/>
                    </w:rPr>
                  </w:pPr>
                  <w:r>
                    <w:rPr>
                      <w:rFonts w:hint="eastAsia"/>
                      <w:b/>
                      <w:bCs/>
                    </w:rPr>
                    <w:t>筛选值</w:t>
                  </w:r>
                </w:p>
              </w:tc>
              <w:tc>
                <w:tcPr>
                  <w:tcW w:w="806" w:type="pct"/>
                  <w:vAlign w:val="center"/>
                </w:tcPr>
                <w:p>
                  <w:pPr>
                    <w:pStyle w:val="47"/>
                    <w:rPr>
                      <w:b/>
                      <w:bCs/>
                    </w:rPr>
                  </w:pPr>
                  <w:r>
                    <w:rPr>
                      <w:rFonts w:hint="eastAsia"/>
                      <w:b/>
                      <w:bCs/>
                    </w:rPr>
                    <w:t>管控值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00" w:type="pct"/>
                  <w:gridSpan w:val="5"/>
                  <w:vAlign w:val="center"/>
                </w:tcPr>
                <w:p>
                  <w:pPr>
                    <w:pStyle w:val="47"/>
                  </w:pPr>
                  <w:r>
                    <w:rPr>
                      <w:rFonts w:hint="eastAsia"/>
                    </w:rPr>
                    <w:t>重金属和无机物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pct"/>
                  <w:vAlign w:val="center"/>
                </w:tcPr>
                <w:p>
                  <w:pPr>
                    <w:pStyle w:val="47"/>
                  </w:pPr>
                  <w:r>
                    <w:t>1</w:t>
                  </w:r>
                </w:p>
              </w:tc>
              <w:tc>
                <w:tcPr>
                  <w:tcW w:w="1410" w:type="pct"/>
                  <w:vAlign w:val="center"/>
                </w:tcPr>
                <w:p>
                  <w:pPr>
                    <w:pStyle w:val="47"/>
                  </w:pPr>
                  <w:r>
                    <w:rPr>
                      <w:rFonts w:hint="eastAsia"/>
                    </w:rPr>
                    <w:t>砷</w:t>
                  </w:r>
                </w:p>
              </w:tc>
              <w:tc>
                <w:tcPr>
                  <w:tcW w:w="1204" w:type="pct"/>
                  <w:vAlign w:val="center"/>
                </w:tcPr>
                <w:p>
                  <w:pPr>
                    <w:pStyle w:val="47"/>
                  </w:pPr>
                  <w:r>
                    <w:t>7440-38-2</w:t>
                  </w:r>
                </w:p>
              </w:tc>
              <w:tc>
                <w:tcPr>
                  <w:tcW w:w="991" w:type="pct"/>
                  <w:vAlign w:val="center"/>
                </w:tcPr>
                <w:p>
                  <w:pPr>
                    <w:pStyle w:val="47"/>
                  </w:pPr>
                  <w:r>
                    <w:t>60</w:t>
                  </w:r>
                </w:p>
              </w:tc>
              <w:tc>
                <w:tcPr>
                  <w:tcW w:w="806" w:type="pct"/>
                  <w:vAlign w:val="center"/>
                </w:tcPr>
                <w:p>
                  <w:pPr>
                    <w:pStyle w:val="47"/>
                  </w:pPr>
                  <w: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pct"/>
                  <w:vAlign w:val="center"/>
                </w:tcPr>
                <w:p>
                  <w:pPr>
                    <w:pStyle w:val="47"/>
                  </w:pPr>
                  <w:r>
                    <w:t>2</w:t>
                  </w:r>
                </w:p>
              </w:tc>
              <w:tc>
                <w:tcPr>
                  <w:tcW w:w="1410" w:type="pct"/>
                  <w:vAlign w:val="center"/>
                </w:tcPr>
                <w:p>
                  <w:pPr>
                    <w:pStyle w:val="47"/>
                  </w:pPr>
                  <w:r>
                    <w:rPr>
                      <w:rFonts w:hint="eastAsia"/>
                    </w:rPr>
                    <w:t>镉</w:t>
                  </w:r>
                </w:p>
              </w:tc>
              <w:tc>
                <w:tcPr>
                  <w:tcW w:w="1204" w:type="pct"/>
                  <w:vAlign w:val="center"/>
                </w:tcPr>
                <w:p>
                  <w:pPr>
                    <w:pStyle w:val="47"/>
                  </w:pPr>
                  <w:r>
                    <w:t>7440-43-9</w:t>
                  </w:r>
                </w:p>
              </w:tc>
              <w:tc>
                <w:tcPr>
                  <w:tcW w:w="991" w:type="pct"/>
                  <w:vAlign w:val="center"/>
                </w:tcPr>
                <w:p>
                  <w:pPr>
                    <w:pStyle w:val="47"/>
                  </w:pPr>
                  <w:r>
                    <w:t>65</w:t>
                  </w:r>
                </w:p>
              </w:tc>
              <w:tc>
                <w:tcPr>
                  <w:tcW w:w="806" w:type="pct"/>
                  <w:vAlign w:val="center"/>
                </w:tcPr>
                <w:p>
                  <w:pPr>
                    <w:pStyle w:val="47"/>
                  </w:pPr>
                  <w:r>
                    <w:t>172</w:t>
                  </w:r>
                </w:p>
              </w:tc>
            </w:tr>
            <w:tr>
              <w:tblPrEx>
                <w:tblCellMar>
                  <w:top w:w="0" w:type="dxa"/>
                  <w:left w:w="108" w:type="dxa"/>
                  <w:bottom w:w="0" w:type="dxa"/>
                  <w:right w:w="108" w:type="dxa"/>
                </w:tblCellMar>
              </w:tblPrEx>
              <w:trPr>
                <w:trHeight w:val="312" w:hRule="atLeast"/>
                <w:jc w:val="center"/>
              </w:trPr>
              <w:tc>
                <w:tcPr>
                  <w:tcW w:w="588" w:type="pct"/>
                  <w:vAlign w:val="center"/>
                </w:tcPr>
                <w:p>
                  <w:pPr>
                    <w:pStyle w:val="47"/>
                  </w:pPr>
                  <w:r>
                    <w:t>3</w:t>
                  </w:r>
                </w:p>
              </w:tc>
              <w:tc>
                <w:tcPr>
                  <w:tcW w:w="1410" w:type="pct"/>
                  <w:vAlign w:val="center"/>
                </w:tcPr>
                <w:p>
                  <w:pPr>
                    <w:pStyle w:val="47"/>
                  </w:pPr>
                  <w:r>
                    <w:rPr>
                      <w:rFonts w:hint="eastAsia"/>
                    </w:rPr>
                    <w:t>铬（六价）</w:t>
                  </w:r>
                </w:p>
              </w:tc>
              <w:tc>
                <w:tcPr>
                  <w:tcW w:w="1204" w:type="pct"/>
                  <w:vAlign w:val="center"/>
                </w:tcPr>
                <w:p>
                  <w:pPr>
                    <w:pStyle w:val="47"/>
                  </w:pPr>
                  <w:r>
                    <w:t>18540-29-9</w:t>
                  </w:r>
                </w:p>
              </w:tc>
              <w:tc>
                <w:tcPr>
                  <w:tcW w:w="991" w:type="pct"/>
                  <w:vAlign w:val="center"/>
                </w:tcPr>
                <w:p>
                  <w:pPr>
                    <w:pStyle w:val="47"/>
                  </w:pPr>
                  <w:r>
                    <w:t>5.7</w:t>
                  </w:r>
                </w:p>
              </w:tc>
              <w:tc>
                <w:tcPr>
                  <w:tcW w:w="806" w:type="pct"/>
                  <w:vAlign w:val="center"/>
                </w:tcPr>
                <w:p>
                  <w:pPr>
                    <w:pStyle w:val="47"/>
                  </w:pPr>
                  <w: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pct"/>
                  <w:vAlign w:val="center"/>
                </w:tcPr>
                <w:p>
                  <w:pPr>
                    <w:pStyle w:val="47"/>
                  </w:pPr>
                  <w:r>
                    <w:t>4</w:t>
                  </w:r>
                </w:p>
              </w:tc>
              <w:tc>
                <w:tcPr>
                  <w:tcW w:w="1410" w:type="pct"/>
                  <w:vAlign w:val="center"/>
                </w:tcPr>
                <w:p>
                  <w:pPr>
                    <w:pStyle w:val="47"/>
                  </w:pPr>
                  <w:r>
                    <w:rPr>
                      <w:rFonts w:hint="eastAsia"/>
                    </w:rPr>
                    <w:t>铜</w:t>
                  </w:r>
                </w:p>
              </w:tc>
              <w:tc>
                <w:tcPr>
                  <w:tcW w:w="1204" w:type="pct"/>
                  <w:vAlign w:val="center"/>
                </w:tcPr>
                <w:p>
                  <w:pPr>
                    <w:pStyle w:val="47"/>
                  </w:pPr>
                  <w:r>
                    <w:t>7440-50-8</w:t>
                  </w:r>
                </w:p>
              </w:tc>
              <w:tc>
                <w:tcPr>
                  <w:tcW w:w="991" w:type="pct"/>
                  <w:vAlign w:val="center"/>
                </w:tcPr>
                <w:p>
                  <w:pPr>
                    <w:pStyle w:val="47"/>
                  </w:pPr>
                  <w:r>
                    <w:t>18000</w:t>
                  </w:r>
                </w:p>
              </w:tc>
              <w:tc>
                <w:tcPr>
                  <w:tcW w:w="806" w:type="pct"/>
                  <w:vAlign w:val="center"/>
                </w:tcPr>
                <w:p>
                  <w:pPr>
                    <w:pStyle w:val="47"/>
                  </w:pPr>
                  <w:r>
                    <w:t>36000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pct"/>
                  <w:vAlign w:val="center"/>
                </w:tcPr>
                <w:p>
                  <w:pPr>
                    <w:pStyle w:val="47"/>
                  </w:pPr>
                  <w:r>
                    <w:t>5</w:t>
                  </w:r>
                </w:p>
              </w:tc>
              <w:tc>
                <w:tcPr>
                  <w:tcW w:w="1410" w:type="pct"/>
                  <w:vAlign w:val="center"/>
                </w:tcPr>
                <w:p>
                  <w:pPr>
                    <w:pStyle w:val="47"/>
                  </w:pPr>
                  <w:r>
                    <w:rPr>
                      <w:rFonts w:hint="eastAsia"/>
                    </w:rPr>
                    <w:t>铅</w:t>
                  </w:r>
                </w:p>
              </w:tc>
              <w:tc>
                <w:tcPr>
                  <w:tcW w:w="1204" w:type="pct"/>
                  <w:vAlign w:val="center"/>
                </w:tcPr>
                <w:p>
                  <w:pPr>
                    <w:pStyle w:val="47"/>
                  </w:pPr>
                  <w:r>
                    <w:t>7439-92-1</w:t>
                  </w:r>
                </w:p>
              </w:tc>
              <w:tc>
                <w:tcPr>
                  <w:tcW w:w="991" w:type="pct"/>
                  <w:vAlign w:val="center"/>
                </w:tcPr>
                <w:p>
                  <w:pPr>
                    <w:pStyle w:val="47"/>
                  </w:pPr>
                  <w:r>
                    <w:t>800</w:t>
                  </w:r>
                </w:p>
              </w:tc>
              <w:tc>
                <w:tcPr>
                  <w:tcW w:w="806" w:type="pct"/>
                  <w:vAlign w:val="center"/>
                </w:tcPr>
                <w:p>
                  <w:pPr>
                    <w:pStyle w:val="47"/>
                  </w:pPr>
                  <w: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pct"/>
                  <w:vAlign w:val="center"/>
                </w:tcPr>
                <w:p>
                  <w:pPr>
                    <w:pStyle w:val="47"/>
                  </w:pPr>
                  <w:r>
                    <w:t>6</w:t>
                  </w:r>
                </w:p>
              </w:tc>
              <w:tc>
                <w:tcPr>
                  <w:tcW w:w="1410" w:type="pct"/>
                  <w:vAlign w:val="center"/>
                </w:tcPr>
                <w:p>
                  <w:pPr>
                    <w:pStyle w:val="47"/>
                  </w:pPr>
                  <w:r>
                    <w:rPr>
                      <w:rFonts w:hint="eastAsia"/>
                    </w:rPr>
                    <w:t>汞</w:t>
                  </w:r>
                </w:p>
              </w:tc>
              <w:tc>
                <w:tcPr>
                  <w:tcW w:w="1204" w:type="pct"/>
                  <w:vAlign w:val="center"/>
                </w:tcPr>
                <w:p>
                  <w:pPr>
                    <w:pStyle w:val="47"/>
                  </w:pPr>
                  <w:r>
                    <w:t>7439-97-6</w:t>
                  </w:r>
                </w:p>
              </w:tc>
              <w:tc>
                <w:tcPr>
                  <w:tcW w:w="991" w:type="pct"/>
                  <w:vAlign w:val="center"/>
                </w:tcPr>
                <w:p>
                  <w:pPr>
                    <w:pStyle w:val="47"/>
                  </w:pPr>
                  <w:r>
                    <w:t>38</w:t>
                  </w:r>
                </w:p>
              </w:tc>
              <w:tc>
                <w:tcPr>
                  <w:tcW w:w="806" w:type="pct"/>
                  <w:vAlign w:val="center"/>
                </w:tcPr>
                <w:p>
                  <w:pPr>
                    <w:pStyle w:val="47"/>
                  </w:pPr>
                  <w: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pct"/>
                  <w:vAlign w:val="center"/>
                </w:tcPr>
                <w:p>
                  <w:pPr>
                    <w:pStyle w:val="47"/>
                  </w:pPr>
                  <w:r>
                    <w:t>7</w:t>
                  </w:r>
                </w:p>
              </w:tc>
              <w:tc>
                <w:tcPr>
                  <w:tcW w:w="1410" w:type="pct"/>
                  <w:vAlign w:val="center"/>
                </w:tcPr>
                <w:p>
                  <w:pPr>
                    <w:pStyle w:val="47"/>
                  </w:pPr>
                  <w:r>
                    <w:rPr>
                      <w:rFonts w:hint="eastAsia"/>
                    </w:rPr>
                    <w:t>镍</w:t>
                  </w:r>
                </w:p>
              </w:tc>
              <w:tc>
                <w:tcPr>
                  <w:tcW w:w="1204" w:type="pct"/>
                  <w:vAlign w:val="center"/>
                </w:tcPr>
                <w:p>
                  <w:pPr>
                    <w:pStyle w:val="47"/>
                  </w:pPr>
                  <w:r>
                    <w:t>7440-02-0</w:t>
                  </w:r>
                </w:p>
              </w:tc>
              <w:tc>
                <w:tcPr>
                  <w:tcW w:w="991" w:type="pct"/>
                  <w:vAlign w:val="center"/>
                </w:tcPr>
                <w:p>
                  <w:pPr>
                    <w:pStyle w:val="47"/>
                  </w:pPr>
                  <w:r>
                    <w:t>900</w:t>
                  </w:r>
                </w:p>
              </w:tc>
              <w:tc>
                <w:tcPr>
                  <w:tcW w:w="806" w:type="pct"/>
                  <w:vAlign w:val="center"/>
                </w:tcPr>
                <w:p>
                  <w:pPr>
                    <w:pStyle w:val="47"/>
                  </w:pPr>
                  <w: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00" w:type="pct"/>
                  <w:gridSpan w:val="5"/>
                  <w:vAlign w:val="center"/>
                </w:tcPr>
                <w:p>
                  <w:pPr>
                    <w:pStyle w:val="47"/>
                  </w:pPr>
                  <w:r>
                    <w:rPr>
                      <w:rFonts w:hint="eastAsia"/>
                    </w:rPr>
                    <w:t>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pct"/>
                  <w:vAlign w:val="center"/>
                </w:tcPr>
                <w:p>
                  <w:pPr>
                    <w:pStyle w:val="47"/>
                  </w:pPr>
                  <w:r>
                    <w:t>8</w:t>
                  </w:r>
                </w:p>
              </w:tc>
              <w:tc>
                <w:tcPr>
                  <w:tcW w:w="1410" w:type="pct"/>
                  <w:vAlign w:val="center"/>
                </w:tcPr>
                <w:p>
                  <w:pPr>
                    <w:pStyle w:val="47"/>
                  </w:pPr>
                  <w:r>
                    <w:rPr>
                      <w:rFonts w:hint="eastAsia"/>
                    </w:rPr>
                    <w:t>四氯化碳</w:t>
                  </w:r>
                </w:p>
              </w:tc>
              <w:tc>
                <w:tcPr>
                  <w:tcW w:w="1204" w:type="pct"/>
                  <w:vAlign w:val="center"/>
                </w:tcPr>
                <w:p>
                  <w:pPr>
                    <w:pStyle w:val="47"/>
                  </w:pPr>
                  <w:r>
                    <w:t>56-23-5</w:t>
                  </w:r>
                </w:p>
              </w:tc>
              <w:tc>
                <w:tcPr>
                  <w:tcW w:w="991" w:type="pct"/>
                  <w:vAlign w:val="center"/>
                </w:tcPr>
                <w:p>
                  <w:pPr>
                    <w:pStyle w:val="47"/>
                  </w:pPr>
                  <w:r>
                    <w:t>2.8</w:t>
                  </w:r>
                </w:p>
              </w:tc>
              <w:tc>
                <w:tcPr>
                  <w:tcW w:w="806" w:type="pct"/>
                  <w:vAlign w:val="center"/>
                </w:tcPr>
                <w:p>
                  <w:pPr>
                    <w:pStyle w:val="47"/>
                  </w:pPr>
                  <w: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pct"/>
                  <w:vAlign w:val="center"/>
                </w:tcPr>
                <w:p>
                  <w:pPr>
                    <w:pStyle w:val="47"/>
                  </w:pPr>
                  <w:r>
                    <w:t>9</w:t>
                  </w:r>
                </w:p>
              </w:tc>
              <w:tc>
                <w:tcPr>
                  <w:tcW w:w="1410" w:type="pct"/>
                  <w:vAlign w:val="center"/>
                </w:tcPr>
                <w:p>
                  <w:pPr>
                    <w:pStyle w:val="47"/>
                  </w:pPr>
                  <w:r>
                    <w:rPr>
                      <w:rFonts w:hint="eastAsia"/>
                    </w:rPr>
                    <w:t>氯仿</w:t>
                  </w:r>
                </w:p>
              </w:tc>
              <w:tc>
                <w:tcPr>
                  <w:tcW w:w="1204" w:type="pct"/>
                  <w:vAlign w:val="center"/>
                </w:tcPr>
                <w:p>
                  <w:pPr>
                    <w:pStyle w:val="47"/>
                  </w:pPr>
                  <w:r>
                    <w:t>67-66-3</w:t>
                  </w:r>
                </w:p>
              </w:tc>
              <w:tc>
                <w:tcPr>
                  <w:tcW w:w="991" w:type="pct"/>
                  <w:vAlign w:val="center"/>
                </w:tcPr>
                <w:p>
                  <w:pPr>
                    <w:pStyle w:val="47"/>
                  </w:pPr>
                  <w:r>
                    <w:t>0.9</w:t>
                  </w:r>
                </w:p>
              </w:tc>
              <w:tc>
                <w:tcPr>
                  <w:tcW w:w="806" w:type="pct"/>
                  <w:vAlign w:val="center"/>
                </w:tcPr>
                <w:p>
                  <w:pPr>
                    <w:pStyle w:val="47"/>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pct"/>
                  <w:vAlign w:val="center"/>
                </w:tcPr>
                <w:p>
                  <w:pPr>
                    <w:pStyle w:val="47"/>
                  </w:pPr>
                  <w:r>
                    <w:t>10</w:t>
                  </w:r>
                </w:p>
              </w:tc>
              <w:tc>
                <w:tcPr>
                  <w:tcW w:w="1410" w:type="pct"/>
                  <w:vAlign w:val="center"/>
                </w:tcPr>
                <w:p>
                  <w:pPr>
                    <w:pStyle w:val="47"/>
                  </w:pPr>
                  <w:r>
                    <w:rPr>
                      <w:rFonts w:hint="eastAsia"/>
                    </w:rPr>
                    <w:t>氯甲烷</w:t>
                  </w:r>
                </w:p>
              </w:tc>
              <w:tc>
                <w:tcPr>
                  <w:tcW w:w="1204" w:type="pct"/>
                  <w:vAlign w:val="center"/>
                </w:tcPr>
                <w:p>
                  <w:pPr>
                    <w:pStyle w:val="47"/>
                  </w:pPr>
                  <w:r>
                    <w:t>74-87-3</w:t>
                  </w:r>
                </w:p>
              </w:tc>
              <w:tc>
                <w:tcPr>
                  <w:tcW w:w="991" w:type="pct"/>
                  <w:vAlign w:val="center"/>
                </w:tcPr>
                <w:p>
                  <w:pPr>
                    <w:pStyle w:val="47"/>
                  </w:pPr>
                  <w:r>
                    <w:t>37</w:t>
                  </w:r>
                </w:p>
              </w:tc>
              <w:tc>
                <w:tcPr>
                  <w:tcW w:w="806" w:type="pct"/>
                  <w:vAlign w:val="center"/>
                </w:tcPr>
                <w:p>
                  <w:pPr>
                    <w:pStyle w:val="47"/>
                  </w:pPr>
                  <w:r>
                    <w:t>120</w:t>
                  </w:r>
                </w:p>
              </w:tc>
            </w:tr>
            <w:tr>
              <w:tblPrEx>
                <w:tblCellMar>
                  <w:top w:w="0" w:type="dxa"/>
                  <w:left w:w="108" w:type="dxa"/>
                  <w:bottom w:w="0" w:type="dxa"/>
                  <w:right w:w="108" w:type="dxa"/>
                </w:tblCellMar>
              </w:tblPrEx>
              <w:trPr>
                <w:trHeight w:val="312" w:hRule="atLeast"/>
                <w:jc w:val="center"/>
              </w:trPr>
              <w:tc>
                <w:tcPr>
                  <w:tcW w:w="588" w:type="pct"/>
                  <w:vAlign w:val="center"/>
                </w:tcPr>
                <w:p>
                  <w:pPr>
                    <w:pStyle w:val="47"/>
                  </w:pPr>
                  <w:r>
                    <w:t>11</w:t>
                  </w:r>
                </w:p>
              </w:tc>
              <w:tc>
                <w:tcPr>
                  <w:tcW w:w="1410" w:type="pct"/>
                  <w:vAlign w:val="center"/>
                </w:tcPr>
                <w:p>
                  <w:pPr>
                    <w:pStyle w:val="47"/>
                  </w:pPr>
                  <w:r>
                    <w:t>1.1-</w:t>
                  </w:r>
                  <w:r>
                    <w:rPr>
                      <w:rFonts w:hint="eastAsia"/>
                    </w:rPr>
                    <w:t>二氯乙烷</w:t>
                  </w:r>
                </w:p>
              </w:tc>
              <w:tc>
                <w:tcPr>
                  <w:tcW w:w="1204" w:type="pct"/>
                  <w:vAlign w:val="center"/>
                </w:tcPr>
                <w:p>
                  <w:pPr>
                    <w:pStyle w:val="47"/>
                  </w:pPr>
                  <w:r>
                    <w:t>74-34-3</w:t>
                  </w:r>
                </w:p>
              </w:tc>
              <w:tc>
                <w:tcPr>
                  <w:tcW w:w="991" w:type="pct"/>
                  <w:vAlign w:val="center"/>
                </w:tcPr>
                <w:p>
                  <w:pPr>
                    <w:pStyle w:val="47"/>
                  </w:pPr>
                  <w:r>
                    <w:t>9</w:t>
                  </w:r>
                </w:p>
              </w:tc>
              <w:tc>
                <w:tcPr>
                  <w:tcW w:w="806" w:type="pct"/>
                  <w:vAlign w:val="center"/>
                </w:tcPr>
                <w:p>
                  <w:pPr>
                    <w:pStyle w:val="47"/>
                  </w:pPr>
                  <w: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pct"/>
                  <w:vAlign w:val="center"/>
                </w:tcPr>
                <w:p>
                  <w:pPr>
                    <w:pStyle w:val="47"/>
                  </w:pPr>
                  <w:r>
                    <w:t>12</w:t>
                  </w:r>
                </w:p>
              </w:tc>
              <w:tc>
                <w:tcPr>
                  <w:tcW w:w="1410" w:type="pct"/>
                  <w:vAlign w:val="center"/>
                </w:tcPr>
                <w:p>
                  <w:pPr>
                    <w:pStyle w:val="47"/>
                  </w:pPr>
                  <w:r>
                    <w:t>1.2-</w:t>
                  </w:r>
                  <w:r>
                    <w:rPr>
                      <w:rFonts w:hint="eastAsia"/>
                    </w:rPr>
                    <w:t>二氯乙烷</w:t>
                  </w:r>
                </w:p>
              </w:tc>
              <w:tc>
                <w:tcPr>
                  <w:tcW w:w="1204" w:type="pct"/>
                  <w:vAlign w:val="center"/>
                </w:tcPr>
                <w:p>
                  <w:pPr>
                    <w:pStyle w:val="47"/>
                  </w:pPr>
                  <w:r>
                    <w:t>107-06-2</w:t>
                  </w:r>
                </w:p>
              </w:tc>
              <w:tc>
                <w:tcPr>
                  <w:tcW w:w="991" w:type="pct"/>
                  <w:vAlign w:val="center"/>
                </w:tcPr>
                <w:p>
                  <w:pPr>
                    <w:pStyle w:val="47"/>
                  </w:pPr>
                  <w:r>
                    <w:t>5</w:t>
                  </w:r>
                </w:p>
              </w:tc>
              <w:tc>
                <w:tcPr>
                  <w:tcW w:w="806" w:type="pct"/>
                  <w:vAlign w:val="center"/>
                </w:tcPr>
                <w:p>
                  <w:pPr>
                    <w:pStyle w:val="47"/>
                  </w:pPr>
                  <w: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pct"/>
                  <w:vAlign w:val="center"/>
                </w:tcPr>
                <w:p>
                  <w:pPr>
                    <w:pStyle w:val="47"/>
                  </w:pPr>
                  <w:r>
                    <w:t>13</w:t>
                  </w:r>
                </w:p>
              </w:tc>
              <w:tc>
                <w:tcPr>
                  <w:tcW w:w="1410" w:type="pct"/>
                  <w:vAlign w:val="center"/>
                </w:tcPr>
                <w:p>
                  <w:pPr>
                    <w:pStyle w:val="47"/>
                  </w:pPr>
                  <w:r>
                    <w:t>1.1-</w:t>
                  </w:r>
                  <w:r>
                    <w:rPr>
                      <w:rFonts w:hint="eastAsia"/>
                    </w:rPr>
                    <w:t>二氯乙烯</w:t>
                  </w:r>
                </w:p>
              </w:tc>
              <w:tc>
                <w:tcPr>
                  <w:tcW w:w="1204" w:type="pct"/>
                  <w:vAlign w:val="center"/>
                </w:tcPr>
                <w:p>
                  <w:pPr>
                    <w:pStyle w:val="47"/>
                  </w:pPr>
                  <w:r>
                    <w:t>75-35-4</w:t>
                  </w:r>
                </w:p>
              </w:tc>
              <w:tc>
                <w:tcPr>
                  <w:tcW w:w="991" w:type="pct"/>
                  <w:vAlign w:val="center"/>
                </w:tcPr>
                <w:p>
                  <w:pPr>
                    <w:pStyle w:val="47"/>
                  </w:pPr>
                  <w:r>
                    <w:t>66</w:t>
                  </w:r>
                </w:p>
              </w:tc>
              <w:tc>
                <w:tcPr>
                  <w:tcW w:w="806" w:type="pct"/>
                  <w:vAlign w:val="center"/>
                </w:tcPr>
                <w:p>
                  <w:pPr>
                    <w:pStyle w:val="47"/>
                  </w:pPr>
                  <w: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pct"/>
                  <w:vAlign w:val="center"/>
                </w:tcPr>
                <w:p>
                  <w:pPr>
                    <w:pStyle w:val="47"/>
                  </w:pPr>
                  <w:r>
                    <w:t>14</w:t>
                  </w:r>
                </w:p>
              </w:tc>
              <w:tc>
                <w:tcPr>
                  <w:tcW w:w="1410" w:type="pct"/>
                  <w:vAlign w:val="center"/>
                </w:tcPr>
                <w:p>
                  <w:pPr>
                    <w:pStyle w:val="47"/>
                  </w:pPr>
                  <w:r>
                    <w:rPr>
                      <w:rFonts w:hint="eastAsia"/>
                    </w:rPr>
                    <w:t>顺</w:t>
                  </w:r>
                  <w:r>
                    <w:t>-1,2-</w:t>
                  </w:r>
                  <w:r>
                    <w:rPr>
                      <w:rFonts w:hint="eastAsia"/>
                    </w:rPr>
                    <w:t>二氯乙烯</w:t>
                  </w:r>
                </w:p>
              </w:tc>
              <w:tc>
                <w:tcPr>
                  <w:tcW w:w="1204" w:type="pct"/>
                  <w:vAlign w:val="center"/>
                </w:tcPr>
                <w:p>
                  <w:pPr>
                    <w:pStyle w:val="47"/>
                  </w:pPr>
                  <w:r>
                    <w:t>156-59-2</w:t>
                  </w:r>
                </w:p>
              </w:tc>
              <w:tc>
                <w:tcPr>
                  <w:tcW w:w="991" w:type="pct"/>
                  <w:vAlign w:val="center"/>
                </w:tcPr>
                <w:p>
                  <w:pPr>
                    <w:pStyle w:val="47"/>
                  </w:pPr>
                  <w:r>
                    <w:t>596</w:t>
                  </w:r>
                </w:p>
              </w:tc>
              <w:tc>
                <w:tcPr>
                  <w:tcW w:w="806" w:type="pct"/>
                  <w:vAlign w:val="center"/>
                </w:tcPr>
                <w:p>
                  <w:pPr>
                    <w:pStyle w:val="47"/>
                  </w:pPr>
                  <w: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pct"/>
                  <w:vAlign w:val="center"/>
                </w:tcPr>
                <w:p>
                  <w:pPr>
                    <w:pStyle w:val="47"/>
                  </w:pPr>
                  <w:r>
                    <w:t>15</w:t>
                  </w:r>
                </w:p>
              </w:tc>
              <w:tc>
                <w:tcPr>
                  <w:tcW w:w="1410" w:type="pct"/>
                  <w:vAlign w:val="center"/>
                </w:tcPr>
                <w:p>
                  <w:pPr>
                    <w:pStyle w:val="47"/>
                  </w:pPr>
                  <w:r>
                    <w:rPr>
                      <w:rFonts w:hint="eastAsia"/>
                    </w:rPr>
                    <w:t>反</w:t>
                  </w:r>
                  <w:r>
                    <w:t>-1,2-</w:t>
                  </w:r>
                  <w:r>
                    <w:rPr>
                      <w:rFonts w:hint="eastAsia"/>
                    </w:rPr>
                    <w:t>二氯乙烯</w:t>
                  </w:r>
                </w:p>
              </w:tc>
              <w:tc>
                <w:tcPr>
                  <w:tcW w:w="1204" w:type="pct"/>
                  <w:vAlign w:val="center"/>
                </w:tcPr>
                <w:p>
                  <w:pPr>
                    <w:pStyle w:val="47"/>
                  </w:pPr>
                  <w:r>
                    <w:t>156-60-5</w:t>
                  </w:r>
                </w:p>
              </w:tc>
              <w:tc>
                <w:tcPr>
                  <w:tcW w:w="991" w:type="pct"/>
                  <w:vAlign w:val="center"/>
                </w:tcPr>
                <w:p>
                  <w:pPr>
                    <w:pStyle w:val="47"/>
                  </w:pPr>
                  <w:r>
                    <w:t>24</w:t>
                  </w:r>
                </w:p>
              </w:tc>
              <w:tc>
                <w:tcPr>
                  <w:tcW w:w="806" w:type="pct"/>
                  <w:vAlign w:val="center"/>
                </w:tcPr>
                <w:p>
                  <w:pPr>
                    <w:pStyle w:val="47"/>
                  </w:pPr>
                  <w: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pct"/>
                  <w:vAlign w:val="center"/>
                </w:tcPr>
                <w:p>
                  <w:pPr>
                    <w:pStyle w:val="47"/>
                  </w:pPr>
                  <w:r>
                    <w:t>16</w:t>
                  </w:r>
                </w:p>
              </w:tc>
              <w:tc>
                <w:tcPr>
                  <w:tcW w:w="1410" w:type="pct"/>
                  <w:vAlign w:val="center"/>
                </w:tcPr>
                <w:p>
                  <w:pPr>
                    <w:pStyle w:val="47"/>
                  </w:pPr>
                  <w:r>
                    <w:rPr>
                      <w:rFonts w:hint="eastAsia"/>
                    </w:rPr>
                    <w:t>二氯甲烷</w:t>
                  </w:r>
                </w:p>
              </w:tc>
              <w:tc>
                <w:tcPr>
                  <w:tcW w:w="1204" w:type="pct"/>
                  <w:vAlign w:val="center"/>
                </w:tcPr>
                <w:p>
                  <w:pPr>
                    <w:pStyle w:val="47"/>
                  </w:pPr>
                  <w:r>
                    <w:t>75-09-2</w:t>
                  </w:r>
                </w:p>
              </w:tc>
              <w:tc>
                <w:tcPr>
                  <w:tcW w:w="991" w:type="pct"/>
                  <w:vAlign w:val="center"/>
                </w:tcPr>
                <w:p>
                  <w:pPr>
                    <w:pStyle w:val="47"/>
                  </w:pPr>
                  <w:r>
                    <w:t>616</w:t>
                  </w:r>
                </w:p>
              </w:tc>
              <w:tc>
                <w:tcPr>
                  <w:tcW w:w="806" w:type="pct"/>
                  <w:vAlign w:val="center"/>
                </w:tcPr>
                <w:p>
                  <w:pPr>
                    <w:pStyle w:val="47"/>
                  </w:pPr>
                  <w: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588" w:type="pct"/>
                  <w:vAlign w:val="center"/>
                </w:tcPr>
                <w:p>
                  <w:pPr>
                    <w:pStyle w:val="47"/>
                  </w:pPr>
                  <w:r>
                    <w:t>17</w:t>
                  </w:r>
                </w:p>
              </w:tc>
              <w:tc>
                <w:tcPr>
                  <w:tcW w:w="1410" w:type="pct"/>
                  <w:vAlign w:val="center"/>
                </w:tcPr>
                <w:p>
                  <w:pPr>
                    <w:pStyle w:val="47"/>
                  </w:pPr>
                  <w:r>
                    <w:t>1,2-</w:t>
                  </w:r>
                  <w:r>
                    <w:rPr>
                      <w:rFonts w:hint="eastAsia"/>
                    </w:rPr>
                    <w:t>二氯丙烷</w:t>
                  </w:r>
                </w:p>
              </w:tc>
              <w:tc>
                <w:tcPr>
                  <w:tcW w:w="1204" w:type="pct"/>
                  <w:vAlign w:val="center"/>
                </w:tcPr>
                <w:p>
                  <w:pPr>
                    <w:pStyle w:val="47"/>
                  </w:pPr>
                  <w:r>
                    <w:t>78-87-5</w:t>
                  </w:r>
                </w:p>
              </w:tc>
              <w:tc>
                <w:tcPr>
                  <w:tcW w:w="991" w:type="pct"/>
                  <w:vAlign w:val="center"/>
                </w:tcPr>
                <w:p>
                  <w:pPr>
                    <w:pStyle w:val="47"/>
                  </w:pPr>
                  <w:r>
                    <w:t>5</w:t>
                  </w:r>
                </w:p>
              </w:tc>
              <w:tc>
                <w:tcPr>
                  <w:tcW w:w="806" w:type="pct"/>
                  <w:vAlign w:val="center"/>
                </w:tcPr>
                <w:p>
                  <w:pPr>
                    <w:pStyle w:val="47"/>
                  </w:pPr>
                  <w: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pct"/>
                  <w:vAlign w:val="center"/>
                </w:tcPr>
                <w:p>
                  <w:pPr>
                    <w:pStyle w:val="47"/>
                  </w:pPr>
                  <w:r>
                    <w:t>18</w:t>
                  </w:r>
                </w:p>
              </w:tc>
              <w:tc>
                <w:tcPr>
                  <w:tcW w:w="1410" w:type="pct"/>
                  <w:vAlign w:val="center"/>
                </w:tcPr>
                <w:p>
                  <w:pPr>
                    <w:pStyle w:val="47"/>
                  </w:pPr>
                  <w:r>
                    <w:t>1,1,1,2-</w:t>
                  </w:r>
                  <w:r>
                    <w:rPr>
                      <w:rFonts w:hint="eastAsia"/>
                    </w:rPr>
                    <w:t>四氯乙烷</w:t>
                  </w:r>
                </w:p>
              </w:tc>
              <w:tc>
                <w:tcPr>
                  <w:tcW w:w="1204" w:type="pct"/>
                  <w:vAlign w:val="center"/>
                </w:tcPr>
                <w:p>
                  <w:pPr>
                    <w:pStyle w:val="47"/>
                  </w:pPr>
                  <w:r>
                    <w:t>630-20-6</w:t>
                  </w:r>
                </w:p>
              </w:tc>
              <w:tc>
                <w:tcPr>
                  <w:tcW w:w="991" w:type="pct"/>
                  <w:vAlign w:val="center"/>
                </w:tcPr>
                <w:p>
                  <w:pPr>
                    <w:pStyle w:val="47"/>
                  </w:pPr>
                  <w:r>
                    <w:t>10</w:t>
                  </w:r>
                </w:p>
              </w:tc>
              <w:tc>
                <w:tcPr>
                  <w:tcW w:w="806" w:type="pct"/>
                  <w:vAlign w:val="center"/>
                </w:tcPr>
                <w:p>
                  <w:pPr>
                    <w:pStyle w:val="47"/>
                  </w:pPr>
                  <w: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pct"/>
                  <w:vAlign w:val="center"/>
                </w:tcPr>
                <w:p>
                  <w:pPr>
                    <w:pStyle w:val="47"/>
                  </w:pPr>
                  <w:r>
                    <w:t>19</w:t>
                  </w:r>
                </w:p>
              </w:tc>
              <w:tc>
                <w:tcPr>
                  <w:tcW w:w="1410" w:type="pct"/>
                  <w:vAlign w:val="center"/>
                </w:tcPr>
                <w:p>
                  <w:pPr>
                    <w:pStyle w:val="47"/>
                  </w:pPr>
                  <w:r>
                    <w:t>1,1,2,2-</w:t>
                  </w:r>
                  <w:r>
                    <w:rPr>
                      <w:rFonts w:hint="eastAsia"/>
                    </w:rPr>
                    <w:t>四氯乙烷</w:t>
                  </w:r>
                </w:p>
              </w:tc>
              <w:tc>
                <w:tcPr>
                  <w:tcW w:w="1204" w:type="pct"/>
                  <w:vAlign w:val="center"/>
                </w:tcPr>
                <w:p>
                  <w:pPr>
                    <w:pStyle w:val="47"/>
                  </w:pPr>
                  <w:r>
                    <w:t>79-34-5</w:t>
                  </w:r>
                </w:p>
              </w:tc>
              <w:tc>
                <w:tcPr>
                  <w:tcW w:w="991" w:type="pct"/>
                  <w:vAlign w:val="center"/>
                </w:tcPr>
                <w:p>
                  <w:pPr>
                    <w:pStyle w:val="47"/>
                  </w:pPr>
                  <w:r>
                    <w:t>6.8</w:t>
                  </w:r>
                </w:p>
              </w:tc>
              <w:tc>
                <w:tcPr>
                  <w:tcW w:w="806" w:type="pct"/>
                  <w:vAlign w:val="center"/>
                </w:tcPr>
                <w:p>
                  <w:pPr>
                    <w:pStyle w:val="47"/>
                  </w:pPr>
                  <w: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pct"/>
                  <w:vAlign w:val="center"/>
                </w:tcPr>
                <w:p>
                  <w:pPr>
                    <w:pStyle w:val="47"/>
                  </w:pPr>
                  <w:r>
                    <w:t>20</w:t>
                  </w:r>
                </w:p>
              </w:tc>
              <w:tc>
                <w:tcPr>
                  <w:tcW w:w="1410" w:type="pct"/>
                  <w:vAlign w:val="center"/>
                </w:tcPr>
                <w:p>
                  <w:pPr>
                    <w:pStyle w:val="47"/>
                  </w:pPr>
                  <w:r>
                    <w:rPr>
                      <w:rFonts w:hint="eastAsia"/>
                    </w:rPr>
                    <w:t>四氯乙烯</w:t>
                  </w:r>
                </w:p>
              </w:tc>
              <w:tc>
                <w:tcPr>
                  <w:tcW w:w="1204" w:type="pct"/>
                  <w:vAlign w:val="center"/>
                </w:tcPr>
                <w:p>
                  <w:pPr>
                    <w:pStyle w:val="47"/>
                  </w:pPr>
                  <w:r>
                    <w:t>127-18-4</w:t>
                  </w:r>
                </w:p>
              </w:tc>
              <w:tc>
                <w:tcPr>
                  <w:tcW w:w="991" w:type="pct"/>
                  <w:vAlign w:val="center"/>
                </w:tcPr>
                <w:p>
                  <w:pPr>
                    <w:pStyle w:val="47"/>
                  </w:pPr>
                  <w:r>
                    <w:t>53</w:t>
                  </w:r>
                </w:p>
              </w:tc>
              <w:tc>
                <w:tcPr>
                  <w:tcW w:w="806" w:type="pct"/>
                  <w:vAlign w:val="center"/>
                </w:tcPr>
                <w:p>
                  <w:pPr>
                    <w:pStyle w:val="47"/>
                  </w:pPr>
                  <w: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588" w:type="pct"/>
                  <w:vAlign w:val="center"/>
                </w:tcPr>
                <w:p>
                  <w:pPr>
                    <w:pStyle w:val="47"/>
                  </w:pPr>
                  <w:r>
                    <w:t>21</w:t>
                  </w:r>
                </w:p>
              </w:tc>
              <w:tc>
                <w:tcPr>
                  <w:tcW w:w="1410" w:type="pct"/>
                  <w:vAlign w:val="center"/>
                </w:tcPr>
                <w:p>
                  <w:pPr>
                    <w:pStyle w:val="47"/>
                  </w:pPr>
                  <w:r>
                    <w:t>1,1,1-</w:t>
                  </w:r>
                  <w:r>
                    <w:rPr>
                      <w:rFonts w:hint="eastAsia"/>
                    </w:rPr>
                    <w:t>三氯乙烷</w:t>
                  </w:r>
                </w:p>
              </w:tc>
              <w:tc>
                <w:tcPr>
                  <w:tcW w:w="1204" w:type="pct"/>
                  <w:vAlign w:val="center"/>
                </w:tcPr>
                <w:p>
                  <w:pPr>
                    <w:pStyle w:val="47"/>
                  </w:pPr>
                  <w:r>
                    <w:t>71-55-6</w:t>
                  </w:r>
                </w:p>
              </w:tc>
              <w:tc>
                <w:tcPr>
                  <w:tcW w:w="991" w:type="pct"/>
                  <w:vAlign w:val="center"/>
                </w:tcPr>
                <w:p>
                  <w:pPr>
                    <w:pStyle w:val="47"/>
                  </w:pPr>
                  <w:r>
                    <w:t>840</w:t>
                  </w:r>
                </w:p>
              </w:tc>
              <w:tc>
                <w:tcPr>
                  <w:tcW w:w="806" w:type="pct"/>
                  <w:vAlign w:val="center"/>
                </w:tcPr>
                <w:p>
                  <w:pPr>
                    <w:pStyle w:val="47"/>
                  </w:pPr>
                  <w:r>
                    <w:t>840</w:t>
                  </w:r>
                </w:p>
              </w:tc>
            </w:tr>
            <w:tr>
              <w:tblPrEx>
                <w:tblCellMar>
                  <w:top w:w="0" w:type="dxa"/>
                  <w:left w:w="108" w:type="dxa"/>
                  <w:bottom w:w="0" w:type="dxa"/>
                  <w:right w:w="108" w:type="dxa"/>
                </w:tblCellMar>
              </w:tblPrEx>
              <w:trPr>
                <w:trHeight w:val="312" w:hRule="atLeast"/>
                <w:jc w:val="center"/>
              </w:trPr>
              <w:tc>
                <w:tcPr>
                  <w:tcW w:w="588" w:type="pct"/>
                  <w:vAlign w:val="center"/>
                </w:tcPr>
                <w:p>
                  <w:pPr>
                    <w:pStyle w:val="47"/>
                  </w:pPr>
                  <w:r>
                    <w:t>22</w:t>
                  </w:r>
                </w:p>
              </w:tc>
              <w:tc>
                <w:tcPr>
                  <w:tcW w:w="1410" w:type="pct"/>
                  <w:vAlign w:val="center"/>
                </w:tcPr>
                <w:p>
                  <w:pPr>
                    <w:pStyle w:val="47"/>
                  </w:pPr>
                  <w:r>
                    <w:t>1,1,2-</w:t>
                  </w:r>
                  <w:r>
                    <w:rPr>
                      <w:rFonts w:hint="eastAsia"/>
                    </w:rPr>
                    <w:t>三氯乙烷</w:t>
                  </w:r>
                </w:p>
              </w:tc>
              <w:tc>
                <w:tcPr>
                  <w:tcW w:w="1204" w:type="pct"/>
                  <w:vAlign w:val="center"/>
                </w:tcPr>
                <w:p>
                  <w:pPr>
                    <w:pStyle w:val="47"/>
                  </w:pPr>
                  <w:r>
                    <w:t>79-00-5</w:t>
                  </w:r>
                </w:p>
              </w:tc>
              <w:tc>
                <w:tcPr>
                  <w:tcW w:w="991" w:type="pct"/>
                  <w:vAlign w:val="center"/>
                </w:tcPr>
                <w:p>
                  <w:pPr>
                    <w:pStyle w:val="47"/>
                  </w:pPr>
                  <w:r>
                    <w:t>2.8</w:t>
                  </w:r>
                </w:p>
              </w:tc>
              <w:tc>
                <w:tcPr>
                  <w:tcW w:w="806" w:type="pct"/>
                  <w:vAlign w:val="center"/>
                </w:tcPr>
                <w:p>
                  <w:pPr>
                    <w:pStyle w:val="47"/>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pct"/>
                  <w:vAlign w:val="center"/>
                </w:tcPr>
                <w:p>
                  <w:pPr>
                    <w:pStyle w:val="47"/>
                  </w:pPr>
                  <w:r>
                    <w:t>23</w:t>
                  </w:r>
                </w:p>
              </w:tc>
              <w:tc>
                <w:tcPr>
                  <w:tcW w:w="1410" w:type="pct"/>
                  <w:vAlign w:val="center"/>
                </w:tcPr>
                <w:p>
                  <w:pPr>
                    <w:pStyle w:val="47"/>
                  </w:pPr>
                  <w:r>
                    <w:rPr>
                      <w:rFonts w:hint="eastAsia"/>
                    </w:rPr>
                    <w:t>三氯乙烯</w:t>
                  </w:r>
                </w:p>
              </w:tc>
              <w:tc>
                <w:tcPr>
                  <w:tcW w:w="1204" w:type="pct"/>
                  <w:vAlign w:val="center"/>
                </w:tcPr>
                <w:p>
                  <w:pPr>
                    <w:pStyle w:val="47"/>
                  </w:pPr>
                  <w:r>
                    <w:t>79-01-6</w:t>
                  </w:r>
                </w:p>
              </w:tc>
              <w:tc>
                <w:tcPr>
                  <w:tcW w:w="991" w:type="pct"/>
                  <w:vAlign w:val="center"/>
                </w:tcPr>
                <w:p>
                  <w:pPr>
                    <w:pStyle w:val="47"/>
                  </w:pPr>
                  <w:r>
                    <w:t>2.8</w:t>
                  </w:r>
                </w:p>
              </w:tc>
              <w:tc>
                <w:tcPr>
                  <w:tcW w:w="806" w:type="pct"/>
                  <w:vAlign w:val="center"/>
                </w:tcPr>
                <w:p>
                  <w:pPr>
                    <w:pStyle w:val="47"/>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pct"/>
                  <w:vAlign w:val="center"/>
                </w:tcPr>
                <w:p>
                  <w:pPr>
                    <w:pStyle w:val="47"/>
                  </w:pPr>
                  <w:r>
                    <w:t>24</w:t>
                  </w:r>
                </w:p>
              </w:tc>
              <w:tc>
                <w:tcPr>
                  <w:tcW w:w="1410" w:type="pct"/>
                  <w:vAlign w:val="center"/>
                </w:tcPr>
                <w:p>
                  <w:pPr>
                    <w:pStyle w:val="47"/>
                  </w:pPr>
                  <w:r>
                    <w:t>1,2,3-</w:t>
                  </w:r>
                  <w:r>
                    <w:rPr>
                      <w:rFonts w:hint="eastAsia"/>
                    </w:rPr>
                    <w:t>三氯丙烷</w:t>
                  </w:r>
                </w:p>
              </w:tc>
              <w:tc>
                <w:tcPr>
                  <w:tcW w:w="1204" w:type="pct"/>
                  <w:vAlign w:val="center"/>
                </w:tcPr>
                <w:p>
                  <w:pPr>
                    <w:pStyle w:val="47"/>
                  </w:pPr>
                  <w:r>
                    <w:t>96-18-4</w:t>
                  </w:r>
                </w:p>
              </w:tc>
              <w:tc>
                <w:tcPr>
                  <w:tcW w:w="991" w:type="pct"/>
                  <w:vAlign w:val="center"/>
                </w:tcPr>
                <w:p>
                  <w:pPr>
                    <w:pStyle w:val="47"/>
                  </w:pPr>
                  <w:r>
                    <w:t>0.5</w:t>
                  </w:r>
                </w:p>
              </w:tc>
              <w:tc>
                <w:tcPr>
                  <w:tcW w:w="806" w:type="pct"/>
                  <w:vAlign w:val="center"/>
                </w:tcPr>
                <w:p>
                  <w:pPr>
                    <w:pStyle w:val="47"/>
                  </w:pP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pct"/>
                  <w:vAlign w:val="center"/>
                </w:tcPr>
                <w:p>
                  <w:pPr>
                    <w:pStyle w:val="47"/>
                  </w:pPr>
                  <w:r>
                    <w:t>25</w:t>
                  </w:r>
                </w:p>
              </w:tc>
              <w:tc>
                <w:tcPr>
                  <w:tcW w:w="1410" w:type="pct"/>
                  <w:vAlign w:val="center"/>
                </w:tcPr>
                <w:p>
                  <w:pPr>
                    <w:pStyle w:val="47"/>
                  </w:pPr>
                  <w:r>
                    <w:rPr>
                      <w:rFonts w:hint="eastAsia"/>
                    </w:rPr>
                    <w:t>氯乙烯</w:t>
                  </w:r>
                </w:p>
              </w:tc>
              <w:tc>
                <w:tcPr>
                  <w:tcW w:w="1204" w:type="pct"/>
                  <w:vAlign w:val="center"/>
                </w:tcPr>
                <w:p>
                  <w:pPr>
                    <w:pStyle w:val="47"/>
                  </w:pPr>
                  <w:r>
                    <w:t>75-01-4</w:t>
                  </w:r>
                </w:p>
              </w:tc>
              <w:tc>
                <w:tcPr>
                  <w:tcW w:w="991" w:type="pct"/>
                  <w:vAlign w:val="center"/>
                </w:tcPr>
                <w:p>
                  <w:pPr>
                    <w:pStyle w:val="47"/>
                  </w:pPr>
                  <w:r>
                    <w:t>0.43</w:t>
                  </w:r>
                </w:p>
              </w:tc>
              <w:tc>
                <w:tcPr>
                  <w:tcW w:w="806" w:type="pct"/>
                  <w:vAlign w:val="center"/>
                </w:tcPr>
                <w:p>
                  <w:pPr>
                    <w:pStyle w:val="47"/>
                  </w:pPr>
                  <w: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pct"/>
                  <w:vAlign w:val="center"/>
                </w:tcPr>
                <w:p>
                  <w:pPr>
                    <w:pStyle w:val="47"/>
                  </w:pPr>
                  <w:r>
                    <w:t>26</w:t>
                  </w:r>
                </w:p>
              </w:tc>
              <w:tc>
                <w:tcPr>
                  <w:tcW w:w="1410" w:type="pct"/>
                  <w:vAlign w:val="center"/>
                </w:tcPr>
                <w:p>
                  <w:pPr>
                    <w:pStyle w:val="47"/>
                  </w:pPr>
                  <w:r>
                    <w:rPr>
                      <w:rFonts w:hint="eastAsia"/>
                    </w:rPr>
                    <w:t>苯</w:t>
                  </w:r>
                </w:p>
              </w:tc>
              <w:tc>
                <w:tcPr>
                  <w:tcW w:w="1204" w:type="pct"/>
                  <w:vAlign w:val="center"/>
                </w:tcPr>
                <w:p>
                  <w:pPr>
                    <w:pStyle w:val="47"/>
                  </w:pPr>
                  <w:r>
                    <w:t>71-43-2</w:t>
                  </w:r>
                </w:p>
              </w:tc>
              <w:tc>
                <w:tcPr>
                  <w:tcW w:w="991" w:type="pct"/>
                  <w:vAlign w:val="center"/>
                </w:tcPr>
                <w:p>
                  <w:pPr>
                    <w:pStyle w:val="47"/>
                  </w:pPr>
                  <w:r>
                    <w:t>4</w:t>
                  </w:r>
                </w:p>
              </w:tc>
              <w:tc>
                <w:tcPr>
                  <w:tcW w:w="806" w:type="pct"/>
                  <w:vAlign w:val="center"/>
                </w:tcPr>
                <w:p>
                  <w:pPr>
                    <w:pStyle w:val="47"/>
                  </w:pPr>
                  <w: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pct"/>
                  <w:vAlign w:val="center"/>
                </w:tcPr>
                <w:p>
                  <w:pPr>
                    <w:pStyle w:val="47"/>
                  </w:pPr>
                  <w:r>
                    <w:t>27</w:t>
                  </w:r>
                </w:p>
              </w:tc>
              <w:tc>
                <w:tcPr>
                  <w:tcW w:w="1410" w:type="pct"/>
                  <w:vAlign w:val="center"/>
                </w:tcPr>
                <w:p>
                  <w:pPr>
                    <w:pStyle w:val="47"/>
                  </w:pPr>
                  <w:r>
                    <w:rPr>
                      <w:rFonts w:hint="eastAsia"/>
                    </w:rPr>
                    <w:t>氯苯</w:t>
                  </w:r>
                </w:p>
              </w:tc>
              <w:tc>
                <w:tcPr>
                  <w:tcW w:w="1204" w:type="pct"/>
                  <w:vAlign w:val="center"/>
                </w:tcPr>
                <w:p>
                  <w:pPr>
                    <w:pStyle w:val="47"/>
                  </w:pPr>
                  <w:r>
                    <w:t>108-90-7</w:t>
                  </w:r>
                </w:p>
              </w:tc>
              <w:tc>
                <w:tcPr>
                  <w:tcW w:w="991" w:type="pct"/>
                  <w:vAlign w:val="center"/>
                </w:tcPr>
                <w:p>
                  <w:pPr>
                    <w:pStyle w:val="47"/>
                  </w:pPr>
                  <w:r>
                    <w:t>270</w:t>
                  </w:r>
                </w:p>
              </w:tc>
              <w:tc>
                <w:tcPr>
                  <w:tcW w:w="806" w:type="pct"/>
                  <w:vAlign w:val="center"/>
                </w:tcPr>
                <w:p>
                  <w:pPr>
                    <w:pStyle w:val="47"/>
                  </w:pPr>
                  <w:r>
                    <w:t>1000</w:t>
                  </w:r>
                </w:p>
              </w:tc>
            </w:tr>
            <w:tr>
              <w:tblPrEx>
                <w:tblCellMar>
                  <w:top w:w="0" w:type="dxa"/>
                  <w:left w:w="108" w:type="dxa"/>
                  <w:bottom w:w="0" w:type="dxa"/>
                  <w:right w:w="108" w:type="dxa"/>
                </w:tblCellMar>
              </w:tblPrEx>
              <w:trPr>
                <w:trHeight w:val="312" w:hRule="atLeast"/>
                <w:jc w:val="center"/>
              </w:trPr>
              <w:tc>
                <w:tcPr>
                  <w:tcW w:w="588" w:type="pct"/>
                  <w:vAlign w:val="center"/>
                </w:tcPr>
                <w:p>
                  <w:pPr>
                    <w:pStyle w:val="47"/>
                  </w:pPr>
                  <w:r>
                    <w:t>28</w:t>
                  </w:r>
                </w:p>
              </w:tc>
              <w:tc>
                <w:tcPr>
                  <w:tcW w:w="1410" w:type="pct"/>
                  <w:vAlign w:val="center"/>
                </w:tcPr>
                <w:p>
                  <w:pPr>
                    <w:pStyle w:val="47"/>
                  </w:pPr>
                  <w:r>
                    <w:t>1,2-</w:t>
                  </w:r>
                  <w:r>
                    <w:rPr>
                      <w:rFonts w:hint="eastAsia"/>
                    </w:rPr>
                    <w:t>二氯苯</w:t>
                  </w:r>
                </w:p>
              </w:tc>
              <w:tc>
                <w:tcPr>
                  <w:tcW w:w="1204" w:type="pct"/>
                  <w:vAlign w:val="center"/>
                </w:tcPr>
                <w:p>
                  <w:pPr>
                    <w:pStyle w:val="47"/>
                  </w:pPr>
                  <w:r>
                    <w:t>95-50-1</w:t>
                  </w:r>
                </w:p>
              </w:tc>
              <w:tc>
                <w:tcPr>
                  <w:tcW w:w="991" w:type="pct"/>
                  <w:vAlign w:val="center"/>
                </w:tcPr>
                <w:p>
                  <w:pPr>
                    <w:pStyle w:val="47"/>
                  </w:pPr>
                  <w:r>
                    <w:t>560</w:t>
                  </w:r>
                </w:p>
              </w:tc>
              <w:tc>
                <w:tcPr>
                  <w:tcW w:w="806" w:type="pct"/>
                  <w:vAlign w:val="center"/>
                </w:tcPr>
                <w:p>
                  <w:pPr>
                    <w:pStyle w:val="47"/>
                  </w:pPr>
                  <w: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pct"/>
                  <w:vAlign w:val="center"/>
                </w:tcPr>
                <w:p>
                  <w:pPr>
                    <w:pStyle w:val="47"/>
                  </w:pPr>
                  <w:r>
                    <w:t>29</w:t>
                  </w:r>
                </w:p>
              </w:tc>
              <w:tc>
                <w:tcPr>
                  <w:tcW w:w="1410" w:type="pct"/>
                  <w:vAlign w:val="center"/>
                </w:tcPr>
                <w:p>
                  <w:pPr>
                    <w:pStyle w:val="47"/>
                  </w:pPr>
                  <w:r>
                    <w:t>1,4-</w:t>
                  </w:r>
                  <w:r>
                    <w:rPr>
                      <w:rFonts w:hint="eastAsia"/>
                    </w:rPr>
                    <w:t>二氯苯</w:t>
                  </w:r>
                </w:p>
              </w:tc>
              <w:tc>
                <w:tcPr>
                  <w:tcW w:w="1204" w:type="pct"/>
                  <w:vAlign w:val="center"/>
                </w:tcPr>
                <w:p>
                  <w:pPr>
                    <w:pStyle w:val="47"/>
                  </w:pPr>
                  <w:r>
                    <w:t>106-46-7</w:t>
                  </w:r>
                </w:p>
              </w:tc>
              <w:tc>
                <w:tcPr>
                  <w:tcW w:w="991" w:type="pct"/>
                  <w:vAlign w:val="center"/>
                </w:tcPr>
                <w:p>
                  <w:pPr>
                    <w:pStyle w:val="47"/>
                  </w:pPr>
                  <w:r>
                    <w:t>20</w:t>
                  </w:r>
                </w:p>
              </w:tc>
              <w:tc>
                <w:tcPr>
                  <w:tcW w:w="806" w:type="pct"/>
                  <w:vAlign w:val="center"/>
                </w:tcPr>
                <w:p>
                  <w:pPr>
                    <w:pStyle w:val="47"/>
                  </w:pPr>
                  <w: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pct"/>
                  <w:vAlign w:val="center"/>
                </w:tcPr>
                <w:p>
                  <w:pPr>
                    <w:pStyle w:val="47"/>
                  </w:pPr>
                  <w:r>
                    <w:t>30</w:t>
                  </w:r>
                </w:p>
              </w:tc>
              <w:tc>
                <w:tcPr>
                  <w:tcW w:w="1410" w:type="pct"/>
                  <w:vAlign w:val="center"/>
                </w:tcPr>
                <w:p>
                  <w:pPr>
                    <w:pStyle w:val="47"/>
                  </w:pPr>
                  <w:r>
                    <w:rPr>
                      <w:rFonts w:hint="eastAsia"/>
                    </w:rPr>
                    <w:t>乙苯</w:t>
                  </w:r>
                </w:p>
              </w:tc>
              <w:tc>
                <w:tcPr>
                  <w:tcW w:w="1204" w:type="pct"/>
                  <w:vAlign w:val="center"/>
                </w:tcPr>
                <w:p>
                  <w:pPr>
                    <w:pStyle w:val="47"/>
                  </w:pPr>
                  <w:r>
                    <w:t>100-41-4</w:t>
                  </w:r>
                </w:p>
              </w:tc>
              <w:tc>
                <w:tcPr>
                  <w:tcW w:w="991" w:type="pct"/>
                  <w:vAlign w:val="center"/>
                </w:tcPr>
                <w:p>
                  <w:pPr>
                    <w:pStyle w:val="47"/>
                  </w:pPr>
                  <w:r>
                    <w:t>28</w:t>
                  </w:r>
                </w:p>
              </w:tc>
              <w:tc>
                <w:tcPr>
                  <w:tcW w:w="806" w:type="pct"/>
                  <w:vAlign w:val="center"/>
                </w:tcPr>
                <w:p>
                  <w:pPr>
                    <w:pStyle w:val="47"/>
                  </w:pPr>
                  <w: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pct"/>
                  <w:vAlign w:val="center"/>
                </w:tcPr>
                <w:p>
                  <w:pPr>
                    <w:pStyle w:val="47"/>
                  </w:pPr>
                  <w:r>
                    <w:t>31</w:t>
                  </w:r>
                </w:p>
              </w:tc>
              <w:tc>
                <w:tcPr>
                  <w:tcW w:w="1410" w:type="pct"/>
                  <w:vAlign w:val="center"/>
                </w:tcPr>
                <w:p>
                  <w:pPr>
                    <w:pStyle w:val="47"/>
                  </w:pPr>
                  <w:r>
                    <w:rPr>
                      <w:rFonts w:hint="eastAsia"/>
                    </w:rPr>
                    <w:t>苯乙烯</w:t>
                  </w:r>
                </w:p>
              </w:tc>
              <w:tc>
                <w:tcPr>
                  <w:tcW w:w="1204" w:type="pct"/>
                  <w:vAlign w:val="center"/>
                </w:tcPr>
                <w:p>
                  <w:pPr>
                    <w:pStyle w:val="47"/>
                  </w:pPr>
                  <w:r>
                    <w:t>100-42-5</w:t>
                  </w:r>
                </w:p>
              </w:tc>
              <w:tc>
                <w:tcPr>
                  <w:tcW w:w="991" w:type="pct"/>
                  <w:vAlign w:val="center"/>
                </w:tcPr>
                <w:p>
                  <w:pPr>
                    <w:pStyle w:val="47"/>
                  </w:pPr>
                  <w:r>
                    <w:t>1290</w:t>
                  </w:r>
                </w:p>
              </w:tc>
              <w:tc>
                <w:tcPr>
                  <w:tcW w:w="806" w:type="pct"/>
                  <w:vAlign w:val="center"/>
                </w:tcPr>
                <w:p>
                  <w:pPr>
                    <w:pStyle w:val="47"/>
                  </w:pPr>
                  <w: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pct"/>
                  <w:vAlign w:val="center"/>
                </w:tcPr>
                <w:p>
                  <w:pPr>
                    <w:pStyle w:val="47"/>
                  </w:pPr>
                  <w:r>
                    <w:t>32</w:t>
                  </w:r>
                </w:p>
              </w:tc>
              <w:tc>
                <w:tcPr>
                  <w:tcW w:w="1410" w:type="pct"/>
                  <w:vAlign w:val="center"/>
                </w:tcPr>
                <w:p>
                  <w:pPr>
                    <w:pStyle w:val="47"/>
                  </w:pPr>
                  <w:r>
                    <w:rPr>
                      <w:rFonts w:hint="eastAsia"/>
                    </w:rPr>
                    <w:t>甲苯</w:t>
                  </w:r>
                </w:p>
              </w:tc>
              <w:tc>
                <w:tcPr>
                  <w:tcW w:w="1204" w:type="pct"/>
                  <w:vAlign w:val="center"/>
                </w:tcPr>
                <w:p>
                  <w:pPr>
                    <w:pStyle w:val="47"/>
                  </w:pPr>
                  <w:r>
                    <w:t>108-88-3</w:t>
                  </w:r>
                </w:p>
              </w:tc>
              <w:tc>
                <w:tcPr>
                  <w:tcW w:w="991" w:type="pct"/>
                  <w:vAlign w:val="center"/>
                </w:tcPr>
                <w:p>
                  <w:pPr>
                    <w:pStyle w:val="47"/>
                  </w:pPr>
                  <w:r>
                    <w:t>1200</w:t>
                  </w:r>
                </w:p>
              </w:tc>
              <w:tc>
                <w:tcPr>
                  <w:tcW w:w="806" w:type="pct"/>
                  <w:vAlign w:val="center"/>
                </w:tcPr>
                <w:p>
                  <w:pPr>
                    <w:pStyle w:val="47"/>
                  </w:pPr>
                  <w: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pct"/>
                  <w:vAlign w:val="center"/>
                </w:tcPr>
                <w:p>
                  <w:pPr>
                    <w:pStyle w:val="47"/>
                  </w:pPr>
                  <w:r>
                    <w:t>33</w:t>
                  </w:r>
                </w:p>
              </w:tc>
              <w:tc>
                <w:tcPr>
                  <w:tcW w:w="1410" w:type="pct"/>
                  <w:vAlign w:val="center"/>
                </w:tcPr>
                <w:p>
                  <w:pPr>
                    <w:pStyle w:val="47"/>
                  </w:pPr>
                  <w:r>
                    <w:rPr>
                      <w:rFonts w:hint="eastAsia"/>
                    </w:rPr>
                    <w:t>间二甲苯</w:t>
                  </w:r>
                  <w:r>
                    <w:t>+</w:t>
                  </w:r>
                  <w:r>
                    <w:rPr>
                      <w:rFonts w:hint="eastAsia"/>
                    </w:rPr>
                    <w:t>对二甲苯</w:t>
                  </w:r>
                </w:p>
              </w:tc>
              <w:tc>
                <w:tcPr>
                  <w:tcW w:w="1204" w:type="pct"/>
                  <w:vAlign w:val="center"/>
                </w:tcPr>
                <w:p>
                  <w:pPr>
                    <w:pStyle w:val="47"/>
                  </w:pPr>
                  <w:r>
                    <w:t>108-38-3,106-42-3</w:t>
                  </w:r>
                </w:p>
              </w:tc>
              <w:tc>
                <w:tcPr>
                  <w:tcW w:w="991" w:type="pct"/>
                  <w:vAlign w:val="center"/>
                </w:tcPr>
                <w:p>
                  <w:pPr>
                    <w:pStyle w:val="47"/>
                  </w:pPr>
                  <w:r>
                    <w:t>570</w:t>
                  </w:r>
                </w:p>
              </w:tc>
              <w:tc>
                <w:tcPr>
                  <w:tcW w:w="806" w:type="pct"/>
                  <w:vAlign w:val="center"/>
                </w:tcPr>
                <w:p>
                  <w:pPr>
                    <w:pStyle w:val="47"/>
                  </w:pPr>
                  <w: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pct"/>
                  <w:vAlign w:val="center"/>
                </w:tcPr>
                <w:p>
                  <w:pPr>
                    <w:pStyle w:val="47"/>
                  </w:pPr>
                  <w:r>
                    <w:t>34</w:t>
                  </w:r>
                </w:p>
              </w:tc>
              <w:tc>
                <w:tcPr>
                  <w:tcW w:w="1410" w:type="pct"/>
                  <w:vAlign w:val="center"/>
                </w:tcPr>
                <w:p>
                  <w:pPr>
                    <w:pStyle w:val="47"/>
                  </w:pPr>
                  <w:r>
                    <w:rPr>
                      <w:rFonts w:hint="eastAsia"/>
                    </w:rPr>
                    <w:t>邻二甲苯</w:t>
                  </w:r>
                </w:p>
              </w:tc>
              <w:tc>
                <w:tcPr>
                  <w:tcW w:w="1204" w:type="pct"/>
                  <w:vAlign w:val="center"/>
                </w:tcPr>
                <w:p>
                  <w:pPr>
                    <w:pStyle w:val="47"/>
                  </w:pPr>
                  <w:r>
                    <w:t>95-47-6</w:t>
                  </w:r>
                </w:p>
              </w:tc>
              <w:tc>
                <w:tcPr>
                  <w:tcW w:w="991" w:type="pct"/>
                  <w:vAlign w:val="center"/>
                </w:tcPr>
                <w:p>
                  <w:pPr>
                    <w:pStyle w:val="47"/>
                  </w:pPr>
                  <w:r>
                    <w:t>640</w:t>
                  </w:r>
                </w:p>
              </w:tc>
              <w:tc>
                <w:tcPr>
                  <w:tcW w:w="806" w:type="pct"/>
                  <w:vAlign w:val="center"/>
                </w:tcPr>
                <w:p>
                  <w:pPr>
                    <w:pStyle w:val="47"/>
                  </w:pPr>
                  <w: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00" w:type="pct"/>
                  <w:gridSpan w:val="5"/>
                  <w:vAlign w:val="center"/>
                </w:tcPr>
                <w:p>
                  <w:pPr>
                    <w:pStyle w:val="47"/>
                  </w:pPr>
                  <w:r>
                    <w:rPr>
                      <w:rFonts w:hint="eastAsia"/>
                    </w:rPr>
                    <w:t>半挥发性有机物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pct"/>
                  <w:vAlign w:val="center"/>
                </w:tcPr>
                <w:p>
                  <w:pPr>
                    <w:pStyle w:val="47"/>
                  </w:pPr>
                  <w:r>
                    <w:t>35</w:t>
                  </w:r>
                </w:p>
              </w:tc>
              <w:tc>
                <w:tcPr>
                  <w:tcW w:w="1410" w:type="pct"/>
                  <w:vAlign w:val="center"/>
                </w:tcPr>
                <w:p>
                  <w:pPr>
                    <w:pStyle w:val="47"/>
                  </w:pPr>
                  <w:r>
                    <w:rPr>
                      <w:rFonts w:hint="eastAsia"/>
                    </w:rPr>
                    <w:t>硝基苯</w:t>
                  </w:r>
                </w:p>
              </w:tc>
              <w:tc>
                <w:tcPr>
                  <w:tcW w:w="1204" w:type="pct"/>
                  <w:vAlign w:val="center"/>
                </w:tcPr>
                <w:p>
                  <w:pPr>
                    <w:pStyle w:val="47"/>
                  </w:pPr>
                  <w:r>
                    <w:t>98-95-3</w:t>
                  </w:r>
                </w:p>
              </w:tc>
              <w:tc>
                <w:tcPr>
                  <w:tcW w:w="991" w:type="pct"/>
                  <w:vAlign w:val="center"/>
                </w:tcPr>
                <w:p>
                  <w:pPr>
                    <w:pStyle w:val="47"/>
                  </w:pPr>
                  <w:r>
                    <w:t>76</w:t>
                  </w:r>
                </w:p>
              </w:tc>
              <w:tc>
                <w:tcPr>
                  <w:tcW w:w="806" w:type="pct"/>
                  <w:vAlign w:val="center"/>
                </w:tcPr>
                <w:p>
                  <w:pPr>
                    <w:pStyle w:val="47"/>
                  </w:pPr>
                  <w:r>
                    <w:t>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pct"/>
                  <w:vAlign w:val="center"/>
                </w:tcPr>
                <w:p>
                  <w:pPr>
                    <w:pStyle w:val="47"/>
                  </w:pPr>
                  <w:r>
                    <w:t>36</w:t>
                  </w:r>
                </w:p>
              </w:tc>
              <w:tc>
                <w:tcPr>
                  <w:tcW w:w="1410" w:type="pct"/>
                  <w:vAlign w:val="center"/>
                </w:tcPr>
                <w:p>
                  <w:pPr>
                    <w:pStyle w:val="47"/>
                  </w:pPr>
                  <w:r>
                    <w:rPr>
                      <w:rFonts w:hint="eastAsia"/>
                    </w:rPr>
                    <w:t>苯胺</w:t>
                  </w:r>
                </w:p>
              </w:tc>
              <w:tc>
                <w:tcPr>
                  <w:tcW w:w="1204" w:type="pct"/>
                  <w:vAlign w:val="center"/>
                </w:tcPr>
                <w:p>
                  <w:pPr>
                    <w:pStyle w:val="47"/>
                  </w:pPr>
                  <w:r>
                    <w:t>62-53-3</w:t>
                  </w:r>
                </w:p>
              </w:tc>
              <w:tc>
                <w:tcPr>
                  <w:tcW w:w="991" w:type="pct"/>
                  <w:vAlign w:val="center"/>
                </w:tcPr>
                <w:p>
                  <w:pPr>
                    <w:pStyle w:val="47"/>
                  </w:pPr>
                  <w:r>
                    <w:t>260</w:t>
                  </w:r>
                </w:p>
              </w:tc>
              <w:tc>
                <w:tcPr>
                  <w:tcW w:w="806" w:type="pct"/>
                  <w:vAlign w:val="center"/>
                </w:tcPr>
                <w:p>
                  <w:pPr>
                    <w:pStyle w:val="47"/>
                  </w:pPr>
                  <w:r>
                    <w:t>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pct"/>
                  <w:vAlign w:val="center"/>
                </w:tcPr>
                <w:p>
                  <w:pPr>
                    <w:pStyle w:val="47"/>
                  </w:pPr>
                  <w:r>
                    <w:t>37</w:t>
                  </w:r>
                </w:p>
              </w:tc>
              <w:tc>
                <w:tcPr>
                  <w:tcW w:w="1410" w:type="pct"/>
                  <w:vAlign w:val="center"/>
                </w:tcPr>
                <w:p>
                  <w:pPr>
                    <w:pStyle w:val="47"/>
                  </w:pPr>
                  <w:r>
                    <w:t>2-</w:t>
                  </w:r>
                  <w:r>
                    <w:rPr>
                      <w:rFonts w:hint="eastAsia"/>
                    </w:rPr>
                    <w:t>氯酚</w:t>
                  </w:r>
                </w:p>
              </w:tc>
              <w:tc>
                <w:tcPr>
                  <w:tcW w:w="1204" w:type="pct"/>
                  <w:vAlign w:val="center"/>
                </w:tcPr>
                <w:p>
                  <w:pPr>
                    <w:pStyle w:val="47"/>
                  </w:pPr>
                  <w:r>
                    <w:t>95-57-8</w:t>
                  </w:r>
                </w:p>
              </w:tc>
              <w:tc>
                <w:tcPr>
                  <w:tcW w:w="991" w:type="pct"/>
                  <w:vAlign w:val="center"/>
                </w:tcPr>
                <w:p>
                  <w:pPr>
                    <w:pStyle w:val="47"/>
                  </w:pPr>
                  <w:r>
                    <w:t>2256</w:t>
                  </w:r>
                </w:p>
              </w:tc>
              <w:tc>
                <w:tcPr>
                  <w:tcW w:w="806" w:type="pct"/>
                  <w:vAlign w:val="center"/>
                </w:tcPr>
                <w:p>
                  <w:pPr>
                    <w:pStyle w:val="47"/>
                  </w:pPr>
                  <w: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pct"/>
                  <w:vAlign w:val="center"/>
                </w:tcPr>
                <w:p>
                  <w:pPr>
                    <w:pStyle w:val="47"/>
                  </w:pPr>
                  <w:r>
                    <w:t>38</w:t>
                  </w:r>
                </w:p>
              </w:tc>
              <w:tc>
                <w:tcPr>
                  <w:tcW w:w="1410" w:type="pct"/>
                  <w:vAlign w:val="center"/>
                </w:tcPr>
                <w:p>
                  <w:pPr>
                    <w:pStyle w:val="47"/>
                  </w:pPr>
                  <w:r>
                    <w:rPr>
                      <w:rFonts w:hint="eastAsia"/>
                    </w:rPr>
                    <w:t>苯并</w:t>
                  </w:r>
                  <w:r>
                    <w:t>[a]</w:t>
                  </w:r>
                  <w:r>
                    <w:rPr>
                      <w:rFonts w:hint="eastAsia"/>
                    </w:rPr>
                    <w:t>蒽</w:t>
                  </w:r>
                </w:p>
              </w:tc>
              <w:tc>
                <w:tcPr>
                  <w:tcW w:w="1204" w:type="pct"/>
                  <w:vAlign w:val="center"/>
                </w:tcPr>
                <w:p>
                  <w:pPr>
                    <w:pStyle w:val="47"/>
                  </w:pPr>
                  <w:r>
                    <w:t>56-55-3</w:t>
                  </w:r>
                </w:p>
              </w:tc>
              <w:tc>
                <w:tcPr>
                  <w:tcW w:w="991" w:type="pct"/>
                  <w:vAlign w:val="center"/>
                </w:tcPr>
                <w:p>
                  <w:pPr>
                    <w:pStyle w:val="47"/>
                  </w:pPr>
                  <w:r>
                    <w:t>1.5</w:t>
                  </w:r>
                </w:p>
              </w:tc>
              <w:tc>
                <w:tcPr>
                  <w:tcW w:w="806" w:type="pct"/>
                  <w:vAlign w:val="center"/>
                </w:tcPr>
                <w:p>
                  <w:pPr>
                    <w:pStyle w:val="47"/>
                  </w:pPr>
                  <w: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pct"/>
                  <w:vAlign w:val="center"/>
                </w:tcPr>
                <w:p>
                  <w:pPr>
                    <w:pStyle w:val="47"/>
                  </w:pPr>
                  <w:r>
                    <w:t>39</w:t>
                  </w:r>
                </w:p>
              </w:tc>
              <w:tc>
                <w:tcPr>
                  <w:tcW w:w="1410" w:type="pct"/>
                  <w:vAlign w:val="center"/>
                </w:tcPr>
                <w:p>
                  <w:pPr>
                    <w:pStyle w:val="47"/>
                  </w:pPr>
                  <w:r>
                    <w:rPr>
                      <w:rFonts w:hint="eastAsia"/>
                    </w:rPr>
                    <w:t>苯并</w:t>
                  </w:r>
                  <w:r>
                    <w:t>[a]</w:t>
                  </w:r>
                  <w:r>
                    <w:rPr>
                      <w:rFonts w:hint="eastAsia"/>
                    </w:rPr>
                    <w:t>芘</w:t>
                  </w:r>
                </w:p>
              </w:tc>
              <w:tc>
                <w:tcPr>
                  <w:tcW w:w="1204" w:type="pct"/>
                  <w:vAlign w:val="center"/>
                </w:tcPr>
                <w:p>
                  <w:pPr>
                    <w:pStyle w:val="47"/>
                  </w:pPr>
                  <w:r>
                    <w:t>50-32-8</w:t>
                  </w:r>
                </w:p>
              </w:tc>
              <w:tc>
                <w:tcPr>
                  <w:tcW w:w="991" w:type="pct"/>
                  <w:vAlign w:val="center"/>
                </w:tcPr>
                <w:p>
                  <w:pPr>
                    <w:pStyle w:val="47"/>
                  </w:pPr>
                  <w:r>
                    <w:t>1.5</w:t>
                  </w:r>
                </w:p>
              </w:tc>
              <w:tc>
                <w:tcPr>
                  <w:tcW w:w="806" w:type="pct"/>
                  <w:vAlign w:val="center"/>
                </w:tcPr>
                <w:p>
                  <w:pPr>
                    <w:pStyle w:val="47"/>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pct"/>
                  <w:vAlign w:val="center"/>
                </w:tcPr>
                <w:p>
                  <w:pPr>
                    <w:pStyle w:val="47"/>
                  </w:pPr>
                  <w:r>
                    <w:t>40</w:t>
                  </w:r>
                </w:p>
              </w:tc>
              <w:tc>
                <w:tcPr>
                  <w:tcW w:w="1410" w:type="pct"/>
                  <w:vAlign w:val="center"/>
                </w:tcPr>
                <w:p>
                  <w:pPr>
                    <w:pStyle w:val="47"/>
                  </w:pPr>
                  <w:r>
                    <w:rPr>
                      <w:rFonts w:hint="eastAsia"/>
                    </w:rPr>
                    <w:t>苯并</w:t>
                  </w:r>
                  <w:r>
                    <w:t>[b]</w:t>
                  </w:r>
                  <w:r>
                    <w:rPr>
                      <w:rFonts w:hint="eastAsia"/>
                    </w:rPr>
                    <w:t>荧蒽</w:t>
                  </w:r>
                </w:p>
              </w:tc>
              <w:tc>
                <w:tcPr>
                  <w:tcW w:w="1204" w:type="pct"/>
                  <w:vAlign w:val="center"/>
                </w:tcPr>
                <w:p>
                  <w:pPr>
                    <w:pStyle w:val="47"/>
                  </w:pPr>
                  <w:r>
                    <w:t>205-99-2</w:t>
                  </w:r>
                </w:p>
              </w:tc>
              <w:tc>
                <w:tcPr>
                  <w:tcW w:w="991" w:type="pct"/>
                  <w:vAlign w:val="center"/>
                </w:tcPr>
                <w:p>
                  <w:pPr>
                    <w:pStyle w:val="47"/>
                  </w:pPr>
                  <w:r>
                    <w:t>15</w:t>
                  </w:r>
                </w:p>
              </w:tc>
              <w:tc>
                <w:tcPr>
                  <w:tcW w:w="806" w:type="pct"/>
                  <w:vAlign w:val="center"/>
                </w:tcPr>
                <w:p>
                  <w:pPr>
                    <w:pStyle w:val="47"/>
                  </w:pPr>
                  <w: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pct"/>
                  <w:vAlign w:val="center"/>
                </w:tcPr>
                <w:p>
                  <w:pPr>
                    <w:pStyle w:val="47"/>
                  </w:pPr>
                  <w:r>
                    <w:t>41</w:t>
                  </w:r>
                </w:p>
              </w:tc>
              <w:tc>
                <w:tcPr>
                  <w:tcW w:w="1410" w:type="pct"/>
                  <w:vAlign w:val="center"/>
                </w:tcPr>
                <w:p>
                  <w:pPr>
                    <w:pStyle w:val="47"/>
                  </w:pPr>
                  <w:r>
                    <w:rPr>
                      <w:rFonts w:hint="eastAsia"/>
                    </w:rPr>
                    <w:t>苯并</w:t>
                  </w:r>
                  <w:r>
                    <w:t>[k]</w:t>
                  </w:r>
                  <w:r>
                    <w:rPr>
                      <w:rFonts w:hint="eastAsia"/>
                    </w:rPr>
                    <w:t>荧蒽</w:t>
                  </w:r>
                </w:p>
              </w:tc>
              <w:tc>
                <w:tcPr>
                  <w:tcW w:w="1204" w:type="pct"/>
                  <w:vAlign w:val="center"/>
                </w:tcPr>
                <w:p>
                  <w:pPr>
                    <w:pStyle w:val="47"/>
                  </w:pPr>
                  <w:r>
                    <w:t>207-08-9</w:t>
                  </w:r>
                </w:p>
              </w:tc>
              <w:tc>
                <w:tcPr>
                  <w:tcW w:w="991" w:type="pct"/>
                  <w:vAlign w:val="center"/>
                </w:tcPr>
                <w:p>
                  <w:pPr>
                    <w:pStyle w:val="47"/>
                  </w:pPr>
                  <w:r>
                    <w:t>151</w:t>
                  </w:r>
                </w:p>
              </w:tc>
              <w:tc>
                <w:tcPr>
                  <w:tcW w:w="806" w:type="pct"/>
                  <w:vAlign w:val="center"/>
                </w:tcPr>
                <w:p>
                  <w:pPr>
                    <w:pStyle w:val="47"/>
                  </w:pPr>
                  <w: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pct"/>
                  <w:vAlign w:val="center"/>
                </w:tcPr>
                <w:p>
                  <w:pPr>
                    <w:pStyle w:val="47"/>
                  </w:pPr>
                  <w:r>
                    <w:t>42</w:t>
                  </w:r>
                </w:p>
              </w:tc>
              <w:tc>
                <w:tcPr>
                  <w:tcW w:w="1410" w:type="pct"/>
                  <w:vAlign w:val="center"/>
                </w:tcPr>
                <w:p>
                  <w:pPr>
                    <w:pStyle w:val="47"/>
                  </w:pPr>
                  <w:r>
                    <w:rPr>
                      <w:rFonts w:hint="eastAsia"/>
                    </w:rPr>
                    <w:t>䓛</w:t>
                  </w:r>
                </w:p>
              </w:tc>
              <w:tc>
                <w:tcPr>
                  <w:tcW w:w="1204" w:type="pct"/>
                  <w:vAlign w:val="center"/>
                </w:tcPr>
                <w:p>
                  <w:pPr>
                    <w:pStyle w:val="47"/>
                  </w:pPr>
                  <w:r>
                    <w:t>218-01-9</w:t>
                  </w:r>
                </w:p>
              </w:tc>
              <w:tc>
                <w:tcPr>
                  <w:tcW w:w="991" w:type="pct"/>
                  <w:vAlign w:val="center"/>
                </w:tcPr>
                <w:p>
                  <w:pPr>
                    <w:pStyle w:val="47"/>
                  </w:pPr>
                  <w:r>
                    <w:t>1293</w:t>
                  </w:r>
                </w:p>
              </w:tc>
              <w:tc>
                <w:tcPr>
                  <w:tcW w:w="806" w:type="pct"/>
                  <w:vAlign w:val="center"/>
                </w:tcPr>
                <w:p>
                  <w:pPr>
                    <w:pStyle w:val="47"/>
                  </w:pPr>
                  <w:r>
                    <w:t>12900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pct"/>
                  <w:vAlign w:val="center"/>
                </w:tcPr>
                <w:p>
                  <w:pPr>
                    <w:pStyle w:val="47"/>
                  </w:pPr>
                  <w:r>
                    <w:t>43</w:t>
                  </w:r>
                </w:p>
              </w:tc>
              <w:tc>
                <w:tcPr>
                  <w:tcW w:w="1410" w:type="pct"/>
                  <w:vAlign w:val="center"/>
                </w:tcPr>
                <w:p>
                  <w:pPr>
                    <w:pStyle w:val="47"/>
                  </w:pPr>
                  <w:r>
                    <w:rPr>
                      <w:rFonts w:hint="eastAsia"/>
                    </w:rPr>
                    <w:t>二苯并</w:t>
                  </w:r>
                  <w:r>
                    <w:t>[a,h]</w:t>
                  </w:r>
                  <w:r>
                    <w:rPr>
                      <w:rFonts w:hint="eastAsia"/>
                    </w:rPr>
                    <w:t>蒽</w:t>
                  </w:r>
                </w:p>
              </w:tc>
              <w:tc>
                <w:tcPr>
                  <w:tcW w:w="1204" w:type="pct"/>
                  <w:vAlign w:val="center"/>
                </w:tcPr>
                <w:p>
                  <w:pPr>
                    <w:pStyle w:val="47"/>
                  </w:pPr>
                  <w:r>
                    <w:t>53-70-3</w:t>
                  </w:r>
                </w:p>
              </w:tc>
              <w:tc>
                <w:tcPr>
                  <w:tcW w:w="991" w:type="pct"/>
                  <w:vAlign w:val="center"/>
                </w:tcPr>
                <w:p>
                  <w:pPr>
                    <w:pStyle w:val="47"/>
                  </w:pPr>
                  <w:r>
                    <w:t>1.5</w:t>
                  </w:r>
                </w:p>
              </w:tc>
              <w:tc>
                <w:tcPr>
                  <w:tcW w:w="806" w:type="pct"/>
                  <w:vAlign w:val="center"/>
                </w:tcPr>
                <w:p>
                  <w:pPr>
                    <w:pStyle w:val="47"/>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pct"/>
                  <w:vAlign w:val="center"/>
                </w:tcPr>
                <w:p>
                  <w:pPr>
                    <w:pStyle w:val="47"/>
                  </w:pPr>
                  <w:r>
                    <w:t>44</w:t>
                  </w:r>
                </w:p>
              </w:tc>
              <w:tc>
                <w:tcPr>
                  <w:tcW w:w="1410" w:type="pct"/>
                  <w:vAlign w:val="center"/>
                </w:tcPr>
                <w:p>
                  <w:pPr>
                    <w:pStyle w:val="47"/>
                  </w:pPr>
                  <w:r>
                    <w:rPr>
                      <w:rFonts w:hint="eastAsia"/>
                    </w:rPr>
                    <w:t>茚并</w:t>
                  </w:r>
                  <w:r>
                    <w:t>[1,2,3-cd]</w:t>
                  </w:r>
                  <w:r>
                    <w:rPr>
                      <w:rFonts w:hint="eastAsia"/>
                    </w:rPr>
                    <w:t>芘</w:t>
                  </w:r>
                </w:p>
              </w:tc>
              <w:tc>
                <w:tcPr>
                  <w:tcW w:w="1204" w:type="pct"/>
                  <w:vAlign w:val="center"/>
                </w:tcPr>
                <w:p>
                  <w:pPr>
                    <w:pStyle w:val="47"/>
                  </w:pPr>
                  <w:r>
                    <w:t>193-39-5</w:t>
                  </w:r>
                </w:p>
              </w:tc>
              <w:tc>
                <w:tcPr>
                  <w:tcW w:w="991" w:type="pct"/>
                  <w:vAlign w:val="center"/>
                </w:tcPr>
                <w:p>
                  <w:pPr>
                    <w:pStyle w:val="47"/>
                  </w:pPr>
                  <w:r>
                    <w:t>15</w:t>
                  </w:r>
                </w:p>
              </w:tc>
              <w:tc>
                <w:tcPr>
                  <w:tcW w:w="806" w:type="pct"/>
                  <w:vAlign w:val="center"/>
                </w:tcPr>
                <w:p>
                  <w:pPr>
                    <w:pStyle w:val="47"/>
                  </w:pPr>
                  <w: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pct"/>
                  <w:vAlign w:val="center"/>
                </w:tcPr>
                <w:p>
                  <w:pPr>
                    <w:pStyle w:val="47"/>
                  </w:pPr>
                  <w:r>
                    <w:t>45</w:t>
                  </w:r>
                </w:p>
              </w:tc>
              <w:tc>
                <w:tcPr>
                  <w:tcW w:w="1410" w:type="pct"/>
                  <w:vAlign w:val="center"/>
                </w:tcPr>
                <w:p>
                  <w:pPr>
                    <w:pStyle w:val="47"/>
                  </w:pPr>
                  <w:r>
                    <w:rPr>
                      <w:rFonts w:hint="eastAsia"/>
                    </w:rPr>
                    <w:t>奈</w:t>
                  </w:r>
                </w:p>
              </w:tc>
              <w:tc>
                <w:tcPr>
                  <w:tcW w:w="1204" w:type="pct"/>
                  <w:vAlign w:val="center"/>
                </w:tcPr>
                <w:p>
                  <w:pPr>
                    <w:pStyle w:val="47"/>
                  </w:pPr>
                  <w:r>
                    <w:t>91-20-3</w:t>
                  </w:r>
                </w:p>
              </w:tc>
              <w:tc>
                <w:tcPr>
                  <w:tcW w:w="991" w:type="pct"/>
                  <w:vAlign w:val="center"/>
                </w:tcPr>
                <w:p>
                  <w:pPr>
                    <w:pStyle w:val="47"/>
                  </w:pPr>
                  <w:r>
                    <w:t>70</w:t>
                  </w:r>
                </w:p>
              </w:tc>
              <w:tc>
                <w:tcPr>
                  <w:tcW w:w="806" w:type="pct"/>
                  <w:vAlign w:val="center"/>
                </w:tcPr>
                <w:p>
                  <w:pPr>
                    <w:pStyle w:val="47"/>
                  </w:pPr>
                  <w: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00" w:type="pct"/>
                  <w:gridSpan w:val="5"/>
                  <w:vAlign w:val="center"/>
                </w:tcPr>
                <w:p>
                  <w:pPr>
                    <w:pStyle w:val="47"/>
                  </w:pPr>
                  <w:r>
                    <w:rPr>
                      <w:rFonts w:hint="eastAsia"/>
                    </w:rPr>
                    <w:t>其他项目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8" w:type="pct"/>
                  <w:vAlign w:val="center"/>
                </w:tcPr>
                <w:p>
                  <w:pPr>
                    <w:pStyle w:val="47"/>
                  </w:pPr>
                  <w:r>
                    <w:rPr>
                      <w:rFonts w:hint="eastAsia"/>
                    </w:rPr>
                    <w:t>46</w:t>
                  </w:r>
                </w:p>
              </w:tc>
              <w:tc>
                <w:tcPr>
                  <w:tcW w:w="1410" w:type="pct"/>
                  <w:vAlign w:val="center"/>
                </w:tcPr>
                <w:p>
                  <w:pPr>
                    <w:pStyle w:val="47"/>
                  </w:pPr>
                  <w:r>
                    <w:rPr>
                      <w:rFonts w:hint="eastAsia"/>
                    </w:rPr>
                    <w:t>石油烃</w:t>
                  </w:r>
                </w:p>
              </w:tc>
              <w:tc>
                <w:tcPr>
                  <w:tcW w:w="1204" w:type="pct"/>
                  <w:vAlign w:val="center"/>
                </w:tcPr>
                <w:p>
                  <w:pPr>
                    <w:pStyle w:val="47"/>
                  </w:pPr>
                  <w:r>
                    <w:rPr>
                      <w:rFonts w:hint="eastAsia"/>
                    </w:rPr>
                    <w:t>-</w:t>
                  </w:r>
                </w:p>
              </w:tc>
              <w:tc>
                <w:tcPr>
                  <w:tcW w:w="991" w:type="pct"/>
                  <w:vAlign w:val="center"/>
                </w:tcPr>
                <w:p>
                  <w:pPr>
                    <w:pStyle w:val="47"/>
                  </w:pPr>
                  <w:r>
                    <w:rPr>
                      <w:rFonts w:hint="eastAsia"/>
                    </w:rPr>
                    <w:t>4500</w:t>
                  </w:r>
                </w:p>
              </w:tc>
              <w:tc>
                <w:tcPr>
                  <w:tcW w:w="806" w:type="pct"/>
                  <w:vAlign w:val="center"/>
                </w:tcPr>
                <w:p>
                  <w:pPr>
                    <w:pStyle w:val="47"/>
                  </w:pPr>
                  <w:r>
                    <w:rPr>
                      <w:rFonts w:hint="eastAsia"/>
                    </w:rPr>
                    <w:t>9000</w:t>
                  </w:r>
                </w:p>
              </w:tc>
            </w:tr>
          </w:tbl>
          <w:p>
            <w:pPr>
              <w:ind w:firstLine="480"/>
            </w:pPr>
            <w:r>
              <w:rPr>
                <w:rFonts w:hint="eastAsia"/>
              </w:rPr>
              <w:t>本项目厂界周边农用地土壤执行《土壤环境质量农用地土壤污染风险管控标准（试行）》（</w:t>
            </w:r>
            <w:r>
              <w:t>GB15618-2018</w:t>
            </w:r>
            <w:r>
              <w:rPr>
                <w:rFonts w:hint="eastAsia"/>
              </w:rPr>
              <w:t>）中相应的风险筛选值，具体标准限值见表4-5。</w:t>
            </w:r>
          </w:p>
          <w:p>
            <w:pPr>
              <w:pStyle w:val="46"/>
            </w:pPr>
            <w:r>
              <w:rPr>
                <w:rFonts w:hint="eastAsia"/>
                <w:bCs/>
              </w:rPr>
              <w:t xml:space="preserve">表4-5  </w:t>
            </w:r>
            <w:r>
              <w:rPr>
                <w:rFonts w:hint="eastAsia"/>
              </w:rPr>
              <w:t>农用地土壤污染风险筛选值</w:t>
            </w:r>
            <w:r>
              <w:t xml:space="preserve">    </w:t>
            </w:r>
            <w:r>
              <w:rPr>
                <w:rFonts w:hint="eastAsia"/>
              </w:rPr>
              <w:t>单位：</w:t>
            </w:r>
            <w:r>
              <w:t>mg/kg</w:t>
            </w:r>
          </w:p>
          <w:tbl>
            <w:tblPr>
              <w:tblStyle w:val="34"/>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644"/>
              <w:gridCol w:w="929"/>
              <w:gridCol w:w="1450"/>
              <w:gridCol w:w="1450"/>
              <w:gridCol w:w="1450"/>
              <w:gridCol w:w="1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73" w:type="pct"/>
                  <w:vMerge w:val="restart"/>
                  <w:vAlign w:val="center"/>
                </w:tcPr>
                <w:p>
                  <w:pPr>
                    <w:pStyle w:val="47"/>
                    <w:rPr>
                      <w:b/>
                      <w:bCs/>
                    </w:rPr>
                  </w:pPr>
                  <w:r>
                    <w:rPr>
                      <w:rFonts w:hint="eastAsia"/>
                      <w:b/>
                      <w:bCs/>
                    </w:rPr>
                    <w:t>序号</w:t>
                  </w:r>
                </w:p>
              </w:tc>
              <w:tc>
                <w:tcPr>
                  <w:tcW w:w="965" w:type="pct"/>
                  <w:gridSpan w:val="2"/>
                  <w:vMerge w:val="restart"/>
                  <w:vAlign w:val="center"/>
                </w:tcPr>
                <w:p>
                  <w:pPr>
                    <w:pStyle w:val="47"/>
                    <w:rPr>
                      <w:b/>
                      <w:bCs/>
                    </w:rPr>
                  </w:pPr>
                  <w:r>
                    <w:rPr>
                      <w:rFonts w:hint="eastAsia"/>
                      <w:b/>
                      <w:bCs/>
                    </w:rPr>
                    <w:t>污染物项目</w:t>
                  </w:r>
                </w:p>
              </w:tc>
              <w:tc>
                <w:tcPr>
                  <w:tcW w:w="3561" w:type="pct"/>
                  <w:gridSpan w:val="4"/>
                  <w:vAlign w:val="center"/>
                </w:tcPr>
                <w:p>
                  <w:pPr>
                    <w:pStyle w:val="47"/>
                    <w:rPr>
                      <w:b/>
                      <w:bCs/>
                    </w:rPr>
                  </w:pPr>
                  <w:r>
                    <w:rPr>
                      <w:rFonts w:hint="eastAsia"/>
                      <w:b/>
                      <w:bCs/>
                    </w:rPr>
                    <w:t>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3" w:type="pct"/>
                  <w:vMerge w:val="continue"/>
                  <w:vAlign w:val="center"/>
                </w:tcPr>
                <w:p>
                  <w:pPr>
                    <w:pStyle w:val="47"/>
                    <w:rPr>
                      <w:b/>
                      <w:bCs/>
                    </w:rPr>
                  </w:pPr>
                </w:p>
              </w:tc>
              <w:tc>
                <w:tcPr>
                  <w:tcW w:w="965" w:type="pct"/>
                  <w:gridSpan w:val="2"/>
                  <w:vMerge w:val="continue"/>
                  <w:vAlign w:val="center"/>
                </w:tcPr>
                <w:p>
                  <w:pPr>
                    <w:pStyle w:val="47"/>
                    <w:rPr>
                      <w:b/>
                      <w:bCs/>
                    </w:rPr>
                  </w:pPr>
                </w:p>
              </w:tc>
              <w:tc>
                <w:tcPr>
                  <w:tcW w:w="889" w:type="pct"/>
                  <w:vAlign w:val="center"/>
                </w:tcPr>
                <w:p>
                  <w:pPr>
                    <w:pStyle w:val="47"/>
                    <w:rPr>
                      <w:b/>
                      <w:bCs/>
                    </w:rPr>
                  </w:pPr>
                  <w:r>
                    <w:rPr>
                      <w:b/>
                      <w:bCs/>
                    </w:rPr>
                    <w:t>pH≤5.5</w:t>
                  </w:r>
                </w:p>
              </w:tc>
              <w:tc>
                <w:tcPr>
                  <w:tcW w:w="889" w:type="pct"/>
                  <w:vAlign w:val="center"/>
                </w:tcPr>
                <w:p>
                  <w:pPr>
                    <w:pStyle w:val="47"/>
                    <w:rPr>
                      <w:b/>
                      <w:bCs/>
                    </w:rPr>
                  </w:pPr>
                  <w:r>
                    <w:rPr>
                      <w:b/>
                      <w:bCs/>
                    </w:rPr>
                    <w:t>5.5</w:t>
                  </w:r>
                  <w:r>
                    <w:rPr>
                      <w:rFonts w:hint="eastAsia"/>
                      <w:b/>
                      <w:bCs/>
                    </w:rPr>
                    <w:t>＜</w:t>
                  </w:r>
                  <w:r>
                    <w:rPr>
                      <w:b/>
                      <w:bCs/>
                    </w:rPr>
                    <w:t>pH≤6.5</w:t>
                  </w:r>
                </w:p>
              </w:tc>
              <w:tc>
                <w:tcPr>
                  <w:tcW w:w="889" w:type="pct"/>
                  <w:vAlign w:val="center"/>
                </w:tcPr>
                <w:p>
                  <w:pPr>
                    <w:pStyle w:val="47"/>
                    <w:rPr>
                      <w:b/>
                      <w:bCs/>
                    </w:rPr>
                  </w:pPr>
                  <w:r>
                    <w:rPr>
                      <w:b/>
                      <w:bCs/>
                    </w:rPr>
                    <w:t>6.5</w:t>
                  </w:r>
                  <w:r>
                    <w:rPr>
                      <w:rFonts w:hint="eastAsia"/>
                      <w:b/>
                      <w:bCs/>
                    </w:rPr>
                    <w:t>＜</w:t>
                  </w:r>
                  <w:r>
                    <w:rPr>
                      <w:b/>
                      <w:bCs/>
                    </w:rPr>
                    <w:t>pH≤7.5</w:t>
                  </w:r>
                </w:p>
              </w:tc>
              <w:tc>
                <w:tcPr>
                  <w:tcW w:w="891" w:type="pct"/>
                  <w:vAlign w:val="center"/>
                </w:tcPr>
                <w:p>
                  <w:pPr>
                    <w:pStyle w:val="47"/>
                    <w:rPr>
                      <w:b/>
                      <w:bCs/>
                    </w:rPr>
                  </w:pPr>
                  <w:r>
                    <w:rPr>
                      <w:b/>
                      <w:bCs/>
                    </w:rPr>
                    <w:t>pH</w:t>
                  </w:r>
                  <w:r>
                    <w:rPr>
                      <w:rFonts w:hint="eastAsia"/>
                      <w:b/>
                      <w:bCs/>
                    </w:rPr>
                    <w:t>＞</w:t>
                  </w:r>
                  <w:r>
                    <w:rPr>
                      <w:b/>
                      <w:bCs/>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3" w:type="pct"/>
                  <w:vMerge w:val="restart"/>
                  <w:vAlign w:val="center"/>
                </w:tcPr>
                <w:p>
                  <w:pPr>
                    <w:pStyle w:val="47"/>
                  </w:pPr>
                  <w:r>
                    <w:t>1</w:t>
                  </w:r>
                </w:p>
              </w:tc>
              <w:tc>
                <w:tcPr>
                  <w:tcW w:w="395" w:type="pct"/>
                  <w:vMerge w:val="restart"/>
                  <w:vAlign w:val="center"/>
                </w:tcPr>
                <w:p>
                  <w:pPr>
                    <w:pStyle w:val="47"/>
                  </w:pPr>
                  <w:r>
                    <w:rPr>
                      <w:rFonts w:hint="eastAsia"/>
                    </w:rPr>
                    <w:t>镉</w:t>
                  </w:r>
                </w:p>
              </w:tc>
              <w:tc>
                <w:tcPr>
                  <w:tcW w:w="570" w:type="pct"/>
                  <w:vAlign w:val="center"/>
                </w:tcPr>
                <w:p>
                  <w:pPr>
                    <w:pStyle w:val="47"/>
                  </w:pPr>
                  <w:r>
                    <w:rPr>
                      <w:rFonts w:hint="eastAsia"/>
                    </w:rPr>
                    <w:t>水田</w:t>
                  </w:r>
                </w:p>
              </w:tc>
              <w:tc>
                <w:tcPr>
                  <w:tcW w:w="889" w:type="pct"/>
                  <w:vAlign w:val="center"/>
                </w:tcPr>
                <w:p>
                  <w:pPr>
                    <w:pStyle w:val="47"/>
                  </w:pPr>
                  <w:r>
                    <w:t>0.3</w:t>
                  </w:r>
                </w:p>
              </w:tc>
              <w:tc>
                <w:tcPr>
                  <w:tcW w:w="889" w:type="pct"/>
                  <w:vAlign w:val="center"/>
                </w:tcPr>
                <w:p>
                  <w:pPr>
                    <w:pStyle w:val="47"/>
                  </w:pPr>
                  <w:r>
                    <w:t>0.4</w:t>
                  </w:r>
                </w:p>
              </w:tc>
              <w:tc>
                <w:tcPr>
                  <w:tcW w:w="889" w:type="pct"/>
                  <w:vAlign w:val="center"/>
                </w:tcPr>
                <w:p>
                  <w:pPr>
                    <w:pStyle w:val="47"/>
                  </w:pPr>
                  <w:r>
                    <w:t>0.6</w:t>
                  </w:r>
                </w:p>
              </w:tc>
              <w:tc>
                <w:tcPr>
                  <w:tcW w:w="891" w:type="pct"/>
                  <w:vAlign w:val="center"/>
                </w:tcPr>
                <w:p>
                  <w:pPr>
                    <w:pStyle w:val="47"/>
                  </w:pPr>
                  <w: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3" w:type="pct"/>
                  <w:vMerge w:val="continue"/>
                  <w:vAlign w:val="center"/>
                </w:tcPr>
                <w:p>
                  <w:pPr>
                    <w:pStyle w:val="47"/>
                  </w:pPr>
                </w:p>
              </w:tc>
              <w:tc>
                <w:tcPr>
                  <w:tcW w:w="395" w:type="pct"/>
                  <w:vMerge w:val="continue"/>
                  <w:vAlign w:val="center"/>
                </w:tcPr>
                <w:p>
                  <w:pPr>
                    <w:pStyle w:val="47"/>
                  </w:pPr>
                </w:p>
              </w:tc>
              <w:tc>
                <w:tcPr>
                  <w:tcW w:w="570" w:type="pct"/>
                  <w:vAlign w:val="center"/>
                </w:tcPr>
                <w:p>
                  <w:pPr>
                    <w:pStyle w:val="47"/>
                  </w:pPr>
                  <w:r>
                    <w:rPr>
                      <w:rFonts w:hint="eastAsia"/>
                    </w:rPr>
                    <w:t>其他</w:t>
                  </w:r>
                </w:p>
              </w:tc>
              <w:tc>
                <w:tcPr>
                  <w:tcW w:w="889" w:type="pct"/>
                  <w:vAlign w:val="center"/>
                </w:tcPr>
                <w:p>
                  <w:pPr>
                    <w:pStyle w:val="47"/>
                  </w:pPr>
                  <w:r>
                    <w:t>0.3</w:t>
                  </w:r>
                </w:p>
              </w:tc>
              <w:tc>
                <w:tcPr>
                  <w:tcW w:w="889" w:type="pct"/>
                  <w:vAlign w:val="center"/>
                </w:tcPr>
                <w:p>
                  <w:pPr>
                    <w:pStyle w:val="47"/>
                  </w:pPr>
                  <w:r>
                    <w:t>0.3</w:t>
                  </w:r>
                </w:p>
              </w:tc>
              <w:tc>
                <w:tcPr>
                  <w:tcW w:w="889" w:type="pct"/>
                  <w:vAlign w:val="center"/>
                </w:tcPr>
                <w:p>
                  <w:pPr>
                    <w:pStyle w:val="47"/>
                  </w:pPr>
                  <w:r>
                    <w:t>0.3</w:t>
                  </w:r>
                </w:p>
              </w:tc>
              <w:tc>
                <w:tcPr>
                  <w:tcW w:w="891" w:type="pct"/>
                  <w:vAlign w:val="center"/>
                </w:tcPr>
                <w:p>
                  <w:pPr>
                    <w:pStyle w:val="47"/>
                  </w:pPr>
                  <w: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3" w:type="pct"/>
                  <w:vMerge w:val="restart"/>
                  <w:vAlign w:val="center"/>
                </w:tcPr>
                <w:p>
                  <w:pPr>
                    <w:pStyle w:val="47"/>
                  </w:pPr>
                  <w:r>
                    <w:t>2</w:t>
                  </w:r>
                </w:p>
              </w:tc>
              <w:tc>
                <w:tcPr>
                  <w:tcW w:w="395" w:type="pct"/>
                  <w:vMerge w:val="restart"/>
                  <w:vAlign w:val="center"/>
                </w:tcPr>
                <w:p>
                  <w:pPr>
                    <w:pStyle w:val="47"/>
                  </w:pPr>
                  <w:r>
                    <w:rPr>
                      <w:rFonts w:hint="eastAsia"/>
                    </w:rPr>
                    <w:t>汞</w:t>
                  </w:r>
                </w:p>
              </w:tc>
              <w:tc>
                <w:tcPr>
                  <w:tcW w:w="570" w:type="pct"/>
                  <w:vAlign w:val="center"/>
                </w:tcPr>
                <w:p>
                  <w:pPr>
                    <w:pStyle w:val="47"/>
                  </w:pPr>
                  <w:r>
                    <w:rPr>
                      <w:rFonts w:hint="eastAsia"/>
                    </w:rPr>
                    <w:t>水田</w:t>
                  </w:r>
                </w:p>
              </w:tc>
              <w:tc>
                <w:tcPr>
                  <w:tcW w:w="889" w:type="pct"/>
                  <w:vAlign w:val="center"/>
                </w:tcPr>
                <w:p>
                  <w:pPr>
                    <w:pStyle w:val="47"/>
                  </w:pPr>
                  <w:r>
                    <w:t>0.5</w:t>
                  </w:r>
                </w:p>
              </w:tc>
              <w:tc>
                <w:tcPr>
                  <w:tcW w:w="889" w:type="pct"/>
                  <w:vAlign w:val="center"/>
                </w:tcPr>
                <w:p>
                  <w:pPr>
                    <w:pStyle w:val="47"/>
                  </w:pPr>
                  <w:r>
                    <w:t>0.5</w:t>
                  </w:r>
                </w:p>
              </w:tc>
              <w:tc>
                <w:tcPr>
                  <w:tcW w:w="889" w:type="pct"/>
                  <w:vAlign w:val="center"/>
                </w:tcPr>
                <w:p>
                  <w:pPr>
                    <w:pStyle w:val="47"/>
                  </w:pPr>
                  <w:r>
                    <w:t>0.6</w:t>
                  </w:r>
                </w:p>
              </w:tc>
              <w:tc>
                <w:tcPr>
                  <w:tcW w:w="891" w:type="pct"/>
                  <w:vAlign w:val="center"/>
                </w:tcPr>
                <w:p>
                  <w:pPr>
                    <w:pStyle w:val="47"/>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3" w:type="pct"/>
                  <w:vMerge w:val="continue"/>
                  <w:vAlign w:val="center"/>
                </w:tcPr>
                <w:p>
                  <w:pPr>
                    <w:pStyle w:val="47"/>
                  </w:pPr>
                </w:p>
              </w:tc>
              <w:tc>
                <w:tcPr>
                  <w:tcW w:w="395" w:type="pct"/>
                  <w:vMerge w:val="continue"/>
                  <w:vAlign w:val="center"/>
                </w:tcPr>
                <w:p>
                  <w:pPr>
                    <w:pStyle w:val="47"/>
                  </w:pPr>
                </w:p>
              </w:tc>
              <w:tc>
                <w:tcPr>
                  <w:tcW w:w="570" w:type="pct"/>
                  <w:vAlign w:val="center"/>
                </w:tcPr>
                <w:p>
                  <w:pPr>
                    <w:pStyle w:val="47"/>
                  </w:pPr>
                  <w:r>
                    <w:rPr>
                      <w:rFonts w:hint="eastAsia"/>
                    </w:rPr>
                    <w:t>其他</w:t>
                  </w:r>
                </w:p>
              </w:tc>
              <w:tc>
                <w:tcPr>
                  <w:tcW w:w="889" w:type="pct"/>
                  <w:vAlign w:val="center"/>
                </w:tcPr>
                <w:p>
                  <w:pPr>
                    <w:pStyle w:val="47"/>
                  </w:pPr>
                  <w:r>
                    <w:t>1.3</w:t>
                  </w:r>
                </w:p>
              </w:tc>
              <w:tc>
                <w:tcPr>
                  <w:tcW w:w="889" w:type="pct"/>
                  <w:vAlign w:val="center"/>
                </w:tcPr>
                <w:p>
                  <w:pPr>
                    <w:pStyle w:val="47"/>
                  </w:pPr>
                  <w:r>
                    <w:t>1.8</w:t>
                  </w:r>
                </w:p>
              </w:tc>
              <w:tc>
                <w:tcPr>
                  <w:tcW w:w="889" w:type="pct"/>
                  <w:vAlign w:val="center"/>
                </w:tcPr>
                <w:p>
                  <w:pPr>
                    <w:pStyle w:val="47"/>
                  </w:pPr>
                  <w:r>
                    <w:t>2.4</w:t>
                  </w:r>
                </w:p>
              </w:tc>
              <w:tc>
                <w:tcPr>
                  <w:tcW w:w="891" w:type="pct"/>
                  <w:vAlign w:val="center"/>
                </w:tcPr>
                <w:p>
                  <w:pPr>
                    <w:pStyle w:val="47"/>
                  </w:pPr>
                  <w: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73" w:type="pct"/>
                  <w:vMerge w:val="restart"/>
                  <w:vAlign w:val="center"/>
                </w:tcPr>
                <w:p>
                  <w:pPr>
                    <w:pStyle w:val="47"/>
                  </w:pPr>
                  <w:r>
                    <w:t>3</w:t>
                  </w:r>
                </w:p>
              </w:tc>
              <w:tc>
                <w:tcPr>
                  <w:tcW w:w="395" w:type="pct"/>
                  <w:vMerge w:val="restart"/>
                  <w:vAlign w:val="center"/>
                </w:tcPr>
                <w:p>
                  <w:pPr>
                    <w:pStyle w:val="47"/>
                  </w:pPr>
                  <w:r>
                    <w:rPr>
                      <w:rFonts w:hint="eastAsia"/>
                    </w:rPr>
                    <w:t>砷</w:t>
                  </w:r>
                </w:p>
              </w:tc>
              <w:tc>
                <w:tcPr>
                  <w:tcW w:w="570" w:type="pct"/>
                  <w:vAlign w:val="center"/>
                </w:tcPr>
                <w:p>
                  <w:pPr>
                    <w:pStyle w:val="47"/>
                  </w:pPr>
                  <w:r>
                    <w:rPr>
                      <w:rFonts w:hint="eastAsia"/>
                    </w:rPr>
                    <w:t>水田</w:t>
                  </w:r>
                </w:p>
              </w:tc>
              <w:tc>
                <w:tcPr>
                  <w:tcW w:w="889" w:type="pct"/>
                  <w:vAlign w:val="center"/>
                </w:tcPr>
                <w:p>
                  <w:pPr>
                    <w:pStyle w:val="47"/>
                  </w:pPr>
                  <w:r>
                    <w:t>30</w:t>
                  </w:r>
                </w:p>
              </w:tc>
              <w:tc>
                <w:tcPr>
                  <w:tcW w:w="889" w:type="pct"/>
                  <w:vAlign w:val="center"/>
                </w:tcPr>
                <w:p>
                  <w:pPr>
                    <w:pStyle w:val="47"/>
                  </w:pPr>
                  <w:r>
                    <w:t>30</w:t>
                  </w:r>
                </w:p>
              </w:tc>
              <w:tc>
                <w:tcPr>
                  <w:tcW w:w="889" w:type="pct"/>
                  <w:vAlign w:val="center"/>
                </w:tcPr>
                <w:p>
                  <w:pPr>
                    <w:pStyle w:val="47"/>
                  </w:pPr>
                  <w:r>
                    <w:t>25</w:t>
                  </w:r>
                </w:p>
              </w:tc>
              <w:tc>
                <w:tcPr>
                  <w:tcW w:w="891" w:type="pct"/>
                  <w:vAlign w:val="center"/>
                </w:tcPr>
                <w:p>
                  <w:pPr>
                    <w:pStyle w:val="47"/>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3" w:type="pct"/>
                  <w:vMerge w:val="continue"/>
                  <w:vAlign w:val="center"/>
                </w:tcPr>
                <w:p>
                  <w:pPr>
                    <w:pStyle w:val="47"/>
                  </w:pPr>
                </w:p>
              </w:tc>
              <w:tc>
                <w:tcPr>
                  <w:tcW w:w="395" w:type="pct"/>
                  <w:vMerge w:val="continue"/>
                  <w:vAlign w:val="center"/>
                </w:tcPr>
                <w:p>
                  <w:pPr>
                    <w:pStyle w:val="47"/>
                  </w:pPr>
                </w:p>
              </w:tc>
              <w:tc>
                <w:tcPr>
                  <w:tcW w:w="570" w:type="pct"/>
                  <w:vAlign w:val="center"/>
                </w:tcPr>
                <w:p>
                  <w:pPr>
                    <w:pStyle w:val="47"/>
                  </w:pPr>
                  <w:r>
                    <w:rPr>
                      <w:rFonts w:hint="eastAsia"/>
                    </w:rPr>
                    <w:t>其他</w:t>
                  </w:r>
                </w:p>
              </w:tc>
              <w:tc>
                <w:tcPr>
                  <w:tcW w:w="889" w:type="pct"/>
                  <w:vAlign w:val="center"/>
                </w:tcPr>
                <w:p>
                  <w:pPr>
                    <w:pStyle w:val="47"/>
                  </w:pPr>
                  <w:r>
                    <w:t>40</w:t>
                  </w:r>
                </w:p>
              </w:tc>
              <w:tc>
                <w:tcPr>
                  <w:tcW w:w="889" w:type="pct"/>
                  <w:vAlign w:val="center"/>
                </w:tcPr>
                <w:p>
                  <w:pPr>
                    <w:pStyle w:val="47"/>
                  </w:pPr>
                  <w:r>
                    <w:t>40</w:t>
                  </w:r>
                </w:p>
              </w:tc>
              <w:tc>
                <w:tcPr>
                  <w:tcW w:w="889" w:type="pct"/>
                  <w:vAlign w:val="center"/>
                </w:tcPr>
                <w:p>
                  <w:pPr>
                    <w:pStyle w:val="47"/>
                  </w:pPr>
                  <w:r>
                    <w:t>30</w:t>
                  </w:r>
                </w:p>
              </w:tc>
              <w:tc>
                <w:tcPr>
                  <w:tcW w:w="891" w:type="pct"/>
                  <w:vAlign w:val="center"/>
                </w:tcPr>
                <w:p>
                  <w:pPr>
                    <w:pStyle w:val="47"/>
                  </w:pPr>
                  <w: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3" w:type="pct"/>
                  <w:vMerge w:val="restart"/>
                  <w:vAlign w:val="center"/>
                </w:tcPr>
                <w:p>
                  <w:pPr>
                    <w:pStyle w:val="47"/>
                  </w:pPr>
                  <w:r>
                    <w:t>4</w:t>
                  </w:r>
                </w:p>
              </w:tc>
              <w:tc>
                <w:tcPr>
                  <w:tcW w:w="395" w:type="pct"/>
                  <w:vMerge w:val="restart"/>
                  <w:vAlign w:val="center"/>
                </w:tcPr>
                <w:p>
                  <w:pPr>
                    <w:pStyle w:val="47"/>
                  </w:pPr>
                  <w:r>
                    <w:rPr>
                      <w:rFonts w:hint="eastAsia"/>
                    </w:rPr>
                    <w:t>铅</w:t>
                  </w:r>
                </w:p>
              </w:tc>
              <w:tc>
                <w:tcPr>
                  <w:tcW w:w="570" w:type="pct"/>
                  <w:vAlign w:val="center"/>
                </w:tcPr>
                <w:p>
                  <w:pPr>
                    <w:pStyle w:val="47"/>
                  </w:pPr>
                  <w:r>
                    <w:rPr>
                      <w:rFonts w:hint="eastAsia"/>
                    </w:rPr>
                    <w:t>水田</w:t>
                  </w:r>
                </w:p>
              </w:tc>
              <w:tc>
                <w:tcPr>
                  <w:tcW w:w="889" w:type="pct"/>
                  <w:vAlign w:val="center"/>
                </w:tcPr>
                <w:p>
                  <w:pPr>
                    <w:pStyle w:val="47"/>
                  </w:pPr>
                  <w:r>
                    <w:t>80</w:t>
                  </w:r>
                </w:p>
              </w:tc>
              <w:tc>
                <w:tcPr>
                  <w:tcW w:w="889" w:type="pct"/>
                  <w:vAlign w:val="center"/>
                </w:tcPr>
                <w:p>
                  <w:pPr>
                    <w:pStyle w:val="47"/>
                  </w:pPr>
                  <w:r>
                    <w:t>100</w:t>
                  </w:r>
                </w:p>
              </w:tc>
              <w:tc>
                <w:tcPr>
                  <w:tcW w:w="889" w:type="pct"/>
                  <w:vAlign w:val="center"/>
                </w:tcPr>
                <w:p>
                  <w:pPr>
                    <w:pStyle w:val="47"/>
                  </w:pPr>
                  <w:r>
                    <w:t>140</w:t>
                  </w:r>
                </w:p>
              </w:tc>
              <w:tc>
                <w:tcPr>
                  <w:tcW w:w="891" w:type="pct"/>
                  <w:vAlign w:val="center"/>
                </w:tcPr>
                <w:p>
                  <w:pPr>
                    <w:pStyle w:val="47"/>
                  </w:pPr>
                  <w: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3" w:type="pct"/>
                  <w:vMerge w:val="continue"/>
                  <w:vAlign w:val="center"/>
                </w:tcPr>
                <w:p>
                  <w:pPr>
                    <w:pStyle w:val="47"/>
                  </w:pPr>
                </w:p>
              </w:tc>
              <w:tc>
                <w:tcPr>
                  <w:tcW w:w="395" w:type="pct"/>
                  <w:vMerge w:val="continue"/>
                  <w:vAlign w:val="center"/>
                </w:tcPr>
                <w:p>
                  <w:pPr>
                    <w:pStyle w:val="47"/>
                  </w:pPr>
                </w:p>
              </w:tc>
              <w:tc>
                <w:tcPr>
                  <w:tcW w:w="570" w:type="pct"/>
                  <w:vAlign w:val="center"/>
                </w:tcPr>
                <w:p>
                  <w:pPr>
                    <w:pStyle w:val="47"/>
                  </w:pPr>
                  <w:r>
                    <w:rPr>
                      <w:rFonts w:hint="eastAsia"/>
                    </w:rPr>
                    <w:t>其他</w:t>
                  </w:r>
                </w:p>
              </w:tc>
              <w:tc>
                <w:tcPr>
                  <w:tcW w:w="889" w:type="pct"/>
                  <w:vAlign w:val="center"/>
                </w:tcPr>
                <w:p>
                  <w:pPr>
                    <w:pStyle w:val="47"/>
                  </w:pPr>
                  <w:r>
                    <w:t>70</w:t>
                  </w:r>
                </w:p>
              </w:tc>
              <w:tc>
                <w:tcPr>
                  <w:tcW w:w="889" w:type="pct"/>
                  <w:vAlign w:val="center"/>
                </w:tcPr>
                <w:p>
                  <w:pPr>
                    <w:pStyle w:val="47"/>
                  </w:pPr>
                  <w:r>
                    <w:t>90</w:t>
                  </w:r>
                </w:p>
              </w:tc>
              <w:tc>
                <w:tcPr>
                  <w:tcW w:w="889" w:type="pct"/>
                  <w:vAlign w:val="center"/>
                </w:tcPr>
                <w:p>
                  <w:pPr>
                    <w:pStyle w:val="47"/>
                  </w:pPr>
                  <w:r>
                    <w:t>120</w:t>
                  </w:r>
                </w:p>
              </w:tc>
              <w:tc>
                <w:tcPr>
                  <w:tcW w:w="891" w:type="pct"/>
                  <w:vAlign w:val="center"/>
                </w:tcPr>
                <w:p>
                  <w:pPr>
                    <w:pStyle w:val="47"/>
                  </w:pPr>
                  <w: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3" w:type="pct"/>
                  <w:vMerge w:val="restart"/>
                  <w:vAlign w:val="center"/>
                </w:tcPr>
                <w:p>
                  <w:pPr>
                    <w:pStyle w:val="47"/>
                  </w:pPr>
                  <w:r>
                    <w:t>5</w:t>
                  </w:r>
                </w:p>
              </w:tc>
              <w:tc>
                <w:tcPr>
                  <w:tcW w:w="395" w:type="pct"/>
                  <w:vMerge w:val="restart"/>
                  <w:vAlign w:val="center"/>
                </w:tcPr>
                <w:p>
                  <w:pPr>
                    <w:pStyle w:val="47"/>
                  </w:pPr>
                  <w:r>
                    <w:rPr>
                      <w:rFonts w:hint="eastAsia"/>
                    </w:rPr>
                    <w:t>铬</w:t>
                  </w:r>
                </w:p>
              </w:tc>
              <w:tc>
                <w:tcPr>
                  <w:tcW w:w="570" w:type="pct"/>
                  <w:vAlign w:val="center"/>
                </w:tcPr>
                <w:p>
                  <w:pPr>
                    <w:pStyle w:val="47"/>
                  </w:pPr>
                  <w:r>
                    <w:rPr>
                      <w:rFonts w:hint="eastAsia"/>
                    </w:rPr>
                    <w:t>水田</w:t>
                  </w:r>
                </w:p>
              </w:tc>
              <w:tc>
                <w:tcPr>
                  <w:tcW w:w="889" w:type="pct"/>
                  <w:vAlign w:val="center"/>
                </w:tcPr>
                <w:p>
                  <w:pPr>
                    <w:pStyle w:val="47"/>
                  </w:pPr>
                  <w:r>
                    <w:t>250</w:t>
                  </w:r>
                </w:p>
              </w:tc>
              <w:tc>
                <w:tcPr>
                  <w:tcW w:w="889" w:type="pct"/>
                  <w:vAlign w:val="center"/>
                </w:tcPr>
                <w:p>
                  <w:pPr>
                    <w:pStyle w:val="47"/>
                  </w:pPr>
                  <w:r>
                    <w:t>250</w:t>
                  </w:r>
                </w:p>
              </w:tc>
              <w:tc>
                <w:tcPr>
                  <w:tcW w:w="889" w:type="pct"/>
                  <w:vAlign w:val="center"/>
                </w:tcPr>
                <w:p>
                  <w:pPr>
                    <w:pStyle w:val="47"/>
                  </w:pPr>
                  <w:r>
                    <w:t>300</w:t>
                  </w:r>
                </w:p>
              </w:tc>
              <w:tc>
                <w:tcPr>
                  <w:tcW w:w="891" w:type="pct"/>
                  <w:vAlign w:val="center"/>
                </w:tcPr>
                <w:p>
                  <w:pPr>
                    <w:pStyle w:val="47"/>
                  </w:pPr>
                  <w: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3" w:type="pct"/>
                  <w:vMerge w:val="continue"/>
                  <w:vAlign w:val="center"/>
                </w:tcPr>
                <w:p>
                  <w:pPr>
                    <w:pStyle w:val="47"/>
                  </w:pPr>
                </w:p>
              </w:tc>
              <w:tc>
                <w:tcPr>
                  <w:tcW w:w="395" w:type="pct"/>
                  <w:vMerge w:val="continue"/>
                  <w:vAlign w:val="center"/>
                </w:tcPr>
                <w:p>
                  <w:pPr>
                    <w:pStyle w:val="47"/>
                  </w:pPr>
                </w:p>
              </w:tc>
              <w:tc>
                <w:tcPr>
                  <w:tcW w:w="570" w:type="pct"/>
                  <w:vAlign w:val="center"/>
                </w:tcPr>
                <w:p>
                  <w:pPr>
                    <w:pStyle w:val="47"/>
                  </w:pPr>
                  <w:r>
                    <w:rPr>
                      <w:rFonts w:hint="eastAsia"/>
                    </w:rPr>
                    <w:t>其他</w:t>
                  </w:r>
                </w:p>
              </w:tc>
              <w:tc>
                <w:tcPr>
                  <w:tcW w:w="889" w:type="pct"/>
                  <w:vAlign w:val="center"/>
                </w:tcPr>
                <w:p>
                  <w:pPr>
                    <w:pStyle w:val="47"/>
                  </w:pPr>
                  <w:r>
                    <w:t>150</w:t>
                  </w:r>
                </w:p>
              </w:tc>
              <w:tc>
                <w:tcPr>
                  <w:tcW w:w="889" w:type="pct"/>
                  <w:vAlign w:val="center"/>
                </w:tcPr>
                <w:p>
                  <w:pPr>
                    <w:pStyle w:val="47"/>
                  </w:pPr>
                  <w:r>
                    <w:t>150</w:t>
                  </w:r>
                </w:p>
              </w:tc>
              <w:tc>
                <w:tcPr>
                  <w:tcW w:w="889" w:type="pct"/>
                  <w:vAlign w:val="center"/>
                </w:tcPr>
                <w:p>
                  <w:pPr>
                    <w:pStyle w:val="47"/>
                  </w:pPr>
                  <w:r>
                    <w:t>200</w:t>
                  </w:r>
                </w:p>
              </w:tc>
              <w:tc>
                <w:tcPr>
                  <w:tcW w:w="891" w:type="pct"/>
                  <w:vAlign w:val="center"/>
                </w:tcPr>
                <w:p>
                  <w:pPr>
                    <w:pStyle w:val="47"/>
                  </w:pPr>
                  <w: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3" w:type="pct"/>
                  <w:vMerge w:val="restart"/>
                  <w:vAlign w:val="center"/>
                </w:tcPr>
                <w:p>
                  <w:pPr>
                    <w:pStyle w:val="47"/>
                  </w:pPr>
                  <w:r>
                    <w:t>6</w:t>
                  </w:r>
                </w:p>
              </w:tc>
              <w:tc>
                <w:tcPr>
                  <w:tcW w:w="395" w:type="pct"/>
                  <w:vMerge w:val="restart"/>
                  <w:vAlign w:val="center"/>
                </w:tcPr>
                <w:p>
                  <w:pPr>
                    <w:pStyle w:val="47"/>
                  </w:pPr>
                  <w:r>
                    <w:rPr>
                      <w:rFonts w:hint="eastAsia"/>
                    </w:rPr>
                    <w:t>铜</w:t>
                  </w:r>
                </w:p>
              </w:tc>
              <w:tc>
                <w:tcPr>
                  <w:tcW w:w="570" w:type="pct"/>
                  <w:vAlign w:val="center"/>
                </w:tcPr>
                <w:p>
                  <w:pPr>
                    <w:pStyle w:val="47"/>
                  </w:pPr>
                  <w:r>
                    <w:rPr>
                      <w:rFonts w:hint="eastAsia"/>
                    </w:rPr>
                    <w:t>果园</w:t>
                  </w:r>
                </w:p>
              </w:tc>
              <w:tc>
                <w:tcPr>
                  <w:tcW w:w="889" w:type="pct"/>
                  <w:vAlign w:val="center"/>
                </w:tcPr>
                <w:p>
                  <w:pPr>
                    <w:pStyle w:val="47"/>
                  </w:pPr>
                  <w:r>
                    <w:t>150</w:t>
                  </w:r>
                </w:p>
              </w:tc>
              <w:tc>
                <w:tcPr>
                  <w:tcW w:w="889" w:type="pct"/>
                  <w:vAlign w:val="center"/>
                </w:tcPr>
                <w:p>
                  <w:pPr>
                    <w:pStyle w:val="47"/>
                  </w:pPr>
                  <w:r>
                    <w:t>150</w:t>
                  </w:r>
                </w:p>
              </w:tc>
              <w:tc>
                <w:tcPr>
                  <w:tcW w:w="889" w:type="pct"/>
                  <w:vAlign w:val="center"/>
                </w:tcPr>
                <w:p>
                  <w:pPr>
                    <w:pStyle w:val="47"/>
                  </w:pPr>
                  <w:r>
                    <w:t>200</w:t>
                  </w:r>
                </w:p>
              </w:tc>
              <w:tc>
                <w:tcPr>
                  <w:tcW w:w="891" w:type="pct"/>
                  <w:vAlign w:val="center"/>
                </w:tcPr>
                <w:p>
                  <w:pPr>
                    <w:pStyle w:val="47"/>
                  </w:pPr>
                  <w: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3" w:type="pct"/>
                  <w:vMerge w:val="continue"/>
                  <w:vAlign w:val="center"/>
                </w:tcPr>
                <w:p>
                  <w:pPr>
                    <w:pStyle w:val="47"/>
                  </w:pPr>
                </w:p>
              </w:tc>
              <w:tc>
                <w:tcPr>
                  <w:tcW w:w="395" w:type="pct"/>
                  <w:vMerge w:val="continue"/>
                  <w:vAlign w:val="center"/>
                </w:tcPr>
                <w:p>
                  <w:pPr>
                    <w:pStyle w:val="47"/>
                  </w:pPr>
                </w:p>
              </w:tc>
              <w:tc>
                <w:tcPr>
                  <w:tcW w:w="570" w:type="pct"/>
                  <w:vAlign w:val="center"/>
                </w:tcPr>
                <w:p>
                  <w:pPr>
                    <w:pStyle w:val="47"/>
                  </w:pPr>
                  <w:r>
                    <w:rPr>
                      <w:rFonts w:hint="eastAsia"/>
                    </w:rPr>
                    <w:t>其他</w:t>
                  </w:r>
                </w:p>
              </w:tc>
              <w:tc>
                <w:tcPr>
                  <w:tcW w:w="889" w:type="pct"/>
                  <w:vAlign w:val="center"/>
                </w:tcPr>
                <w:p>
                  <w:pPr>
                    <w:pStyle w:val="47"/>
                  </w:pPr>
                  <w:r>
                    <w:t>50</w:t>
                  </w:r>
                </w:p>
              </w:tc>
              <w:tc>
                <w:tcPr>
                  <w:tcW w:w="889" w:type="pct"/>
                  <w:vAlign w:val="center"/>
                </w:tcPr>
                <w:p>
                  <w:pPr>
                    <w:pStyle w:val="47"/>
                  </w:pPr>
                  <w:r>
                    <w:t>50</w:t>
                  </w:r>
                </w:p>
              </w:tc>
              <w:tc>
                <w:tcPr>
                  <w:tcW w:w="889" w:type="pct"/>
                  <w:vAlign w:val="center"/>
                </w:tcPr>
                <w:p>
                  <w:pPr>
                    <w:pStyle w:val="47"/>
                  </w:pPr>
                  <w:r>
                    <w:t>100</w:t>
                  </w:r>
                </w:p>
              </w:tc>
              <w:tc>
                <w:tcPr>
                  <w:tcW w:w="891" w:type="pct"/>
                  <w:vAlign w:val="center"/>
                </w:tcPr>
                <w:p>
                  <w:pPr>
                    <w:pStyle w:val="47"/>
                  </w:pPr>
                  <w: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3" w:type="pct"/>
                  <w:vAlign w:val="center"/>
                </w:tcPr>
                <w:p>
                  <w:pPr>
                    <w:pStyle w:val="47"/>
                  </w:pPr>
                  <w:r>
                    <w:t>7</w:t>
                  </w:r>
                </w:p>
              </w:tc>
              <w:tc>
                <w:tcPr>
                  <w:tcW w:w="395" w:type="pct"/>
                  <w:vAlign w:val="center"/>
                </w:tcPr>
                <w:p>
                  <w:pPr>
                    <w:pStyle w:val="47"/>
                  </w:pPr>
                  <w:r>
                    <w:rPr>
                      <w:rFonts w:hint="eastAsia"/>
                    </w:rPr>
                    <w:t>镍</w:t>
                  </w:r>
                </w:p>
              </w:tc>
              <w:tc>
                <w:tcPr>
                  <w:tcW w:w="570" w:type="pct"/>
                  <w:vAlign w:val="center"/>
                </w:tcPr>
                <w:p>
                  <w:pPr>
                    <w:pStyle w:val="47"/>
                  </w:pPr>
                  <w:r>
                    <w:rPr>
                      <w:rFonts w:hint="eastAsia"/>
                    </w:rPr>
                    <w:t>水田</w:t>
                  </w:r>
                </w:p>
              </w:tc>
              <w:tc>
                <w:tcPr>
                  <w:tcW w:w="889" w:type="pct"/>
                  <w:vAlign w:val="center"/>
                </w:tcPr>
                <w:p>
                  <w:pPr>
                    <w:pStyle w:val="47"/>
                  </w:pPr>
                  <w:r>
                    <w:t>60</w:t>
                  </w:r>
                </w:p>
              </w:tc>
              <w:tc>
                <w:tcPr>
                  <w:tcW w:w="889" w:type="pct"/>
                  <w:vAlign w:val="center"/>
                </w:tcPr>
                <w:p>
                  <w:pPr>
                    <w:pStyle w:val="47"/>
                  </w:pPr>
                  <w:r>
                    <w:t>70</w:t>
                  </w:r>
                </w:p>
              </w:tc>
              <w:tc>
                <w:tcPr>
                  <w:tcW w:w="889" w:type="pct"/>
                  <w:vAlign w:val="center"/>
                </w:tcPr>
                <w:p>
                  <w:pPr>
                    <w:pStyle w:val="47"/>
                  </w:pPr>
                  <w:r>
                    <w:t>100</w:t>
                  </w:r>
                </w:p>
              </w:tc>
              <w:tc>
                <w:tcPr>
                  <w:tcW w:w="891" w:type="pct"/>
                  <w:vAlign w:val="center"/>
                </w:tcPr>
                <w:p>
                  <w:pPr>
                    <w:pStyle w:val="47"/>
                  </w:pPr>
                  <w: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3" w:type="pct"/>
                  <w:vAlign w:val="center"/>
                </w:tcPr>
                <w:p>
                  <w:pPr>
                    <w:pStyle w:val="47"/>
                  </w:pPr>
                  <w:r>
                    <w:t>8</w:t>
                  </w:r>
                </w:p>
              </w:tc>
              <w:tc>
                <w:tcPr>
                  <w:tcW w:w="395" w:type="pct"/>
                  <w:vAlign w:val="center"/>
                </w:tcPr>
                <w:p>
                  <w:pPr>
                    <w:pStyle w:val="47"/>
                  </w:pPr>
                  <w:r>
                    <w:rPr>
                      <w:rFonts w:hint="eastAsia"/>
                    </w:rPr>
                    <w:t>锌</w:t>
                  </w:r>
                </w:p>
              </w:tc>
              <w:tc>
                <w:tcPr>
                  <w:tcW w:w="570" w:type="pct"/>
                  <w:vAlign w:val="center"/>
                </w:tcPr>
                <w:p>
                  <w:pPr>
                    <w:pStyle w:val="47"/>
                  </w:pPr>
                  <w:r>
                    <w:rPr>
                      <w:rFonts w:hint="eastAsia"/>
                    </w:rPr>
                    <w:t>其他</w:t>
                  </w:r>
                </w:p>
              </w:tc>
              <w:tc>
                <w:tcPr>
                  <w:tcW w:w="889" w:type="pct"/>
                  <w:vAlign w:val="center"/>
                </w:tcPr>
                <w:p>
                  <w:pPr>
                    <w:pStyle w:val="47"/>
                  </w:pPr>
                  <w:r>
                    <w:t>200</w:t>
                  </w:r>
                </w:p>
              </w:tc>
              <w:tc>
                <w:tcPr>
                  <w:tcW w:w="889" w:type="pct"/>
                  <w:vAlign w:val="center"/>
                </w:tcPr>
                <w:p>
                  <w:pPr>
                    <w:pStyle w:val="47"/>
                  </w:pPr>
                  <w:r>
                    <w:t>200</w:t>
                  </w:r>
                </w:p>
              </w:tc>
              <w:tc>
                <w:tcPr>
                  <w:tcW w:w="889" w:type="pct"/>
                  <w:vAlign w:val="center"/>
                </w:tcPr>
                <w:p>
                  <w:pPr>
                    <w:pStyle w:val="47"/>
                  </w:pPr>
                  <w:r>
                    <w:t>250</w:t>
                  </w:r>
                </w:p>
              </w:tc>
              <w:tc>
                <w:tcPr>
                  <w:tcW w:w="891" w:type="pct"/>
                  <w:vAlign w:val="center"/>
                </w:tcPr>
                <w:p>
                  <w:pPr>
                    <w:pStyle w:val="47"/>
                  </w:pPr>
                  <w: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00" w:type="pct"/>
                  <w:gridSpan w:val="7"/>
                  <w:vAlign w:val="center"/>
                </w:tcPr>
                <w:p>
                  <w:pPr>
                    <w:pStyle w:val="49"/>
                    <w:jc w:val="left"/>
                    <w:rPr>
                      <w:szCs w:val="18"/>
                    </w:rPr>
                  </w:pPr>
                  <w:r>
                    <w:rPr>
                      <w:rFonts w:hint="eastAsia"/>
                    </w:rPr>
                    <w:t>注：重金属和类金属砷均按元素总量计；对于水旱轮作地，采用其中较严格的风险筛选值。</w:t>
                  </w:r>
                </w:p>
              </w:tc>
            </w:tr>
          </w:tbl>
          <w:p>
            <w:pPr>
              <w:pStyle w:val="46"/>
              <w:jc w:val="both"/>
              <w:rPr>
                <w:bCs/>
              </w:rPr>
            </w:pPr>
          </w:p>
          <w:p>
            <w:pPr>
              <w:pStyle w:val="46"/>
              <w:jc w:val="both"/>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pct"/>
            <w:tcBorders>
              <w:top w:val="single" w:color="auto" w:sz="12" w:space="0"/>
              <w:left w:val="single" w:color="auto" w:sz="12" w:space="0"/>
              <w:bottom w:val="single" w:color="auto" w:sz="12" w:space="0"/>
              <w:right w:val="single" w:color="auto" w:sz="12" w:space="0"/>
            </w:tcBorders>
            <w:vAlign w:val="center"/>
          </w:tcPr>
          <w:p>
            <w:pPr>
              <w:pStyle w:val="49"/>
              <w:spacing w:line="480" w:lineRule="auto"/>
              <w:rPr>
                <w:sz w:val="24"/>
                <w:szCs w:val="24"/>
              </w:rPr>
            </w:pPr>
            <w:r>
              <w:rPr>
                <w:sz w:val="24"/>
                <w:szCs w:val="24"/>
              </w:rPr>
              <w:t>污</w:t>
            </w:r>
          </w:p>
          <w:p>
            <w:pPr>
              <w:pStyle w:val="49"/>
              <w:spacing w:line="480" w:lineRule="auto"/>
              <w:rPr>
                <w:sz w:val="24"/>
                <w:szCs w:val="24"/>
              </w:rPr>
            </w:pPr>
            <w:r>
              <w:rPr>
                <w:sz w:val="24"/>
                <w:szCs w:val="24"/>
              </w:rPr>
              <w:t>染</w:t>
            </w:r>
          </w:p>
          <w:p>
            <w:pPr>
              <w:pStyle w:val="49"/>
              <w:spacing w:line="480" w:lineRule="auto"/>
              <w:rPr>
                <w:sz w:val="24"/>
                <w:szCs w:val="24"/>
              </w:rPr>
            </w:pPr>
            <w:r>
              <w:rPr>
                <w:sz w:val="24"/>
                <w:szCs w:val="24"/>
              </w:rPr>
              <w:t>物</w:t>
            </w:r>
          </w:p>
          <w:p>
            <w:pPr>
              <w:pStyle w:val="49"/>
              <w:spacing w:line="480" w:lineRule="auto"/>
              <w:rPr>
                <w:sz w:val="24"/>
                <w:szCs w:val="24"/>
              </w:rPr>
            </w:pPr>
            <w:r>
              <w:rPr>
                <w:sz w:val="24"/>
                <w:szCs w:val="24"/>
              </w:rPr>
              <w:t>排</w:t>
            </w:r>
          </w:p>
          <w:p>
            <w:pPr>
              <w:pStyle w:val="49"/>
              <w:spacing w:line="480" w:lineRule="auto"/>
              <w:rPr>
                <w:sz w:val="24"/>
                <w:szCs w:val="24"/>
              </w:rPr>
            </w:pPr>
            <w:r>
              <w:rPr>
                <w:sz w:val="24"/>
                <w:szCs w:val="24"/>
              </w:rPr>
              <w:t>放</w:t>
            </w:r>
          </w:p>
          <w:p>
            <w:pPr>
              <w:pStyle w:val="49"/>
              <w:spacing w:line="480" w:lineRule="auto"/>
              <w:rPr>
                <w:sz w:val="24"/>
                <w:szCs w:val="24"/>
              </w:rPr>
            </w:pPr>
            <w:r>
              <w:rPr>
                <w:sz w:val="24"/>
                <w:szCs w:val="24"/>
              </w:rPr>
              <w:t>标</w:t>
            </w:r>
          </w:p>
          <w:p>
            <w:pPr>
              <w:pStyle w:val="49"/>
              <w:spacing w:line="480" w:lineRule="auto"/>
              <w:rPr>
                <w:sz w:val="24"/>
                <w:szCs w:val="24"/>
              </w:rPr>
            </w:pPr>
            <w:r>
              <w:rPr>
                <w:sz w:val="24"/>
                <w:szCs w:val="24"/>
              </w:rPr>
              <w:t>准</w:t>
            </w:r>
          </w:p>
        </w:tc>
        <w:tc>
          <w:tcPr>
            <w:tcW w:w="4683" w:type="pct"/>
            <w:tcBorders>
              <w:top w:val="single" w:color="auto" w:sz="12" w:space="0"/>
              <w:left w:val="single" w:color="auto" w:sz="12" w:space="0"/>
              <w:bottom w:val="single" w:color="auto" w:sz="12" w:space="0"/>
              <w:right w:val="single" w:color="auto" w:sz="12" w:space="0"/>
            </w:tcBorders>
          </w:tcPr>
          <w:p>
            <w:pPr>
              <w:pStyle w:val="5"/>
              <w:spacing w:before="120" w:beforeLines="50"/>
            </w:pPr>
            <w:bookmarkStart w:id="102" w:name="_Toc29380615"/>
            <w:bookmarkStart w:id="103" w:name="_Toc29388566"/>
            <w:r>
              <w:t>4.2污染物排放标准</w:t>
            </w:r>
            <w:bookmarkEnd w:id="102"/>
            <w:bookmarkEnd w:id="103"/>
          </w:p>
          <w:p>
            <w:pPr>
              <w:pStyle w:val="6"/>
              <w:rPr>
                <w:kern w:val="2"/>
              </w:rPr>
            </w:pPr>
            <w:bookmarkStart w:id="104" w:name="_Toc29380616"/>
            <w:bookmarkStart w:id="105" w:name="_Toc29388567"/>
            <w:r>
              <w:rPr>
                <w:kern w:val="2"/>
              </w:rPr>
              <w:t>4.2.1废水</w:t>
            </w:r>
            <w:bookmarkEnd w:id="104"/>
            <w:bookmarkEnd w:id="105"/>
          </w:p>
          <w:p>
            <w:pPr>
              <w:ind w:firstLine="480"/>
            </w:pPr>
            <w:r>
              <w:t>本项目运营期无生产废水产生，废水主要为员工生活污水，</w:t>
            </w:r>
            <w:r>
              <w:rPr>
                <w:rFonts w:hint="eastAsia"/>
              </w:rPr>
              <w:t>生活</w:t>
            </w:r>
            <w:r>
              <w:t>污水经化粪池预处理后纳入区域污水管网，入网标准执行《污水综合排放标准》（GB8978-1996）表4中的三级标准，氨氮、总磷的入网标准执行《工业企业废水氮、磷污染物间接排放限值》(DB33/887-2013)中的相关要求，最终经桐乡市城市污水处理有限责任公司崇福污水处理厂集中处理后排江，排放标准执行《城镇污水处理厂污染物排放标准》（GB18918-2002）表1中的一级A标准，具体见下表。</w:t>
            </w:r>
          </w:p>
          <w:p>
            <w:pPr>
              <w:pStyle w:val="46"/>
            </w:pPr>
            <w:r>
              <w:t>表4-</w:t>
            </w:r>
            <w:r>
              <w:rPr>
                <w:rFonts w:hint="eastAsia"/>
              </w:rPr>
              <w:t>6</w:t>
            </w:r>
            <w:r>
              <w:t xml:space="preserve">  污水排放标准</w:t>
            </w:r>
          </w:p>
          <w:tbl>
            <w:tblPr>
              <w:tblStyle w:val="3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1"/>
              <w:gridCol w:w="3547"/>
              <w:gridCol w:w="2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01" w:type="pct"/>
                  <w:tcBorders>
                    <w:top w:val="single" w:color="auto" w:sz="4" w:space="0"/>
                    <w:left w:val="single" w:color="auto" w:sz="4" w:space="0"/>
                    <w:bottom w:val="single" w:color="auto" w:sz="4" w:space="0"/>
                    <w:right w:val="single" w:color="auto" w:sz="4" w:space="0"/>
                  </w:tcBorders>
                  <w:vAlign w:val="center"/>
                </w:tcPr>
                <w:p>
                  <w:pPr>
                    <w:pStyle w:val="46"/>
                  </w:pPr>
                  <w:r>
                    <w:t>指标</w:t>
                  </w:r>
                </w:p>
              </w:tc>
              <w:tc>
                <w:tcPr>
                  <w:tcW w:w="2176" w:type="pct"/>
                  <w:tcBorders>
                    <w:top w:val="single" w:color="auto" w:sz="4" w:space="0"/>
                    <w:left w:val="single" w:color="auto" w:sz="4" w:space="0"/>
                    <w:bottom w:val="single" w:color="auto" w:sz="4" w:space="0"/>
                    <w:right w:val="single" w:color="auto" w:sz="4" w:space="0"/>
                  </w:tcBorders>
                  <w:vAlign w:val="center"/>
                </w:tcPr>
                <w:p>
                  <w:pPr>
                    <w:pStyle w:val="46"/>
                  </w:pPr>
                  <w:r>
                    <w:t>《城镇污水处理厂污染物排放标准》一级A标准</w:t>
                  </w:r>
                </w:p>
              </w:tc>
              <w:tc>
                <w:tcPr>
                  <w:tcW w:w="1523" w:type="pct"/>
                  <w:tcBorders>
                    <w:top w:val="single" w:color="auto" w:sz="4" w:space="0"/>
                    <w:left w:val="single" w:color="auto" w:sz="4" w:space="0"/>
                    <w:bottom w:val="single" w:color="auto" w:sz="4" w:space="0"/>
                    <w:right w:val="single" w:color="auto" w:sz="4" w:space="0"/>
                  </w:tcBorders>
                  <w:vAlign w:val="center"/>
                </w:tcPr>
                <w:p>
                  <w:pPr>
                    <w:pStyle w:val="46"/>
                  </w:pPr>
                  <w:r>
                    <w:t>《污水综合排放标准》</w:t>
                  </w:r>
                </w:p>
                <w:p>
                  <w:pPr>
                    <w:pStyle w:val="46"/>
                  </w:pPr>
                  <w:r>
                    <w:t>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01" w:type="pct"/>
                  <w:tcBorders>
                    <w:top w:val="single" w:color="auto" w:sz="4" w:space="0"/>
                    <w:left w:val="single" w:color="auto" w:sz="4" w:space="0"/>
                    <w:bottom w:val="single" w:color="auto" w:sz="4" w:space="0"/>
                    <w:right w:val="single" w:color="auto" w:sz="4" w:space="0"/>
                  </w:tcBorders>
                  <w:vAlign w:val="center"/>
                </w:tcPr>
                <w:p>
                  <w:pPr>
                    <w:pStyle w:val="47"/>
                  </w:pPr>
                  <w:r>
                    <w:t>pH（无量纲）</w:t>
                  </w:r>
                </w:p>
              </w:tc>
              <w:tc>
                <w:tcPr>
                  <w:tcW w:w="2176" w:type="pct"/>
                  <w:tcBorders>
                    <w:top w:val="single" w:color="auto" w:sz="4" w:space="0"/>
                    <w:left w:val="single" w:color="auto" w:sz="4" w:space="0"/>
                    <w:bottom w:val="single" w:color="auto" w:sz="4" w:space="0"/>
                    <w:right w:val="single" w:color="auto" w:sz="4" w:space="0"/>
                  </w:tcBorders>
                  <w:vAlign w:val="center"/>
                </w:tcPr>
                <w:p>
                  <w:pPr>
                    <w:pStyle w:val="47"/>
                  </w:pPr>
                  <w:r>
                    <w:t>6~9</w:t>
                  </w:r>
                </w:p>
              </w:tc>
              <w:tc>
                <w:tcPr>
                  <w:tcW w:w="1523" w:type="pct"/>
                  <w:tcBorders>
                    <w:top w:val="single" w:color="auto" w:sz="4" w:space="0"/>
                    <w:left w:val="single" w:color="auto" w:sz="4" w:space="0"/>
                    <w:bottom w:val="single" w:color="auto" w:sz="4" w:space="0"/>
                    <w:right w:val="single" w:color="auto" w:sz="4" w:space="0"/>
                  </w:tcBorders>
                  <w:vAlign w:val="center"/>
                </w:tcPr>
                <w:p>
                  <w:pPr>
                    <w:pStyle w:val="47"/>
                  </w:pPr>
                  <w: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01" w:type="pct"/>
                  <w:tcBorders>
                    <w:top w:val="single" w:color="auto" w:sz="4" w:space="0"/>
                    <w:left w:val="single" w:color="auto" w:sz="4" w:space="0"/>
                    <w:bottom w:val="single" w:color="auto" w:sz="4" w:space="0"/>
                    <w:right w:val="single" w:color="auto" w:sz="4" w:space="0"/>
                  </w:tcBorders>
                  <w:vAlign w:val="center"/>
                </w:tcPr>
                <w:p>
                  <w:pPr>
                    <w:pStyle w:val="47"/>
                  </w:pPr>
                  <w:r>
                    <w:t>SS（mg/L）</w:t>
                  </w:r>
                </w:p>
              </w:tc>
              <w:tc>
                <w:tcPr>
                  <w:tcW w:w="2176" w:type="pct"/>
                  <w:tcBorders>
                    <w:top w:val="single" w:color="auto" w:sz="4" w:space="0"/>
                    <w:left w:val="single" w:color="auto" w:sz="4" w:space="0"/>
                    <w:bottom w:val="single" w:color="auto" w:sz="4" w:space="0"/>
                    <w:right w:val="single" w:color="auto" w:sz="4" w:space="0"/>
                  </w:tcBorders>
                  <w:vAlign w:val="center"/>
                </w:tcPr>
                <w:p>
                  <w:pPr>
                    <w:pStyle w:val="47"/>
                  </w:pPr>
                  <w:r>
                    <w:t>10</w:t>
                  </w:r>
                </w:p>
              </w:tc>
              <w:tc>
                <w:tcPr>
                  <w:tcW w:w="1523" w:type="pct"/>
                  <w:tcBorders>
                    <w:top w:val="single" w:color="auto" w:sz="4" w:space="0"/>
                    <w:left w:val="single" w:color="auto" w:sz="4" w:space="0"/>
                    <w:bottom w:val="single" w:color="auto" w:sz="4" w:space="0"/>
                    <w:right w:val="single" w:color="auto" w:sz="4" w:space="0"/>
                  </w:tcBorders>
                  <w:vAlign w:val="center"/>
                </w:tcPr>
                <w:p>
                  <w:pPr>
                    <w:pStyle w:val="47"/>
                  </w:pPr>
                  <w: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01" w:type="pct"/>
                  <w:tcBorders>
                    <w:top w:val="single" w:color="auto" w:sz="4" w:space="0"/>
                    <w:left w:val="single" w:color="auto" w:sz="4" w:space="0"/>
                    <w:bottom w:val="single" w:color="auto" w:sz="4" w:space="0"/>
                    <w:right w:val="single" w:color="auto" w:sz="4" w:space="0"/>
                  </w:tcBorders>
                  <w:vAlign w:val="center"/>
                </w:tcPr>
                <w:p>
                  <w:pPr>
                    <w:pStyle w:val="47"/>
                  </w:pPr>
                  <w:r>
                    <w:t>COD</w:t>
                  </w:r>
                  <w:r>
                    <w:rPr>
                      <w:vertAlign w:val="subscript"/>
                    </w:rPr>
                    <w:t>Cr</w:t>
                  </w:r>
                  <w:r>
                    <w:t>（mg/L）</w:t>
                  </w:r>
                </w:p>
              </w:tc>
              <w:tc>
                <w:tcPr>
                  <w:tcW w:w="2176" w:type="pct"/>
                  <w:tcBorders>
                    <w:top w:val="single" w:color="auto" w:sz="4" w:space="0"/>
                    <w:left w:val="single" w:color="auto" w:sz="4" w:space="0"/>
                    <w:bottom w:val="single" w:color="auto" w:sz="4" w:space="0"/>
                    <w:right w:val="single" w:color="auto" w:sz="4" w:space="0"/>
                  </w:tcBorders>
                  <w:vAlign w:val="center"/>
                </w:tcPr>
                <w:p>
                  <w:pPr>
                    <w:pStyle w:val="47"/>
                  </w:pPr>
                  <w:r>
                    <w:t>50</w:t>
                  </w:r>
                </w:p>
              </w:tc>
              <w:tc>
                <w:tcPr>
                  <w:tcW w:w="1523" w:type="pct"/>
                  <w:tcBorders>
                    <w:top w:val="single" w:color="auto" w:sz="4" w:space="0"/>
                    <w:left w:val="single" w:color="auto" w:sz="4" w:space="0"/>
                    <w:bottom w:val="single" w:color="auto" w:sz="4" w:space="0"/>
                    <w:right w:val="single" w:color="auto" w:sz="4" w:space="0"/>
                  </w:tcBorders>
                  <w:vAlign w:val="center"/>
                </w:tcPr>
                <w:p>
                  <w:pPr>
                    <w:pStyle w:val="47"/>
                  </w:pPr>
                  <w: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01" w:type="pct"/>
                  <w:tcBorders>
                    <w:top w:val="single" w:color="auto" w:sz="4" w:space="0"/>
                    <w:left w:val="single" w:color="auto" w:sz="4" w:space="0"/>
                    <w:bottom w:val="single" w:color="auto" w:sz="4" w:space="0"/>
                    <w:right w:val="single" w:color="auto" w:sz="4" w:space="0"/>
                  </w:tcBorders>
                  <w:vAlign w:val="center"/>
                </w:tcPr>
                <w:p>
                  <w:pPr>
                    <w:pStyle w:val="47"/>
                  </w:pPr>
                  <w:r>
                    <w:t>NH</w:t>
                  </w:r>
                  <w:r>
                    <w:rPr>
                      <w:vertAlign w:val="subscript"/>
                    </w:rPr>
                    <w:t>3</w:t>
                  </w:r>
                  <w:r>
                    <w:t>-N（mg/L）</w:t>
                  </w:r>
                </w:p>
              </w:tc>
              <w:tc>
                <w:tcPr>
                  <w:tcW w:w="2176" w:type="pct"/>
                  <w:tcBorders>
                    <w:top w:val="single" w:color="auto" w:sz="4" w:space="0"/>
                    <w:left w:val="single" w:color="auto" w:sz="4" w:space="0"/>
                    <w:bottom w:val="single" w:color="auto" w:sz="4" w:space="0"/>
                    <w:right w:val="single" w:color="auto" w:sz="4" w:space="0"/>
                  </w:tcBorders>
                  <w:vAlign w:val="center"/>
                </w:tcPr>
                <w:p>
                  <w:pPr>
                    <w:pStyle w:val="47"/>
                  </w:pPr>
                  <w:r>
                    <w:t>5（8）**</w:t>
                  </w:r>
                </w:p>
              </w:tc>
              <w:tc>
                <w:tcPr>
                  <w:tcW w:w="1523" w:type="pct"/>
                  <w:tcBorders>
                    <w:top w:val="single" w:color="auto" w:sz="4" w:space="0"/>
                    <w:left w:val="single" w:color="auto" w:sz="4" w:space="0"/>
                    <w:bottom w:val="single" w:color="auto" w:sz="4" w:space="0"/>
                    <w:right w:val="single" w:color="auto" w:sz="4" w:space="0"/>
                  </w:tcBorders>
                  <w:vAlign w:val="center"/>
                </w:tcPr>
                <w:p>
                  <w:pPr>
                    <w:pStyle w:val="47"/>
                  </w:pPr>
                  <w: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01" w:type="pct"/>
                  <w:tcBorders>
                    <w:top w:val="single" w:color="auto" w:sz="4" w:space="0"/>
                    <w:left w:val="single" w:color="auto" w:sz="4" w:space="0"/>
                    <w:bottom w:val="single" w:color="auto" w:sz="4" w:space="0"/>
                    <w:right w:val="single" w:color="auto" w:sz="4" w:space="0"/>
                  </w:tcBorders>
                  <w:vAlign w:val="center"/>
                </w:tcPr>
                <w:p>
                  <w:pPr>
                    <w:pStyle w:val="47"/>
                  </w:pPr>
                  <w:r>
                    <w:t>BOD</w:t>
                  </w:r>
                  <w:r>
                    <w:rPr>
                      <w:vertAlign w:val="subscript"/>
                    </w:rPr>
                    <w:t>5</w:t>
                  </w:r>
                  <w:r>
                    <w:t>（mg/L）</w:t>
                  </w:r>
                </w:p>
              </w:tc>
              <w:tc>
                <w:tcPr>
                  <w:tcW w:w="2176" w:type="pct"/>
                  <w:tcBorders>
                    <w:top w:val="single" w:color="auto" w:sz="4" w:space="0"/>
                    <w:left w:val="single" w:color="auto" w:sz="4" w:space="0"/>
                    <w:bottom w:val="single" w:color="auto" w:sz="4" w:space="0"/>
                    <w:right w:val="single" w:color="auto" w:sz="4" w:space="0"/>
                  </w:tcBorders>
                  <w:vAlign w:val="center"/>
                </w:tcPr>
                <w:p>
                  <w:pPr>
                    <w:pStyle w:val="47"/>
                  </w:pPr>
                  <w:r>
                    <w:t>10</w:t>
                  </w:r>
                </w:p>
              </w:tc>
              <w:tc>
                <w:tcPr>
                  <w:tcW w:w="1523" w:type="pct"/>
                  <w:tcBorders>
                    <w:top w:val="single" w:color="auto" w:sz="4" w:space="0"/>
                    <w:left w:val="single" w:color="auto" w:sz="4" w:space="0"/>
                    <w:bottom w:val="single" w:color="auto" w:sz="4" w:space="0"/>
                    <w:right w:val="single" w:color="auto" w:sz="4" w:space="0"/>
                  </w:tcBorders>
                  <w:vAlign w:val="center"/>
                </w:tcPr>
                <w:p>
                  <w:pPr>
                    <w:pStyle w:val="47"/>
                  </w:pPr>
                  <w: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01" w:type="pct"/>
                  <w:tcBorders>
                    <w:top w:val="single" w:color="auto" w:sz="4" w:space="0"/>
                    <w:left w:val="single" w:color="auto" w:sz="4" w:space="0"/>
                    <w:bottom w:val="single" w:color="auto" w:sz="4" w:space="0"/>
                    <w:right w:val="single" w:color="auto" w:sz="4" w:space="0"/>
                  </w:tcBorders>
                  <w:vAlign w:val="center"/>
                </w:tcPr>
                <w:p>
                  <w:pPr>
                    <w:pStyle w:val="47"/>
                  </w:pPr>
                  <w:r>
                    <w:t>总磷（mg/L）</w:t>
                  </w:r>
                </w:p>
              </w:tc>
              <w:tc>
                <w:tcPr>
                  <w:tcW w:w="2176" w:type="pct"/>
                  <w:tcBorders>
                    <w:top w:val="single" w:color="auto" w:sz="4" w:space="0"/>
                    <w:left w:val="single" w:color="auto" w:sz="4" w:space="0"/>
                    <w:bottom w:val="single" w:color="auto" w:sz="4" w:space="0"/>
                    <w:right w:val="single" w:color="auto" w:sz="4" w:space="0"/>
                  </w:tcBorders>
                  <w:vAlign w:val="center"/>
                </w:tcPr>
                <w:p>
                  <w:pPr>
                    <w:pStyle w:val="47"/>
                  </w:pPr>
                  <w:r>
                    <w:t>0.5</w:t>
                  </w:r>
                </w:p>
              </w:tc>
              <w:tc>
                <w:tcPr>
                  <w:tcW w:w="1523" w:type="pct"/>
                  <w:tcBorders>
                    <w:top w:val="single" w:color="auto" w:sz="4" w:space="0"/>
                    <w:left w:val="single" w:color="auto" w:sz="4" w:space="0"/>
                    <w:bottom w:val="single" w:color="auto" w:sz="4" w:space="0"/>
                    <w:right w:val="single" w:color="auto" w:sz="4" w:space="0"/>
                  </w:tcBorders>
                  <w:vAlign w:val="center"/>
                </w:tcPr>
                <w:p>
                  <w:pPr>
                    <w:pStyle w:val="47"/>
                  </w:pPr>
                  <w: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01" w:type="pct"/>
                  <w:tcBorders>
                    <w:top w:val="single" w:color="auto" w:sz="4" w:space="0"/>
                    <w:left w:val="single" w:color="auto" w:sz="4" w:space="0"/>
                    <w:bottom w:val="single" w:color="auto" w:sz="4" w:space="0"/>
                    <w:right w:val="single" w:color="auto" w:sz="4" w:space="0"/>
                  </w:tcBorders>
                  <w:vAlign w:val="center"/>
                </w:tcPr>
                <w:p>
                  <w:pPr>
                    <w:pStyle w:val="47"/>
                  </w:pPr>
                  <w:r>
                    <w:t>石油类（mg/L）</w:t>
                  </w:r>
                </w:p>
              </w:tc>
              <w:tc>
                <w:tcPr>
                  <w:tcW w:w="2176" w:type="pct"/>
                  <w:tcBorders>
                    <w:top w:val="single" w:color="auto" w:sz="4" w:space="0"/>
                    <w:left w:val="single" w:color="auto" w:sz="4" w:space="0"/>
                    <w:bottom w:val="single" w:color="auto" w:sz="4" w:space="0"/>
                    <w:right w:val="single" w:color="auto" w:sz="4" w:space="0"/>
                  </w:tcBorders>
                  <w:vAlign w:val="center"/>
                </w:tcPr>
                <w:p>
                  <w:pPr>
                    <w:pStyle w:val="47"/>
                  </w:pPr>
                  <w:r>
                    <w:t>1</w:t>
                  </w:r>
                </w:p>
              </w:tc>
              <w:tc>
                <w:tcPr>
                  <w:tcW w:w="1523" w:type="pct"/>
                  <w:tcBorders>
                    <w:top w:val="single" w:color="auto" w:sz="4" w:space="0"/>
                    <w:left w:val="single" w:color="auto" w:sz="4" w:space="0"/>
                    <w:bottom w:val="single" w:color="auto" w:sz="4" w:space="0"/>
                    <w:right w:val="single" w:color="auto" w:sz="4" w:space="0"/>
                  </w:tcBorders>
                  <w:vAlign w:val="center"/>
                </w:tcPr>
                <w:p>
                  <w:pPr>
                    <w:pStyle w:val="47"/>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pPr>
                    <w:pStyle w:val="49"/>
                    <w:jc w:val="both"/>
                    <w:rPr>
                      <w:szCs w:val="18"/>
                    </w:rPr>
                  </w:pPr>
                  <w:r>
                    <w:rPr>
                      <w:rFonts w:hint="eastAsia"/>
                      <w:szCs w:val="18"/>
                    </w:rPr>
                    <w:t>*注：</w:t>
                  </w:r>
                  <w:r>
                    <w:rPr>
                      <w:szCs w:val="18"/>
                    </w:rPr>
                    <w:t>氨氮、总磷入网值执行DB33/887-2013《工业企业废水氮、磷污染物间接排放限值》（浙江省人民政府2013年3月19日发布，2013年4月19日实施）。</w:t>
                  </w:r>
                </w:p>
                <w:p>
                  <w:pPr>
                    <w:pStyle w:val="49"/>
                    <w:jc w:val="both"/>
                    <w:rPr>
                      <w:szCs w:val="21"/>
                    </w:rPr>
                  </w:pPr>
                  <w:r>
                    <w:rPr>
                      <w:szCs w:val="18"/>
                    </w:rPr>
                    <w:t>**括号外数值为水温&gt;12℃时的控制指标，括号内数值为水温≤12℃时的控制指标。</w:t>
                  </w:r>
                </w:p>
              </w:tc>
            </w:tr>
          </w:tbl>
          <w:p>
            <w:pPr>
              <w:pStyle w:val="6"/>
              <w:spacing w:before="120" w:beforeLines="50"/>
              <w:rPr>
                <w:kern w:val="2"/>
              </w:rPr>
            </w:pPr>
            <w:bookmarkStart w:id="106" w:name="_Toc29380617"/>
            <w:bookmarkStart w:id="107" w:name="_Toc29388568"/>
            <w:r>
              <w:rPr>
                <w:kern w:val="2"/>
              </w:rPr>
              <w:t>4.2.2废气</w:t>
            </w:r>
            <w:bookmarkEnd w:id="106"/>
            <w:bookmarkEnd w:id="107"/>
          </w:p>
          <w:p>
            <w:pPr>
              <w:ind w:firstLine="480"/>
            </w:pPr>
            <w:r>
              <w:t>本项目</w:t>
            </w:r>
            <w:r>
              <w:rPr>
                <w:rFonts w:hint="eastAsia"/>
              </w:rPr>
              <w:t>生产过程中产生的废气主要为焊接工序中产生的焊接烟尘（以颗粒物计），以及浸漆、烘干工序产生的有机废气（以非甲烷总烃计）和恶臭</w:t>
            </w:r>
            <w:r>
              <w:t>。</w:t>
            </w:r>
          </w:p>
          <w:p>
            <w:pPr>
              <w:ind w:firstLine="480"/>
            </w:pPr>
            <w:r>
              <w:rPr>
                <w:rFonts w:hint="eastAsia"/>
              </w:rPr>
              <w:t>企业厂界处颗粒物无组织排放监控浓度限值执行《大气污染综合排放标准》（GB</w:t>
            </w:r>
            <w:r>
              <w:t>16297-1996</w:t>
            </w:r>
            <w:r>
              <w:rPr>
                <w:rFonts w:hint="eastAsia"/>
              </w:rPr>
              <w:t>）中表2规定的无组织排放监控浓度限值，具体见表4</w:t>
            </w:r>
            <w:r>
              <w:t>-</w:t>
            </w:r>
            <w:r>
              <w:rPr>
                <w:rFonts w:hint="eastAsia"/>
              </w:rPr>
              <w:t>7。</w:t>
            </w:r>
          </w:p>
          <w:p>
            <w:pPr>
              <w:pStyle w:val="46"/>
            </w:pPr>
            <w:r>
              <w:rPr>
                <w:rFonts w:hint="eastAsia"/>
              </w:rPr>
              <w:t>表4</w:t>
            </w:r>
            <w:r>
              <w:t>-</w:t>
            </w:r>
            <w:r>
              <w:rPr>
                <w:rFonts w:hint="eastAsia"/>
              </w:rPr>
              <w:t xml:space="preserve">7 </w:t>
            </w:r>
            <w:r>
              <w:t xml:space="preserve"> </w:t>
            </w:r>
            <w:r>
              <w:rPr>
                <w:rFonts w:hint="eastAsia"/>
              </w:rPr>
              <w:t>《大气污染物综合排放标准》（GB</w:t>
            </w:r>
            <w:r>
              <w:t>16297-1996</w:t>
            </w:r>
            <w:r>
              <w:rPr>
                <w:rFonts w:hint="eastAsia"/>
              </w:rPr>
              <w:t>）</w:t>
            </w:r>
          </w:p>
          <w:tbl>
            <w:tblPr>
              <w:tblStyle w:val="3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1"/>
              <w:gridCol w:w="3832"/>
              <w:gridCol w:w="2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vMerge w:val="restart"/>
                  <w:tcBorders>
                    <w:top w:val="single" w:color="auto" w:sz="4" w:space="0"/>
                    <w:left w:val="single" w:color="auto" w:sz="4" w:space="0"/>
                    <w:bottom w:val="single" w:color="auto" w:sz="4" w:space="0"/>
                    <w:right w:val="single" w:color="auto" w:sz="4" w:space="0"/>
                  </w:tcBorders>
                  <w:vAlign w:val="center"/>
                </w:tcPr>
                <w:p>
                  <w:pPr>
                    <w:pStyle w:val="46"/>
                  </w:pPr>
                  <w:r>
                    <w:rPr>
                      <w:rFonts w:hint="eastAsia"/>
                    </w:rPr>
                    <w:t>污染物项目</w:t>
                  </w:r>
                </w:p>
              </w:tc>
              <w:tc>
                <w:tcPr>
                  <w:tcW w:w="3778" w:type="pct"/>
                  <w:gridSpan w:val="2"/>
                  <w:tcBorders>
                    <w:top w:val="single" w:color="auto" w:sz="4" w:space="0"/>
                    <w:left w:val="single" w:color="auto" w:sz="4" w:space="0"/>
                    <w:right w:val="single" w:color="auto" w:sz="4" w:space="0"/>
                  </w:tcBorders>
                  <w:vAlign w:val="center"/>
                </w:tcPr>
                <w:p>
                  <w:pPr>
                    <w:pStyle w:val="46"/>
                  </w:pPr>
                  <w:r>
                    <w:rPr>
                      <w:rFonts w:hint="eastAsia"/>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vMerge w:val="continue"/>
                  <w:tcBorders>
                    <w:top w:val="single" w:color="auto" w:sz="4" w:space="0"/>
                    <w:left w:val="single" w:color="auto" w:sz="4" w:space="0"/>
                    <w:bottom w:val="single" w:color="auto" w:sz="4" w:space="0"/>
                    <w:right w:val="single" w:color="auto" w:sz="4" w:space="0"/>
                  </w:tcBorders>
                  <w:vAlign w:val="center"/>
                </w:tcPr>
                <w:p>
                  <w:pPr>
                    <w:pStyle w:val="46"/>
                  </w:pPr>
                </w:p>
              </w:tc>
              <w:tc>
                <w:tcPr>
                  <w:tcW w:w="2350" w:type="pct"/>
                  <w:tcBorders>
                    <w:left w:val="single" w:color="auto" w:sz="4" w:space="0"/>
                    <w:bottom w:val="single" w:color="auto" w:sz="4" w:space="0"/>
                    <w:right w:val="single" w:color="auto" w:sz="4" w:space="0"/>
                  </w:tcBorders>
                  <w:vAlign w:val="center"/>
                </w:tcPr>
                <w:p>
                  <w:pPr>
                    <w:pStyle w:val="46"/>
                  </w:pPr>
                  <w:r>
                    <w:rPr>
                      <w:rFonts w:hint="eastAsia"/>
                    </w:rPr>
                    <w:t>监控点</w:t>
                  </w:r>
                </w:p>
              </w:tc>
              <w:tc>
                <w:tcPr>
                  <w:tcW w:w="1427" w:type="pct"/>
                  <w:tcBorders>
                    <w:left w:val="single" w:color="auto" w:sz="4" w:space="0"/>
                    <w:bottom w:val="single" w:color="auto" w:sz="4" w:space="0"/>
                    <w:right w:val="single" w:color="auto" w:sz="4" w:space="0"/>
                  </w:tcBorders>
                  <w:vAlign w:val="center"/>
                </w:tcPr>
                <w:p>
                  <w:pPr>
                    <w:pStyle w:val="46"/>
                  </w:pPr>
                  <w:r>
                    <w:rPr>
                      <w:rFonts w:hint="eastAsia"/>
                    </w:rPr>
                    <w:t>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颗粒物</w:t>
                  </w:r>
                </w:p>
              </w:tc>
              <w:tc>
                <w:tcPr>
                  <w:tcW w:w="2350"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周界外浓度最高点</w:t>
                  </w:r>
                </w:p>
              </w:tc>
              <w:tc>
                <w:tcPr>
                  <w:tcW w:w="1427"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w:t>
                  </w:r>
                  <w:r>
                    <w:t>.0</w:t>
                  </w:r>
                  <w:r>
                    <w:rPr>
                      <w:rFonts w:hint="eastAsia"/>
                    </w:rPr>
                    <w:t>mg</w:t>
                  </w:r>
                  <w:r>
                    <w:t>/</w:t>
                  </w:r>
                  <w:r>
                    <w:rPr>
                      <w:rFonts w:hint="eastAsia"/>
                    </w:rPr>
                    <w:t>m</w:t>
                  </w:r>
                  <w:r>
                    <w:rPr>
                      <w:rFonts w:hint="eastAsia"/>
                      <w:vertAlign w:val="superscript"/>
                    </w:rPr>
                    <w:t>3</w:t>
                  </w:r>
                </w:p>
              </w:tc>
            </w:tr>
          </w:tbl>
          <w:p>
            <w:pPr>
              <w:spacing w:before="120" w:beforeLines="50"/>
              <w:ind w:firstLine="480"/>
            </w:pPr>
            <w:r>
              <w:rPr>
                <w:rFonts w:hint="eastAsia"/>
              </w:rPr>
              <w:t>浸漆、烘干产生的非甲烷总烃、臭气浓度有组织</w:t>
            </w:r>
            <w:r>
              <w:t>排放标准执行《</w:t>
            </w:r>
            <w:r>
              <w:rPr>
                <w:rFonts w:hint="eastAsia"/>
              </w:rPr>
              <w:t>工业涂装工序大气污染物排放标准</w:t>
            </w:r>
            <w:r>
              <w:t>》（</w:t>
            </w:r>
            <w:r>
              <w:rPr>
                <w:rFonts w:hint="eastAsia"/>
              </w:rPr>
              <w:t>DB33/2146-2018</w:t>
            </w:r>
            <w:r>
              <w:t>）</w:t>
            </w:r>
            <w:r>
              <w:rPr>
                <w:rFonts w:hint="eastAsia"/>
              </w:rPr>
              <w:t>表1</w:t>
            </w:r>
            <w:r>
              <w:t>中的相关</w:t>
            </w:r>
            <w:r>
              <w:rPr>
                <w:rFonts w:hint="eastAsia"/>
              </w:rPr>
              <w:t>排放限值</w:t>
            </w:r>
            <w:r>
              <w:t>，具体见表4-</w:t>
            </w:r>
            <w:r>
              <w:rPr>
                <w:rFonts w:hint="eastAsia"/>
              </w:rPr>
              <w:t>8</w:t>
            </w:r>
            <w:r>
              <w:t>。</w:t>
            </w:r>
          </w:p>
          <w:p>
            <w:pPr>
              <w:pStyle w:val="46"/>
            </w:pPr>
            <w:r>
              <w:t>表4-</w:t>
            </w:r>
            <w:r>
              <w:rPr>
                <w:rFonts w:hint="eastAsia"/>
              </w:rPr>
              <w:t>8</w:t>
            </w:r>
            <w:r>
              <w:t xml:space="preserve">  《</w:t>
            </w:r>
            <w:r>
              <w:rPr>
                <w:rFonts w:hint="eastAsia"/>
              </w:rPr>
              <w:t>工业涂装工序大气污染物排放标准</w:t>
            </w:r>
            <w:r>
              <w:t>》（</w:t>
            </w:r>
            <w:r>
              <w:rPr>
                <w:rFonts w:hint="eastAsia"/>
              </w:rPr>
              <w:t>DB33/2146-2018</w:t>
            </w:r>
            <w:r>
              <w:t>）</w:t>
            </w:r>
          </w:p>
          <w:tbl>
            <w:tblPr>
              <w:tblStyle w:val="34"/>
              <w:tblW w:w="49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1307"/>
              <w:gridCol w:w="691"/>
              <w:gridCol w:w="1153"/>
              <w:gridCol w:w="1975"/>
              <w:gridCol w:w="2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 w:type="pct"/>
                  <w:tcBorders>
                    <w:top w:val="single" w:color="auto" w:sz="4" w:space="0"/>
                    <w:left w:val="single" w:color="auto" w:sz="4" w:space="0"/>
                    <w:bottom w:val="single" w:color="auto" w:sz="4" w:space="0"/>
                    <w:right w:val="single" w:color="auto" w:sz="4" w:space="0"/>
                  </w:tcBorders>
                  <w:vAlign w:val="center"/>
                </w:tcPr>
                <w:p>
                  <w:pPr>
                    <w:pStyle w:val="47"/>
                    <w:rPr>
                      <w:b/>
                      <w:bCs/>
                    </w:rPr>
                  </w:pPr>
                  <w:r>
                    <w:rPr>
                      <w:rFonts w:hint="eastAsia"/>
                      <w:b/>
                      <w:bCs/>
                    </w:rPr>
                    <w:t>序号</w:t>
                  </w:r>
                </w:p>
              </w:tc>
              <w:tc>
                <w:tcPr>
                  <w:tcW w:w="1232" w:type="pct"/>
                  <w:gridSpan w:val="2"/>
                  <w:tcBorders>
                    <w:top w:val="single" w:color="auto" w:sz="4" w:space="0"/>
                    <w:left w:val="single" w:color="auto" w:sz="4" w:space="0"/>
                    <w:bottom w:val="single" w:color="auto" w:sz="4" w:space="0"/>
                    <w:right w:val="single" w:color="auto" w:sz="4" w:space="0"/>
                  </w:tcBorders>
                  <w:vAlign w:val="center"/>
                </w:tcPr>
                <w:p>
                  <w:pPr>
                    <w:pStyle w:val="47"/>
                    <w:rPr>
                      <w:b/>
                      <w:bCs/>
                    </w:rPr>
                  </w:pPr>
                  <w:r>
                    <w:rPr>
                      <w:rFonts w:hint="eastAsia"/>
                      <w:b/>
                      <w:bCs/>
                    </w:rPr>
                    <w:t>污染物项目</w:t>
                  </w:r>
                </w:p>
              </w:tc>
              <w:tc>
                <w:tcPr>
                  <w:tcW w:w="711" w:type="pct"/>
                  <w:tcBorders>
                    <w:top w:val="single" w:color="auto" w:sz="4" w:space="0"/>
                    <w:left w:val="single" w:color="auto" w:sz="4" w:space="0"/>
                    <w:right w:val="single" w:color="auto" w:sz="4" w:space="0"/>
                  </w:tcBorders>
                  <w:vAlign w:val="center"/>
                </w:tcPr>
                <w:p>
                  <w:pPr>
                    <w:pStyle w:val="47"/>
                    <w:rPr>
                      <w:b/>
                      <w:bCs/>
                    </w:rPr>
                  </w:pPr>
                  <w:r>
                    <w:rPr>
                      <w:rFonts w:hint="eastAsia"/>
                      <w:b/>
                      <w:bCs/>
                    </w:rPr>
                    <w:t>适用条件</w:t>
                  </w:r>
                </w:p>
              </w:tc>
              <w:tc>
                <w:tcPr>
                  <w:tcW w:w="1218" w:type="pct"/>
                  <w:tcBorders>
                    <w:top w:val="single" w:color="auto" w:sz="4" w:space="0"/>
                    <w:left w:val="single" w:color="auto" w:sz="4" w:space="0"/>
                    <w:right w:val="single" w:color="auto" w:sz="4" w:space="0"/>
                  </w:tcBorders>
                  <w:vAlign w:val="center"/>
                </w:tcPr>
                <w:p>
                  <w:pPr>
                    <w:pStyle w:val="47"/>
                    <w:rPr>
                      <w:b/>
                      <w:bCs/>
                    </w:rPr>
                  </w:pPr>
                  <w:r>
                    <w:rPr>
                      <w:rFonts w:hint="eastAsia"/>
                      <w:b/>
                      <w:bCs/>
                    </w:rPr>
                    <w:t>排放限值（</w:t>
                  </w:r>
                  <w:r>
                    <w:rPr>
                      <w:b/>
                      <w:bCs/>
                    </w:rPr>
                    <w:t>mg/m</w:t>
                  </w:r>
                  <w:r>
                    <w:rPr>
                      <w:b/>
                      <w:bCs/>
                      <w:vertAlign w:val="superscript"/>
                    </w:rPr>
                    <w:t>3</w:t>
                  </w:r>
                  <w:r>
                    <w:rPr>
                      <w:rFonts w:hint="eastAsia"/>
                      <w:b/>
                      <w:bCs/>
                    </w:rPr>
                    <w:t>）</w:t>
                  </w:r>
                </w:p>
              </w:tc>
              <w:tc>
                <w:tcPr>
                  <w:tcW w:w="1386" w:type="pct"/>
                  <w:tcBorders>
                    <w:top w:val="single" w:color="auto" w:sz="4" w:space="0"/>
                    <w:left w:val="single" w:color="auto" w:sz="4" w:space="0"/>
                    <w:bottom w:val="single" w:color="auto" w:sz="4" w:space="0"/>
                    <w:right w:val="single" w:color="auto" w:sz="4" w:space="0"/>
                  </w:tcBorders>
                  <w:vAlign w:val="center"/>
                </w:tcPr>
                <w:p>
                  <w:pPr>
                    <w:pStyle w:val="47"/>
                    <w:rPr>
                      <w:b/>
                      <w:bCs/>
                    </w:rPr>
                  </w:pPr>
                  <w:r>
                    <w:rPr>
                      <w:rFonts w:hint="eastAsia"/>
                      <w:b/>
                      <w:bCs/>
                    </w:rPr>
                    <w:t>污染物排放监控位置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w:t>
                  </w:r>
                </w:p>
              </w:tc>
              <w:tc>
                <w:tcPr>
                  <w:tcW w:w="1232" w:type="pct"/>
                  <w:gridSpan w:val="2"/>
                  <w:tcBorders>
                    <w:top w:val="single" w:color="auto" w:sz="4" w:space="0"/>
                    <w:left w:val="single" w:color="auto" w:sz="4" w:space="0"/>
                    <w:bottom w:val="single" w:color="auto" w:sz="4" w:space="0"/>
                    <w:right w:val="single" w:color="auto" w:sz="4" w:space="0"/>
                  </w:tcBorders>
                  <w:vAlign w:val="center"/>
                </w:tcPr>
                <w:p>
                  <w:pPr>
                    <w:pStyle w:val="47"/>
                  </w:pPr>
                  <w:r>
                    <w:rPr>
                      <w:rFonts w:hint="eastAsia"/>
                    </w:rPr>
                    <w:t>臭气浓度*</w:t>
                  </w:r>
                </w:p>
              </w:tc>
              <w:tc>
                <w:tcPr>
                  <w:tcW w:w="711" w:type="pct"/>
                  <w:vMerge w:val="restart"/>
                  <w:tcBorders>
                    <w:top w:val="single" w:color="auto" w:sz="4" w:space="0"/>
                    <w:left w:val="single" w:color="auto" w:sz="4" w:space="0"/>
                    <w:right w:val="single" w:color="auto" w:sz="4" w:space="0"/>
                  </w:tcBorders>
                  <w:vAlign w:val="center"/>
                </w:tcPr>
                <w:p>
                  <w:pPr>
                    <w:pStyle w:val="47"/>
                  </w:pPr>
                  <w:r>
                    <w:rPr>
                      <w:rFonts w:hint="eastAsia"/>
                    </w:rPr>
                    <w:t>所有</w:t>
                  </w:r>
                </w:p>
              </w:tc>
              <w:tc>
                <w:tcPr>
                  <w:tcW w:w="1218"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1000</w:t>
                  </w:r>
                </w:p>
              </w:tc>
              <w:tc>
                <w:tcPr>
                  <w:tcW w:w="1386" w:type="pct"/>
                  <w:vMerge w:val="restart"/>
                  <w:tcBorders>
                    <w:top w:val="single" w:color="auto" w:sz="4" w:space="0"/>
                    <w:left w:val="single" w:color="auto" w:sz="4" w:space="0"/>
                    <w:right w:val="single" w:color="auto" w:sz="4" w:space="0"/>
                  </w:tcBorders>
                  <w:vAlign w:val="center"/>
                </w:tcPr>
                <w:p>
                  <w:pPr>
                    <w:pStyle w:val="47"/>
                  </w:pPr>
                  <w:r>
                    <w:rPr>
                      <w:rFonts w:hint="eastAsia"/>
                      <w:szCs w:val="22"/>
                    </w:rPr>
                    <w:t>车间或生产设施排气筒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 w:type="pct"/>
                  <w:tcBorders>
                    <w:top w:val="single" w:color="auto" w:sz="4" w:space="0"/>
                    <w:left w:val="single" w:color="auto" w:sz="4" w:space="0"/>
                    <w:bottom w:val="single" w:color="auto" w:sz="4" w:space="0"/>
                    <w:right w:val="single" w:color="auto" w:sz="4" w:space="0"/>
                  </w:tcBorders>
                  <w:vAlign w:val="center"/>
                </w:tcPr>
                <w:p>
                  <w:pPr>
                    <w:pStyle w:val="47"/>
                  </w:pPr>
                  <w:r>
                    <w:t>2</w:t>
                  </w:r>
                </w:p>
              </w:tc>
              <w:tc>
                <w:tcPr>
                  <w:tcW w:w="806"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非甲烷总烃</w:t>
                  </w:r>
                </w:p>
              </w:tc>
              <w:tc>
                <w:tcPr>
                  <w:tcW w:w="426"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其他</w:t>
                  </w:r>
                </w:p>
              </w:tc>
              <w:tc>
                <w:tcPr>
                  <w:tcW w:w="711" w:type="pct"/>
                  <w:vMerge w:val="continue"/>
                  <w:tcBorders>
                    <w:left w:val="single" w:color="auto" w:sz="4" w:space="0"/>
                    <w:bottom w:val="single" w:color="auto" w:sz="4" w:space="0"/>
                    <w:right w:val="single" w:color="auto" w:sz="4" w:space="0"/>
                  </w:tcBorders>
                  <w:vAlign w:val="center"/>
                </w:tcPr>
                <w:p>
                  <w:pPr>
                    <w:pStyle w:val="47"/>
                  </w:pPr>
                </w:p>
              </w:tc>
              <w:tc>
                <w:tcPr>
                  <w:tcW w:w="1218"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80</w:t>
                  </w:r>
                </w:p>
              </w:tc>
              <w:tc>
                <w:tcPr>
                  <w:tcW w:w="1386" w:type="pct"/>
                  <w:vMerge w:val="continue"/>
                  <w:tcBorders>
                    <w:left w:val="single" w:color="auto" w:sz="4" w:space="0"/>
                    <w:bottom w:val="single" w:color="auto" w:sz="4" w:space="0"/>
                    <w:right w:val="single" w:color="auto" w:sz="4" w:space="0"/>
                  </w:tcBorders>
                  <w:vAlign w:val="center"/>
                </w:tcPr>
                <w:p>
                  <w:pPr>
                    <w:pStyle w:val="4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tcBorders>
                    <w:top w:val="single" w:color="auto" w:sz="4" w:space="0"/>
                    <w:left w:val="single" w:color="auto" w:sz="4" w:space="0"/>
                    <w:bottom w:val="single" w:color="auto" w:sz="4" w:space="0"/>
                    <w:right w:val="single" w:color="auto" w:sz="4" w:space="0"/>
                  </w:tcBorders>
                  <w:vAlign w:val="center"/>
                </w:tcPr>
                <w:p>
                  <w:pPr>
                    <w:pStyle w:val="47"/>
                    <w:jc w:val="both"/>
                    <w:rPr>
                      <w:sz w:val="18"/>
                      <w:szCs w:val="16"/>
                    </w:rPr>
                  </w:pPr>
                  <w:r>
                    <w:rPr>
                      <w:rFonts w:hint="eastAsia"/>
                      <w:sz w:val="18"/>
                      <w:szCs w:val="16"/>
                    </w:rPr>
                    <w:t>*注：臭气浓度取一次最大监测值，单位为无量纲。</w:t>
                  </w:r>
                </w:p>
              </w:tc>
            </w:tr>
          </w:tbl>
          <w:p>
            <w:pPr>
              <w:ind w:firstLine="480"/>
            </w:pPr>
            <w:bookmarkStart w:id="108" w:name="_Toc29380618"/>
            <w:bookmarkStart w:id="109" w:name="_Toc29388569"/>
            <w:r>
              <w:rPr>
                <w:rFonts w:hint="eastAsia"/>
                <w:szCs w:val="22"/>
              </w:rPr>
              <w:t>由于企业仅有1幢工业厂房进行生产，大气污染物无组织排放厂房外监控点位与企业边界重叠，因此企业厂区内挥发性有机物（VOCs）无组织排放监控点处1小时平均浓度从严执行</w:t>
            </w:r>
            <w:r>
              <w:t>《</w:t>
            </w:r>
            <w:r>
              <w:rPr>
                <w:rFonts w:hint="eastAsia"/>
              </w:rPr>
              <w:t>工业涂装工序大气污染物排放标准</w:t>
            </w:r>
            <w:r>
              <w:t>》（</w:t>
            </w:r>
            <w:r>
              <w:rPr>
                <w:rFonts w:hint="eastAsia"/>
              </w:rPr>
              <w:t>DB33/2146-2018</w:t>
            </w:r>
            <w:r>
              <w:t>）</w:t>
            </w:r>
            <w:r>
              <w:rPr>
                <w:rFonts w:hint="eastAsia"/>
              </w:rPr>
              <w:t>表6中的企业边界大污染物浓度限值，臭气浓度无组织排放浓度执行</w:t>
            </w:r>
            <w:r>
              <w:t>《</w:t>
            </w:r>
            <w:r>
              <w:rPr>
                <w:rFonts w:hint="eastAsia"/>
              </w:rPr>
              <w:t>工业涂装工序大气污染物排放标准</w:t>
            </w:r>
            <w:r>
              <w:t>》（</w:t>
            </w:r>
            <w:r>
              <w:rPr>
                <w:rFonts w:hint="eastAsia"/>
              </w:rPr>
              <w:t>DB33/2146-2018</w:t>
            </w:r>
            <w:r>
              <w:t>）</w:t>
            </w:r>
            <w:r>
              <w:rPr>
                <w:rFonts w:hint="eastAsia"/>
              </w:rPr>
              <w:t>表6中的企业边界大污染物浓度限值，具体见表4-9。</w:t>
            </w:r>
          </w:p>
          <w:p>
            <w:pPr>
              <w:pStyle w:val="46"/>
            </w:pPr>
            <w:r>
              <w:rPr>
                <w:rFonts w:hint="eastAsia"/>
              </w:rPr>
              <w:t>表4-9  企业边界大污染物浓度限值</w:t>
            </w:r>
            <w:r>
              <w:t>（</w:t>
            </w:r>
            <w:r>
              <w:rPr>
                <w:rFonts w:hint="eastAsia"/>
              </w:rPr>
              <w:t>DB33/2146-2018</w:t>
            </w:r>
            <w:r>
              <w:t>）</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4"/>
              <w:gridCol w:w="2781"/>
              <w:gridCol w:w="1607"/>
              <w:gridCol w:w="2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tcBorders>
                    <w:top w:val="single" w:color="auto" w:sz="4" w:space="0"/>
                    <w:left w:val="single" w:color="auto" w:sz="4" w:space="0"/>
                    <w:bottom w:val="single" w:color="auto" w:sz="4" w:space="0"/>
                    <w:right w:val="single" w:color="auto" w:sz="4" w:space="0"/>
                  </w:tcBorders>
                  <w:vAlign w:val="center"/>
                </w:tcPr>
                <w:p>
                  <w:pPr>
                    <w:pStyle w:val="47"/>
                    <w:rPr>
                      <w:b/>
                      <w:bCs/>
                    </w:rPr>
                  </w:pPr>
                  <w:r>
                    <w:rPr>
                      <w:rFonts w:hint="eastAsia"/>
                      <w:b/>
                      <w:bCs/>
                    </w:rPr>
                    <w:t>序号</w:t>
                  </w:r>
                </w:p>
              </w:tc>
              <w:tc>
                <w:tcPr>
                  <w:tcW w:w="1706" w:type="pct"/>
                  <w:tcBorders>
                    <w:top w:val="single" w:color="auto" w:sz="4" w:space="0"/>
                    <w:left w:val="single" w:color="auto" w:sz="4" w:space="0"/>
                    <w:bottom w:val="single" w:color="auto" w:sz="4" w:space="0"/>
                    <w:right w:val="single" w:color="auto" w:sz="4" w:space="0"/>
                  </w:tcBorders>
                  <w:vAlign w:val="center"/>
                </w:tcPr>
                <w:p>
                  <w:pPr>
                    <w:pStyle w:val="47"/>
                    <w:rPr>
                      <w:b/>
                      <w:bCs/>
                    </w:rPr>
                  </w:pPr>
                  <w:r>
                    <w:rPr>
                      <w:rFonts w:hint="eastAsia"/>
                      <w:b/>
                      <w:bCs/>
                    </w:rPr>
                    <w:t>污染物项目</w:t>
                  </w:r>
                </w:p>
              </w:tc>
              <w:tc>
                <w:tcPr>
                  <w:tcW w:w="986" w:type="pct"/>
                  <w:tcBorders>
                    <w:top w:val="single" w:color="auto" w:sz="4" w:space="0"/>
                    <w:left w:val="single" w:color="auto" w:sz="4" w:space="0"/>
                    <w:right w:val="single" w:color="auto" w:sz="4" w:space="0"/>
                  </w:tcBorders>
                  <w:vAlign w:val="center"/>
                </w:tcPr>
                <w:p>
                  <w:pPr>
                    <w:pStyle w:val="47"/>
                    <w:rPr>
                      <w:b/>
                      <w:bCs/>
                    </w:rPr>
                  </w:pPr>
                  <w:r>
                    <w:rPr>
                      <w:rFonts w:hint="eastAsia"/>
                      <w:b/>
                      <w:bCs/>
                    </w:rPr>
                    <w:t>适用条件</w:t>
                  </w:r>
                </w:p>
              </w:tc>
              <w:tc>
                <w:tcPr>
                  <w:tcW w:w="1684" w:type="pct"/>
                  <w:tcBorders>
                    <w:top w:val="single" w:color="auto" w:sz="4" w:space="0"/>
                    <w:left w:val="single" w:color="auto" w:sz="4" w:space="0"/>
                    <w:right w:val="single" w:color="auto" w:sz="4" w:space="0"/>
                  </w:tcBorders>
                  <w:vAlign w:val="center"/>
                </w:tcPr>
                <w:p>
                  <w:pPr>
                    <w:pStyle w:val="47"/>
                    <w:rPr>
                      <w:b/>
                      <w:bCs/>
                    </w:rPr>
                  </w:pPr>
                  <w:r>
                    <w:rPr>
                      <w:rFonts w:hint="eastAsia"/>
                      <w:b/>
                      <w:bCs/>
                    </w:rPr>
                    <w:t>浓度限值（</w:t>
                  </w:r>
                  <w:r>
                    <w:rPr>
                      <w:b/>
                      <w:bCs/>
                    </w:rPr>
                    <w:t>mg/m</w:t>
                  </w:r>
                  <w:r>
                    <w:rPr>
                      <w:b/>
                      <w:bCs/>
                      <w:vertAlign w:val="superscript"/>
                    </w:rPr>
                    <w:t>3</w:t>
                  </w:r>
                  <w:r>
                    <w:rPr>
                      <w:rFonts w:hint="eastAsia"/>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w:t>
                  </w:r>
                </w:p>
              </w:tc>
              <w:tc>
                <w:tcPr>
                  <w:tcW w:w="1706"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臭气浓度*</w:t>
                  </w:r>
                </w:p>
              </w:tc>
              <w:tc>
                <w:tcPr>
                  <w:tcW w:w="986" w:type="pct"/>
                  <w:vMerge w:val="restart"/>
                  <w:tcBorders>
                    <w:top w:val="single" w:color="auto" w:sz="4" w:space="0"/>
                    <w:left w:val="single" w:color="auto" w:sz="4" w:space="0"/>
                    <w:right w:val="single" w:color="auto" w:sz="4" w:space="0"/>
                  </w:tcBorders>
                  <w:vAlign w:val="center"/>
                </w:tcPr>
                <w:p>
                  <w:pPr>
                    <w:pStyle w:val="47"/>
                  </w:pPr>
                  <w:r>
                    <w:rPr>
                      <w:rFonts w:hint="eastAsia"/>
                    </w:rPr>
                    <w:t>所有</w:t>
                  </w:r>
                </w:p>
              </w:tc>
              <w:tc>
                <w:tcPr>
                  <w:tcW w:w="1684"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2</w:t>
                  </w:r>
                </w:p>
              </w:tc>
              <w:tc>
                <w:tcPr>
                  <w:tcW w:w="1706"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非甲烷总烃</w:t>
                  </w:r>
                </w:p>
              </w:tc>
              <w:tc>
                <w:tcPr>
                  <w:tcW w:w="986" w:type="pct"/>
                  <w:vMerge w:val="continue"/>
                  <w:tcBorders>
                    <w:left w:val="single" w:color="auto" w:sz="4" w:space="0"/>
                    <w:right w:val="single" w:color="auto" w:sz="4" w:space="0"/>
                  </w:tcBorders>
                  <w:vAlign w:val="center"/>
                </w:tcPr>
                <w:p>
                  <w:pPr>
                    <w:pStyle w:val="47"/>
                  </w:pPr>
                </w:p>
              </w:tc>
              <w:tc>
                <w:tcPr>
                  <w:tcW w:w="1684"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pPr>
                    <w:pStyle w:val="47"/>
                    <w:jc w:val="both"/>
                    <w:rPr>
                      <w:sz w:val="18"/>
                      <w:szCs w:val="16"/>
                    </w:rPr>
                  </w:pPr>
                  <w:r>
                    <w:rPr>
                      <w:rFonts w:hint="eastAsia"/>
                      <w:sz w:val="18"/>
                      <w:szCs w:val="16"/>
                    </w:rPr>
                    <w:t>*注：臭气浓度取一次最大监测值，单位为无量纲。</w:t>
                  </w:r>
                </w:p>
              </w:tc>
            </w:tr>
          </w:tbl>
          <w:p>
            <w:pPr>
              <w:ind w:firstLine="480"/>
            </w:pPr>
            <w:r>
              <w:rPr>
                <w:rFonts w:hint="eastAsia"/>
              </w:rPr>
              <w:t>厂区内挥发性有机物（VOCs）</w:t>
            </w:r>
            <w:r>
              <w:rPr>
                <w:rFonts w:hint="eastAsia"/>
                <w:szCs w:val="22"/>
              </w:rPr>
              <w:t>无组织排放监控点处任意一次浓度值</w:t>
            </w:r>
            <w:r>
              <w:rPr>
                <w:rFonts w:hint="eastAsia"/>
              </w:rPr>
              <w:t>执行《挥发性有机物无组织排放控制标准》（GB37822-2019）表A.1中的特别排放限值，具体见表4-10。</w:t>
            </w:r>
          </w:p>
          <w:p>
            <w:pPr>
              <w:pStyle w:val="46"/>
            </w:pPr>
            <w:r>
              <w:rPr>
                <w:rFonts w:hint="eastAsia"/>
              </w:rPr>
              <w:t>表4-10 《挥发性有机物无组织排放控制标准》（GB37822-2019）</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3"/>
              <w:gridCol w:w="1797"/>
              <w:gridCol w:w="2533"/>
              <w:gridCol w:w="2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9" w:type="pct"/>
                  <w:tcBorders>
                    <w:top w:val="single" w:color="auto" w:sz="4" w:space="0"/>
                    <w:left w:val="single" w:color="auto" w:sz="4" w:space="0"/>
                    <w:bottom w:val="single" w:color="auto" w:sz="4" w:space="0"/>
                    <w:right w:val="single" w:color="auto" w:sz="4" w:space="0"/>
                  </w:tcBorders>
                  <w:vAlign w:val="center"/>
                </w:tcPr>
                <w:p>
                  <w:pPr>
                    <w:pStyle w:val="47"/>
                    <w:rPr>
                      <w:b/>
                      <w:bCs/>
                    </w:rPr>
                  </w:pPr>
                  <w:r>
                    <w:rPr>
                      <w:rFonts w:hint="eastAsia"/>
                      <w:b/>
                      <w:bCs/>
                    </w:rPr>
                    <w:t>污染物项目</w:t>
                  </w:r>
                </w:p>
              </w:tc>
              <w:tc>
                <w:tcPr>
                  <w:tcW w:w="1102" w:type="pct"/>
                  <w:tcBorders>
                    <w:top w:val="single" w:color="auto" w:sz="4" w:space="0"/>
                    <w:left w:val="single" w:color="auto" w:sz="4" w:space="0"/>
                    <w:right w:val="single" w:color="auto" w:sz="4" w:space="0"/>
                  </w:tcBorders>
                  <w:vAlign w:val="center"/>
                </w:tcPr>
                <w:p>
                  <w:pPr>
                    <w:pStyle w:val="47"/>
                    <w:rPr>
                      <w:b/>
                      <w:bCs/>
                    </w:rPr>
                  </w:pPr>
                  <w:r>
                    <w:rPr>
                      <w:rFonts w:hint="eastAsia"/>
                      <w:b/>
                      <w:bCs/>
                    </w:rPr>
                    <w:t>特别排放限值（</w:t>
                  </w:r>
                  <w:r>
                    <w:rPr>
                      <w:b/>
                      <w:bCs/>
                    </w:rPr>
                    <w:t>mg/m</w:t>
                  </w:r>
                  <w:r>
                    <w:rPr>
                      <w:b/>
                      <w:bCs/>
                      <w:vertAlign w:val="superscript"/>
                    </w:rPr>
                    <w:t>3</w:t>
                  </w:r>
                  <w:r>
                    <w:rPr>
                      <w:rFonts w:hint="eastAsia"/>
                      <w:b/>
                      <w:bCs/>
                    </w:rPr>
                    <w:t>）</w:t>
                  </w:r>
                </w:p>
              </w:tc>
              <w:tc>
                <w:tcPr>
                  <w:tcW w:w="1553" w:type="pct"/>
                  <w:tcBorders>
                    <w:top w:val="single" w:color="auto" w:sz="4" w:space="0"/>
                    <w:left w:val="single" w:color="auto" w:sz="4" w:space="0"/>
                    <w:right w:val="single" w:color="auto" w:sz="4" w:space="0"/>
                  </w:tcBorders>
                  <w:vAlign w:val="center"/>
                </w:tcPr>
                <w:p>
                  <w:pPr>
                    <w:pStyle w:val="47"/>
                    <w:rPr>
                      <w:b/>
                      <w:bCs/>
                    </w:rPr>
                  </w:pPr>
                  <w:r>
                    <w:rPr>
                      <w:rFonts w:hint="eastAsia"/>
                      <w:b/>
                      <w:bCs/>
                    </w:rPr>
                    <w:t>限值含义</w:t>
                  </w:r>
                </w:p>
              </w:tc>
              <w:tc>
                <w:tcPr>
                  <w:tcW w:w="1433" w:type="pct"/>
                  <w:tcBorders>
                    <w:top w:val="single" w:color="auto" w:sz="4" w:space="0"/>
                    <w:left w:val="single" w:color="auto" w:sz="4" w:space="0"/>
                    <w:bottom w:val="single" w:color="auto" w:sz="4" w:space="0"/>
                    <w:right w:val="single" w:color="auto" w:sz="4" w:space="0"/>
                  </w:tcBorders>
                  <w:vAlign w:val="center"/>
                </w:tcPr>
                <w:p>
                  <w:pPr>
                    <w:pStyle w:val="47"/>
                    <w:rPr>
                      <w:b/>
                      <w:bCs/>
                    </w:rPr>
                  </w:pPr>
                  <w:r>
                    <w:rPr>
                      <w:rFonts w:hint="eastAsia"/>
                      <w:b/>
                      <w:bCs/>
                    </w:rPr>
                    <w:t>污染物排放监控位置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9" w:type="pct"/>
                  <w:tcBorders>
                    <w:top w:val="single" w:color="auto" w:sz="4" w:space="0"/>
                    <w:left w:val="single" w:color="auto" w:sz="4" w:space="0"/>
                    <w:right w:val="single" w:color="auto" w:sz="4" w:space="0"/>
                  </w:tcBorders>
                  <w:vAlign w:val="center"/>
                </w:tcPr>
                <w:p>
                  <w:pPr>
                    <w:pStyle w:val="47"/>
                  </w:pPr>
                  <w:r>
                    <w:rPr>
                      <w:rFonts w:hint="eastAsia"/>
                    </w:rPr>
                    <w:t>非甲烷总烃</w:t>
                  </w:r>
                </w:p>
              </w:tc>
              <w:tc>
                <w:tcPr>
                  <w:tcW w:w="1102"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20</w:t>
                  </w:r>
                </w:p>
              </w:tc>
              <w:tc>
                <w:tcPr>
                  <w:tcW w:w="155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监控点处任意一次浓度值</w:t>
                  </w:r>
                </w:p>
              </w:tc>
              <w:tc>
                <w:tcPr>
                  <w:tcW w:w="1433" w:type="pct"/>
                  <w:tcBorders>
                    <w:top w:val="single" w:color="auto" w:sz="4" w:space="0"/>
                    <w:left w:val="single" w:color="auto" w:sz="4" w:space="0"/>
                    <w:right w:val="single" w:color="auto" w:sz="4" w:space="0"/>
                  </w:tcBorders>
                  <w:vAlign w:val="center"/>
                </w:tcPr>
                <w:p>
                  <w:pPr>
                    <w:pStyle w:val="47"/>
                  </w:pPr>
                  <w:r>
                    <w:rPr>
                      <w:rFonts w:hint="eastAsia"/>
                      <w:szCs w:val="22"/>
                    </w:rPr>
                    <w:t>在厂房外设置监控点</w:t>
                  </w:r>
                </w:p>
              </w:tc>
            </w:tr>
          </w:tbl>
          <w:p>
            <w:pPr>
              <w:pStyle w:val="6"/>
              <w:spacing w:before="120" w:beforeLines="50"/>
              <w:rPr>
                <w:kern w:val="2"/>
              </w:rPr>
            </w:pPr>
            <w:r>
              <w:rPr>
                <w:kern w:val="2"/>
              </w:rPr>
              <w:t>4.2.3噪声</w:t>
            </w:r>
            <w:bookmarkEnd w:id="108"/>
            <w:bookmarkEnd w:id="109"/>
          </w:p>
          <w:p>
            <w:pPr>
              <w:widowControl/>
              <w:ind w:firstLine="480"/>
              <w:jc w:val="left"/>
              <w:rPr>
                <w:szCs w:val="24"/>
              </w:rPr>
            </w:pPr>
            <w:r>
              <w:rPr>
                <w:szCs w:val="24"/>
              </w:rPr>
              <w:t>本项</w:t>
            </w:r>
            <w:r>
              <w:t>目位于</w:t>
            </w:r>
            <w:r>
              <w:rPr>
                <w:rFonts w:hint="eastAsia"/>
                <w:szCs w:val="24"/>
              </w:rPr>
              <w:t>桐乡市崇福镇杭福路1336号20幢</w:t>
            </w:r>
            <w:r>
              <w:rPr>
                <w:szCs w:val="24"/>
              </w:rPr>
              <w:t>，</w:t>
            </w:r>
            <w:r>
              <w:rPr>
                <w:rFonts w:hint="eastAsia"/>
                <w:kern w:val="0"/>
                <w:szCs w:val="24"/>
                <w:lang w:bidi="ar"/>
              </w:rPr>
              <w:t>位于崇福镇工业区</w:t>
            </w:r>
            <w:r>
              <w:rPr>
                <w:kern w:val="0"/>
                <w:szCs w:val="24"/>
                <w:lang w:bidi="ar"/>
              </w:rPr>
              <w:t>内</w:t>
            </w:r>
            <w:r>
              <w:rPr>
                <w:szCs w:val="24"/>
              </w:rPr>
              <w:t>，厂界四周</w:t>
            </w:r>
            <w:r>
              <w:t>噪声执行《工业企业厂界环境噪声排放标准》（GB1234</w:t>
            </w:r>
            <w:r>
              <w:rPr>
                <w:szCs w:val="24"/>
              </w:rPr>
              <w:t>8-2008</w:t>
            </w:r>
            <w:r>
              <w:t>）</w:t>
            </w:r>
            <w:r>
              <w:rPr>
                <w:szCs w:val="24"/>
              </w:rPr>
              <w:t>的3类区标准，具体见下表。</w:t>
            </w:r>
          </w:p>
          <w:p>
            <w:pPr>
              <w:pStyle w:val="46"/>
              <w:spacing w:after="24"/>
            </w:pPr>
            <w:r>
              <w:t>表4-</w:t>
            </w:r>
            <w:r>
              <w:rPr>
                <w:rFonts w:hint="eastAsia"/>
              </w:rPr>
              <w:t>11</w:t>
            </w:r>
            <w:r>
              <w:t xml:space="preserve">  《工业企业厂界环境噪声排放标准》  单位：dB（A）</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4"/>
              <w:gridCol w:w="2449"/>
              <w:gridCol w:w="2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96" w:type="pct"/>
                  <w:tcBorders>
                    <w:top w:val="single" w:color="auto" w:sz="4" w:space="0"/>
                    <w:left w:val="single" w:color="auto" w:sz="4" w:space="0"/>
                    <w:bottom w:val="single" w:color="auto" w:sz="4" w:space="0"/>
                    <w:right w:val="single" w:color="auto" w:sz="4" w:space="0"/>
                  </w:tcBorders>
                  <w:vAlign w:val="center"/>
                </w:tcPr>
                <w:p>
                  <w:pPr>
                    <w:pStyle w:val="46"/>
                  </w:pPr>
                  <w:r>
                    <w:t>厂界外声环境功区类别</w:t>
                  </w:r>
                </w:p>
              </w:tc>
              <w:tc>
                <w:tcPr>
                  <w:tcW w:w="1502" w:type="pct"/>
                  <w:tcBorders>
                    <w:top w:val="single" w:color="auto" w:sz="4" w:space="0"/>
                    <w:left w:val="single" w:color="auto" w:sz="4" w:space="0"/>
                    <w:bottom w:val="single" w:color="auto" w:sz="4" w:space="0"/>
                    <w:right w:val="single" w:color="auto" w:sz="4" w:space="0"/>
                  </w:tcBorders>
                  <w:vAlign w:val="center"/>
                </w:tcPr>
                <w:p>
                  <w:pPr>
                    <w:pStyle w:val="46"/>
                  </w:pPr>
                  <w:r>
                    <w:t>昼间</w:t>
                  </w:r>
                </w:p>
              </w:tc>
              <w:tc>
                <w:tcPr>
                  <w:tcW w:w="1501" w:type="pct"/>
                  <w:tcBorders>
                    <w:top w:val="single" w:color="auto" w:sz="4" w:space="0"/>
                    <w:left w:val="single" w:color="auto" w:sz="4" w:space="0"/>
                    <w:bottom w:val="single" w:color="auto" w:sz="4" w:space="0"/>
                    <w:right w:val="single" w:color="auto" w:sz="4" w:space="0"/>
                  </w:tcBorders>
                  <w:vAlign w:val="center"/>
                </w:tcPr>
                <w:p>
                  <w:pPr>
                    <w:pStyle w:val="46"/>
                  </w:pPr>
                  <w: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96" w:type="pct"/>
                  <w:tcBorders>
                    <w:top w:val="single" w:color="auto" w:sz="4" w:space="0"/>
                    <w:left w:val="single" w:color="auto" w:sz="4" w:space="0"/>
                    <w:bottom w:val="single" w:color="auto" w:sz="4" w:space="0"/>
                    <w:right w:val="single" w:color="auto" w:sz="4" w:space="0"/>
                  </w:tcBorders>
                  <w:vAlign w:val="center"/>
                </w:tcPr>
                <w:p>
                  <w:pPr>
                    <w:pStyle w:val="47"/>
                  </w:pPr>
                  <w:r>
                    <w:t>3类区标准</w:t>
                  </w:r>
                </w:p>
              </w:tc>
              <w:tc>
                <w:tcPr>
                  <w:tcW w:w="1502" w:type="pct"/>
                  <w:tcBorders>
                    <w:top w:val="single" w:color="auto" w:sz="4" w:space="0"/>
                    <w:left w:val="single" w:color="auto" w:sz="4" w:space="0"/>
                    <w:bottom w:val="single" w:color="auto" w:sz="4" w:space="0"/>
                    <w:right w:val="single" w:color="auto" w:sz="4" w:space="0"/>
                  </w:tcBorders>
                  <w:vAlign w:val="center"/>
                </w:tcPr>
                <w:p>
                  <w:pPr>
                    <w:pStyle w:val="47"/>
                  </w:pPr>
                  <w:r>
                    <w:t>65</w:t>
                  </w:r>
                </w:p>
              </w:tc>
              <w:tc>
                <w:tcPr>
                  <w:tcW w:w="1501" w:type="pct"/>
                  <w:tcBorders>
                    <w:top w:val="single" w:color="auto" w:sz="4" w:space="0"/>
                    <w:left w:val="single" w:color="auto" w:sz="4" w:space="0"/>
                    <w:bottom w:val="single" w:color="auto" w:sz="4" w:space="0"/>
                    <w:right w:val="single" w:color="auto" w:sz="4" w:space="0"/>
                  </w:tcBorders>
                  <w:vAlign w:val="center"/>
                </w:tcPr>
                <w:p>
                  <w:pPr>
                    <w:pStyle w:val="47"/>
                  </w:pPr>
                  <w:r>
                    <w:t>55</w:t>
                  </w:r>
                </w:p>
              </w:tc>
            </w:tr>
          </w:tbl>
          <w:p>
            <w:pPr>
              <w:pStyle w:val="6"/>
              <w:rPr>
                <w:kern w:val="2"/>
              </w:rPr>
            </w:pPr>
            <w:bookmarkStart w:id="110" w:name="_Toc29380619"/>
            <w:bookmarkStart w:id="111" w:name="_Toc29388570"/>
            <w:r>
              <w:rPr>
                <w:kern w:val="2"/>
              </w:rPr>
              <w:t>4.2.4固体废弃物</w:t>
            </w:r>
            <w:bookmarkEnd w:id="110"/>
            <w:bookmarkEnd w:id="111"/>
          </w:p>
          <w:p>
            <w:pPr>
              <w:ind w:firstLine="480"/>
              <w:rPr>
                <w:sz w:val="8"/>
                <w:szCs w:val="8"/>
              </w:rPr>
            </w:pPr>
            <w:r>
              <w:t>一般固体废物的排放执行《一般工业固体废物贮存、处置场污染控制标准》（GB18599-2001）及其修改单（环境保护部公告2013年第36号）、《中华人民共和国固体废物污染环境防治法》（2020年修订）中的有关规定。危险固废还需执行《危险废物贮存污染控制标准》（GB18597-2001）及其修改单（环境保护部公告2013年第36号）中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pct"/>
            <w:tcBorders>
              <w:top w:val="single" w:color="auto" w:sz="12" w:space="0"/>
              <w:left w:val="single" w:color="auto" w:sz="12" w:space="0"/>
              <w:bottom w:val="single" w:color="auto" w:sz="12" w:space="0"/>
              <w:right w:val="single" w:color="auto" w:sz="12" w:space="0"/>
            </w:tcBorders>
            <w:vAlign w:val="center"/>
          </w:tcPr>
          <w:p>
            <w:pPr>
              <w:pStyle w:val="49"/>
              <w:spacing w:line="480" w:lineRule="auto"/>
              <w:rPr>
                <w:sz w:val="24"/>
                <w:szCs w:val="24"/>
              </w:rPr>
            </w:pPr>
            <w:r>
              <w:rPr>
                <w:rFonts w:hint="eastAsia"/>
                <w:sz w:val="24"/>
                <w:szCs w:val="24"/>
              </w:rPr>
              <w:t>评价等级判定</w:t>
            </w:r>
          </w:p>
        </w:tc>
        <w:tc>
          <w:tcPr>
            <w:tcW w:w="4683" w:type="pct"/>
            <w:tcBorders>
              <w:top w:val="single" w:color="auto" w:sz="12" w:space="0"/>
              <w:left w:val="single" w:color="auto" w:sz="12" w:space="0"/>
              <w:bottom w:val="single" w:color="auto" w:sz="12" w:space="0"/>
              <w:right w:val="single" w:color="auto" w:sz="12" w:space="0"/>
            </w:tcBorders>
          </w:tcPr>
          <w:p>
            <w:pPr>
              <w:pStyle w:val="46"/>
            </w:pPr>
          </w:p>
          <w:p>
            <w:pPr>
              <w:pStyle w:val="46"/>
            </w:pPr>
            <w:r>
              <w:rPr>
                <w:rFonts w:hint="eastAsia"/>
              </w:rPr>
              <w:t>表4-12 项目各环境要素以及环境风险专题评价等级判定</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2"/>
              <w:gridCol w:w="5684"/>
              <w:gridCol w:w="1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2" w:type="dxa"/>
                  <w:vAlign w:val="center"/>
                </w:tcPr>
                <w:p>
                  <w:pPr>
                    <w:pStyle w:val="46"/>
                  </w:pPr>
                  <w:r>
                    <w:rPr>
                      <w:rFonts w:hint="eastAsia"/>
                    </w:rPr>
                    <w:t>项目</w:t>
                  </w:r>
                </w:p>
              </w:tc>
              <w:tc>
                <w:tcPr>
                  <w:tcW w:w="5684" w:type="dxa"/>
                  <w:vAlign w:val="center"/>
                </w:tcPr>
                <w:p>
                  <w:pPr>
                    <w:pStyle w:val="46"/>
                  </w:pPr>
                  <w:r>
                    <w:rPr>
                      <w:rFonts w:hint="eastAsia"/>
                    </w:rPr>
                    <w:t>判定说明</w:t>
                  </w:r>
                </w:p>
              </w:tc>
              <w:tc>
                <w:tcPr>
                  <w:tcW w:w="1157" w:type="dxa"/>
                  <w:vAlign w:val="center"/>
                </w:tcPr>
                <w:p>
                  <w:pPr>
                    <w:pStyle w:val="46"/>
                  </w:pPr>
                  <w:r>
                    <w:rPr>
                      <w:rFonts w:hint="eastAsia"/>
                    </w:rPr>
                    <w:t>判定等级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2" w:type="dxa"/>
                  <w:vAlign w:val="center"/>
                </w:tcPr>
                <w:p>
                  <w:pPr>
                    <w:pStyle w:val="47"/>
                  </w:pPr>
                  <w:r>
                    <w:rPr>
                      <w:rFonts w:hint="eastAsia"/>
                    </w:rPr>
                    <w:t>地表水环境</w:t>
                  </w:r>
                </w:p>
              </w:tc>
              <w:tc>
                <w:tcPr>
                  <w:tcW w:w="5684" w:type="dxa"/>
                  <w:vAlign w:val="center"/>
                </w:tcPr>
                <w:p>
                  <w:pPr>
                    <w:pStyle w:val="47"/>
                    <w:jc w:val="both"/>
                  </w:pPr>
                  <w:r>
                    <w:rPr>
                      <w:rFonts w:hint="eastAsia"/>
                    </w:rPr>
                    <w:t>本项目生活污水纳管间接排放。</w:t>
                  </w:r>
                </w:p>
              </w:tc>
              <w:tc>
                <w:tcPr>
                  <w:tcW w:w="1157" w:type="dxa"/>
                  <w:vAlign w:val="center"/>
                </w:tcPr>
                <w:p>
                  <w:pPr>
                    <w:pStyle w:val="47"/>
                  </w:pPr>
                  <w:r>
                    <w:rPr>
                      <w:rFonts w:hint="eastAsia"/>
                    </w:rPr>
                    <w:t>三级B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2" w:type="dxa"/>
                  <w:vAlign w:val="center"/>
                </w:tcPr>
                <w:p>
                  <w:pPr>
                    <w:pStyle w:val="47"/>
                  </w:pPr>
                  <w:r>
                    <w:rPr>
                      <w:rFonts w:hint="eastAsia"/>
                    </w:rPr>
                    <w:t>地下水环境</w:t>
                  </w:r>
                </w:p>
              </w:tc>
              <w:tc>
                <w:tcPr>
                  <w:tcW w:w="5684" w:type="dxa"/>
                  <w:vAlign w:val="center"/>
                </w:tcPr>
                <w:p>
                  <w:pPr>
                    <w:pStyle w:val="47"/>
                    <w:jc w:val="both"/>
                  </w:pPr>
                  <w:r>
                    <w:t>根据《环境影响评价技术导则 地下水环境》（HJ610-2016）附录A“地下水环境影响评价行业分类表”，</w:t>
                  </w:r>
                  <w:r>
                    <w:rPr>
                      <w:rFonts w:hint="eastAsia"/>
                    </w:rPr>
                    <w:t>本项目</w:t>
                  </w:r>
                  <w:r>
                    <w:t>属于“K 机械、电子”中的“71、通用、专用设备制造及维修</w:t>
                  </w:r>
                  <w:r>
                    <w:rPr>
                      <w:rFonts w:hint="eastAsia"/>
                    </w:rPr>
                    <w:t>—</w:t>
                  </w:r>
                  <w:r>
                    <w:t>其他”，属于Ⅳ类建设项目</w:t>
                  </w:r>
                  <w:r>
                    <w:rPr>
                      <w:rFonts w:hint="eastAsia"/>
                    </w:rPr>
                    <w:t>。</w:t>
                  </w:r>
                </w:p>
              </w:tc>
              <w:tc>
                <w:tcPr>
                  <w:tcW w:w="1157" w:type="dxa"/>
                  <w:vAlign w:val="center"/>
                </w:tcPr>
                <w:p>
                  <w:pPr>
                    <w:pStyle w:val="47"/>
                  </w:pPr>
                  <w:r>
                    <w:rPr>
                      <w:rFonts w:hint="eastAsia"/>
                    </w:rPr>
                    <w:t>不评价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2" w:type="dxa"/>
                  <w:vAlign w:val="center"/>
                </w:tcPr>
                <w:p>
                  <w:pPr>
                    <w:pStyle w:val="47"/>
                  </w:pPr>
                  <w:r>
                    <w:rPr>
                      <w:rFonts w:hint="eastAsia"/>
                    </w:rPr>
                    <w:t>大气环境</w:t>
                  </w:r>
                </w:p>
              </w:tc>
              <w:tc>
                <w:tcPr>
                  <w:tcW w:w="5684" w:type="dxa"/>
                  <w:vAlign w:val="center"/>
                </w:tcPr>
                <w:p>
                  <w:pPr>
                    <w:pStyle w:val="47"/>
                    <w:jc w:val="both"/>
                  </w:pPr>
                  <w:r>
                    <w:rPr>
                      <w:rFonts w:hint="eastAsia"/>
                    </w:rPr>
                    <w:t>根据大气污染物</w:t>
                  </w:r>
                  <w:r>
                    <w:t>最大地面浓度占标率 Pmax =</w:t>
                  </w:r>
                  <w:r>
                    <w:rPr>
                      <w:rFonts w:hint="eastAsia"/>
                    </w:rPr>
                    <w:t>0.25%（计算过程见7.2.3大气环境影响分析）。</w:t>
                  </w:r>
                </w:p>
              </w:tc>
              <w:tc>
                <w:tcPr>
                  <w:tcW w:w="1157" w:type="dxa"/>
                  <w:vAlign w:val="center"/>
                </w:tcPr>
                <w:p>
                  <w:pPr>
                    <w:pStyle w:val="47"/>
                  </w:pPr>
                  <w:r>
                    <w:rPr>
                      <w:rFonts w:hint="eastAsia"/>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2" w:type="dxa"/>
                  <w:vAlign w:val="center"/>
                </w:tcPr>
                <w:p>
                  <w:pPr>
                    <w:pStyle w:val="47"/>
                  </w:pPr>
                  <w:r>
                    <w:rPr>
                      <w:rFonts w:hint="eastAsia"/>
                    </w:rPr>
                    <w:t>声环境</w:t>
                  </w:r>
                </w:p>
              </w:tc>
              <w:tc>
                <w:tcPr>
                  <w:tcW w:w="5684" w:type="dxa"/>
                  <w:vAlign w:val="center"/>
                </w:tcPr>
                <w:p>
                  <w:pPr>
                    <w:pStyle w:val="47"/>
                    <w:jc w:val="both"/>
                  </w:pPr>
                  <w:r>
                    <w:t>本项目</w:t>
                  </w:r>
                  <w:r>
                    <w:rPr>
                      <w:rFonts w:hint="eastAsia"/>
                    </w:rPr>
                    <w:t>所在地属于</w:t>
                  </w:r>
                  <w:r>
                    <w:t>《声环境质量标准》（GB3096-2008）中的3类区</w:t>
                  </w:r>
                  <w:r>
                    <w:rPr>
                      <w:rFonts w:hint="eastAsia"/>
                    </w:rPr>
                    <w:t>，</w:t>
                  </w:r>
                  <w:r>
                    <w:t>且受影响的人口数量变化不大</w:t>
                  </w:r>
                  <w:r>
                    <w:rPr>
                      <w:rFonts w:hint="eastAsia"/>
                    </w:rPr>
                    <w:t>。</w:t>
                  </w:r>
                </w:p>
              </w:tc>
              <w:tc>
                <w:tcPr>
                  <w:tcW w:w="1157" w:type="dxa"/>
                  <w:vAlign w:val="center"/>
                </w:tcPr>
                <w:p>
                  <w:pPr>
                    <w:pStyle w:val="47"/>
                  </w:pPr>
                  <w:r>
                    <w:rPr>
                      <w:rFonts w:hint="eastAsia"/>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2" w:type="dxa"/>
                  <w:vAlign w:val="center"/>
                </w:tcPr>
                <w:p>
                  <w:pPr>
                    <w:pStyle w:val="47"/>
                  </w:pPr>
                  <w:r>
                    <w:rPr>
                      <w:rFonts w:hint="eastAsia"/>
                    </w:rPr>
                    <w:t>土壤环境</w:t>
                  </w:r>
                </w:p>
              </w:tc>
              <w:tc>
                <w:tcPr>
                  <w:tcW w:w="5684" w:type="dxa"/>
                  <w:vAlign w:val="center"/>
                </w:tcPr>
                <w:p>
                  <w:pPr>
                    <w:pStyle w:val="47"/>
                    <w:jc w:val="both"/>
                  </w:pPr>
                  <w:r>
                    <w:rPr>
                      <w:rFonts w:hint="eastAsia"/>
                    </w:rPr>
                    <w:t>1、</w:t>
                  </w:r>
                  <w:r>
                    <w:t>本项目主要</w:t>
                  </w:r>
                  <w:r>
                    <w:rPr>
                      <w:rFonts w:hint="eastAsia"/>
                    </w:rPr>
                    <w:t>从事精密配件、后倾离心风机的生产</w:t>
                  </w:r>
                  <w:r>
                    <w:t>，</w:t>
                  </w:r>
                  <w:r>
                    <w:rPr>
                      <w:rFonts w:hint="eastAsia"/>
                    </w:rPr>
                    <w:t>生产过程使用绝缘漆进行真空浸漆，属于污染影响型项目；</w:t>
                  </w:r>
                </w:p>
                <w:p>
                  <w:pPr>
                    <w:pStyle w:val="47"/>
                    <w:jc w:val="both"/>
                  </w:pPr>
                  <w:r>
                    <w:rPr>
                      <w:rFonts w:hint="eastAsia"/>
                    </w:rPr>
                    <w:t>2、项目类别：属于“制造业”中“设备制造、金属制品、汽车制造及其他用品制造-使用有机涂层的”，</w:t>
                  </w:r>
                  <w:r>
                    <w:t>因此属于</w:t>
                  </w:r>
                  <w:r>
                    <w:fldChar w:fldCharType="begin"/>
                  </w:r>
                  <w:r>
                    <w:instrText xml:space="preserve"> = 1 \* ROMAN </w:instrText>
                  </w:r>
                  <w:r>
                    <w:fldChar w:fldCharType="separate"/>
                  </w:r>
                  <w:r>
                    <w:t>I</w:t>
                  </w:r>
                  <w:r>
                    <w:fldChar w:fldCharType="end"/>
                  </w:r>
                  <w:r>
                    <w:t>类项目</w:t>
                  </w:r>
                  <w:r>
                    <w:rPr>
                      <w:rFonts w:hint="eastAsia"/>
                    </w:rPr>
                    <w:t>；</w:t>
                  </w:r>
                </w:p>
                <w:p>
                  <w:pPr>
                    <w:pStyle w:val="47"/>
                    <w:jc w:val="both"/>
                  </w:pPr>
                  <w:r>
                    <w:rPr>
                      <w:rFonts w:hint="eastAsia"/>
                    </w:rPr>
                    <w:t>3、占地规模：425</w:t>
                  </w:r>
                  <w:r>
                    <w:t>m</w:t>
                  </w:r>
                  <w:r>
                    <w:rPr>
                      <w:vertAlign w:val="superscript"/>
                    </w:rPr>
                    <w:t>2</w:t>
                  </w:r>
                  <w:r>
                    <w:t>≤5hm</w:t>
                  </w:r>
                  <w:r>
                    <w:rPr>
                      <w:vertAlign w:val="superscript"/>
                    </w:rPr>
                    <w:t>2</w:t>
                  </w:r>
                  <w:r>
                    <w:t>，属于小型建设项目</w:t>
                  </w:r>
                  <w:r>
                    <w:rPr>
                      <w:rFonts w:hint="eastAsia"/>
                    </w:rPr>
                    <w:t>；</w:t>
                  </w:r>
                </w:p>
                <w:p>
                  <w:pPr>
                    <w:pStyle w:val="47"/>
                    <w:jc w:val="both"/>
                  </w:pPr>
                  <w:r>
                    <w:rPr>
                      <w:rFonts w:hint="eastAsia"/>
                    </w:rPr>
                    <w:t>4、土壤敏感程度：不敏感。</w:t>
                  </w:r>
                </w:p>
              </w:tc>
              <w:tc>
                <w:tcPr>
                  <w:tcW w:w="1157" w:type="dxa"/>
                  <w:vAlign w:val="center"/>
                </w:tcPr>
                <w:p>
                  <w:pPr>
                    <w:pStyle w:val="47"/>
                  </w:pPr>
                  <w:r>
                    <w:rPr>
                      <w:rFonts w:hint="eastAsia"/>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2" w:type="dxa"/>
                  <w:vAlign w:val="center"/>
                </w:tcPr>
                <w:p>
                  <w:pPr>
                    <w:pStyle w:val="47"/>
                  </w:pPr>
                  <w:r>
                    <w:rPr>
                      <w:rFonts w:hint="eastAsia"/>
                    </w:rPr>
                    <w:t>环境风险</w:t>
                  </w:r>
                </w:p>
              </w:tc>
              <w:tc>
                <w:tcPr>
                  <w:tcW w:w="5684" w:type="dxa"/>
                  <w:vAlign w:val="center"/>
                </w:tcPr>
                <w:p>
                  <w:pPr>
                    <w:pStyle w:val="47"/>
                    <w:jc w:val="both"/>
                  </w:pPr>
                  <w:r>
                    <w:rPr>
                      <w:rFonts w:hint="eastAsia"/>
                    </w:rPr>
                    <w:t>根据项目</w:t>
                  </w:r>
                  <w:r>
                    <w:rPr>
                      <w:rFonts w:hint="eastAsia"/>
                      <w:lang w:val="zh-CN"/>
                    </w:rPr>
                    <w:t>危险物质与临界量比值（</w:t>
                  </w:r>
                  <w:r>
                    <w:rPr>
                      <w:rFonts w:hint="eastAsia"/>
                    </w:rPr>
                    <w:t>Q</w:t>
                  </w:r>
                  <w:r>
                    <w:rPr>
                      <w:rFonts w:hint="eastAsia"/>
                      <w:lang w:val="zh-CN"/>
                    </w:rPr>
                    <w:t>）</w:t>
                  </w:r>
                  <w:r>
                    <w:rPr>
                      <w:rFonts w:hint="eastAsia"/>
                    </w:rPr>
                    <w:t>计算结果（计算过程见7.2.7建设项目环境风险评价），Q=0.12002</w:t>
                  </w:r>
                  <w:r>
                    <w:rPr>
                      <w:rFonts w:hint="eastAsia"/>
                      <w:lang w:val="zh-CN"/>
                    </w:rPr>
                    <w:t>＜1，环境风险潜势</w:t>
                  </w:r>
                  <w:r>
                    <w:rPr>
                      <w:lang w:val="zh-CN"/>
                    </w:rPr>
                    <w:t>为Ⅰ</w:t>
                  </w:r>
                  <w:r>
                    <w:rPr>
                      <w:rFonts w:hint="eastAsia"/>
                      <w:lang w:val="zh-CN"/>
                    </w:rPr>
                    <w:t>。</w:t>
                  </w:r>
                </w:p>
              </w:tc>
              <w:tc>
                <w:tcPr>
                  <w:tcW w:w="1157" w:type="dxa"/>
                  <w:vAlign w:val="center"/>
                </w:tcPr>
                <w:p>
                  <w:pPr>
                    <w:pStyle w:val="47"/>
                  </w:pPr>
                  <w:r>
                    <w:rPr>
                      <w:rFonts w:hint="eastAsia"/>
                    </w:rPr>
                    <w:t>简单分析</w:t>
                  </w:r>
                </w:p>
              </w:tc>
            </w:tr>
          </w:tbl>
          <w:p>
            <w:pPr>
              <w:pStyle w:val="46"/>
            </w:pPr>
          </w:p>
          <w:p>
            <w:pPr>
              <w:pStyle w:val="4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pct"/>
            <w:tcBorders>
              <w:top w:val="single" w:color="auto" w:sz="12" w:space="0"/>
              <w:left w:val="single" w:color="auto" w:sz="12" w:space="0"/>
              <w:bottom w:val="single" w:color="auto" w:sz="12" w:space="0"/>
              <w:right w:val="single" w:color="auto" w:sz="12" w:space="0"/>
            </w:tcBorders>
            <w:vAlign w:val="center"/>
          </w:tcPr>
          <w:p>
            <w:pPr>
              <w:pStyle w:val="49"/>
              <w:spacing w:line="480" w:lineRule="auto"/>
              <w:rPr>
                <w:sz w:val="24"/>
                <w:szCs w:val="24"/>
              </w:rPr>
            </w:pPr>
            <w:r>
              <w:rPr>
                <w:sz w:val="24"/>
                <w:szCs w:val="24"/>
              </w:rPr>
              <w:t>总</w:t>
            </w:r>
          </w:p>
          <w:p>
            <w:pPr>
              <w:pStyle w:val="49"/>
              <w:spacing w:line="480" w:lineRule="auto"/>
              <w:rPr>
                <w:sz w:val="24"/>
                <w:szCs w:val="24"/>
              </w:rPr>
            </w:pPr>
            <w:r>
              <w:rPr>
                <w:sz w:val="24"/>
                <w:szCs w:val="24"/>
              </w:rPr>
              <w:t>量</w:t>
            </w:r>
          </w:p>
          <w:p>
            <w:pPr>
              <w:pStyle w:val="49"/>
              <w:spacing w:line="480" w:lineRule="auto"/>
              <w:rPr>
                <w:sz w:val="24"/>
                <w:szCs w:val="24"/>
              </w:rPr>
            </w:pPr>
            <w:r>
              <w:rPr>
                <w:sz w:val="24"/>
                <w:szCs w:val="24"/>
              </w:rPr>
              <w:t>控</w:t>
            </w:r>
          </w:p>
          <w:p>
            <w:pPr>
              <w:pStyle w:val="49"/>
              <w:spacing w:line="480" w:lineRule="auto"/>
              <w:rPr>
                <w:sz w:val="24"/>
                <w:szCs w:val="24"/>
              </w:rPr>
            </w:pPr>
            <w:r>
              <w:rPr>
                <w:sz w:val="24"/>
                <w:szCs w:val="24"/>
              </w:rPr>
              <w:t>制</w:t>
            </w:r>
          </w:p>
          <w:p>
            <w:pPr>
              <w:pStyle w:val="49"/>
              <w:spacing w:line="480" w:lineRule="auto"/>
              <w:rPr>
                <w:sz w:val="24"/>
                <w:szCs w:val="24"/>
              </w:rPr>
            </w:pPr>
            <w:r>
              <w:rPr>
                <w:sz w:val="24"/>
                <w:szCs w:val="24"/>
              </w:rPr>
              <w:t>指</w:t>
            </w:r>
          </w:p>
          <w:p>
            <w:pPr>
              <w:pStyle w:val="49"/>
              <w:spacing w:line="480" w:lineRule="auto"/>
            </w:pPr>
            <w:r>
              <w:rPr>
                <w:sz w:val="24"/>
                <w:szCs w:val="24"/>
              </w:rPr>
              <w:t>标</w:t>
            </w:r>
          </w:p>
        </w:tc>
        <w:tc>
          <w:tcPr>
            <w:tcW w:w="4683" w:type="pct"/>
            <w:tcBorders>
              <w:top w:val="single" w:color="auto" w:sz="12" w:space="0"/>
              <w:left w:val="single" w:color="auto" w:sz="12" w:space="0"/>
              <w:bottom w:val="single" w:color="auto" w:sz="12" w:space="0"/>
              <w:right w:val="single" w:color="auto" w:sz="12" w:space="0"/>
            </w:tcBorders>
          </w:tcPr>
          <w:p>
            <w:pPr>
              <w:pStyle w:val="5"/>
            </w:pPr>
            <w:bookmarkStart w:id="112" w:name="_Toc29380621"/>
            <w:bookmarkStart w:id="113" w:name="_Toc29388572"/>
            <w:r>
              <w:t>4.3总量控制指标</w:t>
            </w:r>
          </w:p>
          <w:p>
            <w:pPr>
              <w:pStyle w:val="6"/>
            </w:pPr>
            <w:r>
              <w:t>4.3.1总量控制原则</w:t>
            </w:r>
            <w:bookmarkEnd w:id="112"/>
            <w:bookmarkEnd w:id="113"/>
          </w:p>
          <w:p>
            <w:pPr>
              <w:ind w:firstLine="480"/>
            </w:pPr>
            <w:r>
              <w:t>“十三五”期间我国将落实减排目标责任制，强化污染物减排和治理增加主要污染物总量控制种类，将主要污染物扩大至六项，即COD</w:t>
            </w:r>
            <w:r>
              <w:rPr>
                <w:vertAlign w:val="subscript"/>
              </w:rPr>
              <w:t>Cr</w:t>
            </w:r>
            <w:r>
              <w:t>、NH</w:t>
            </w:r>
            <w:r>
              <w:rPr>
                <w:vertAlign w:val="subscript"/>
              </w:rPr>
              <w:t>3</w:t>
            </w:r>
            <w:r>
              <w:t>-N、二氧化硫、氮氧化物、颗粒物、挥发性有机物（VOCs）。</w:t>
            </w:r>
          </w:p>
          <w:p>
            <w:pPr>
              <w:ind w:firstLine="480"/>
            </w:pPr>
            <w:r>
              <w:t>区域污染物排放总量控制是对区域环境污染控制的一种有效手段，其目的在于使区域环境质量满足于社会和经济发展对环境功能的要求。根据项目地处流域与污染物特征，结合《中华人民共和国国民经济和社会发展第十三个五年（2016~2020年）规划纲要》、国务院国发[2016]74号《关于印发“十三五”节能减排综合工作方案的通知》、中华人民共和国环境保护部环发[2014]197号《关于印发〈建设项目主要污染物排放总量控制指标审核及管理暂行办法〉的通知》 、浙江省人民政府浙政发[2017]19号《关于印发“十三五”节能减排综合工作方案的通知》、浙江省发展和改革委员会与浙江省环境保护厅浙发改规划[2017]250号《浙江省大气污染防治“十三五”规划》等规定要求，本项目纳入总量控制要求的主要污染物为COD</w:t>
            </w:r>
            <w:r>
              <w:rPr>
                <w:vertAlign w:val="subscript"/>
              </w:rPr>
              <w:t>Cr</w:t>
            </w:r>
            <w:r>
              <w:t>、NH</w:t>
            </w:r>
            <w:r>
              <w:rPr>
                <w:vertAlign w:val="subscript"/>
              </w:rPr>
              <w:t>3</w:t>
            </w:r>
            <w:r>
              <w:t>- N</w:t>
            </w:r>
            <w:r>
              <w:rPr>
                <w:rFonts w:hint="eastAsia"/>
              </w:rPr>
              <w:t>、颗粒物、</w:t>
            </w:r>
            <w:r>
              <w:t>挥发性有机物（VOCs）。</w:t>
            </w:r>
          </w:p>
          <w:p>
            <w:pPr>
              <w:pStyle w:val="6"/>
            </w:pPr>
            <w:bookmarkStart w:id="114" w:name="_Toc29380622"/>
            <w:bookmarkStart w:id="115" w:name="_Toc29388573"/>
            <w:r>
              <w:t>4.3.2总量控制实施方案</w:t>
            </w:r>
            <w:bookmarkEnd w:id="114"/>
            <w:bookmarkEnd w:id="115"/>
          </w:p>
          <w:p>
            <w:pPr>
              <w:ind w:firstLine="480"/>
            </w:pPr>
            <w:r>
              <w:t>1、COD</w:t>
            </w:r>
            <w:r>
              <w:rPr>
                <w:vertAlign w:val="subscript"/>
              </w:rPr>
              <w:t>Cr</w:t>
            </w:r>
            <w:r>
              <w:t>、NH</w:t>
            </w:r>
            <w:r>
              <w:rPr>
                <w:vertAlign w:val="subscript"/>
              </w:rPr>
              <w:t>3</w:t>
            </w:r>
            <w:r>
              <w:t>-N总量控制指标</w:t>
            </w:r>
          </w:p>
          <w:p>
            <w:pPr>
              <w:ind w:firstLine="480"/>
            </w:pPr>
            <w:r>
              <w:t>本项目实施后</w:t>
            </w:r>
            <w:r>
              <w:rPr>
                <w:rFonts w:hint="eastAsia"/>
              </w:rPr>
              <w:t>打磨废水经沉淀后上清液</w:t>
            </w:r>
            <w:r>
              <w:t>循环使用</w:t>
            </w:r>
            <w:r>
              <w:rPr>
                <w:szCs w:val="22"/>
              </w:rPr>
              <w:t>，定期补充</w:t>
            </w:r>
            <w:r>
              <w:rPr>
                <w:rFonts w:hint="eastAsia"/>
                <w:szCs w:val="22"/>
              </w:rPr>
              <w:t>损耗，</w:t>
            </w:r>
            <w:r>
              <w:rPr>
                <w:szCs w:val="22"/>
              </w:rPr>
              <w:t>不外</w:t>
            </w:r>
            <w:r>
              <w:t>排</w:t>
            </w:r>
            <w:r>
              <w:rPr>
                <w:rFonts w:hint="eastAsia"/>
              </w:rPr>
              <w:t>，故本项目无工艺废水排放，排放</w:t>
            </w:r>
            <w:r>
              <w:t>的只有职工生活污水</w:t>
            </w:r>
            <w:r>
              <w:rPr>
                <w:rFonts w:hint="eastAsia"/>
              </w:rPr>
              <w:t>。</w:t>
            </w:r>
            <w:r>
              <w:t>本项目实施后</w:t>
            </w:r>
            <w:r>
              <w:rPr>
                <w:rFonts w:hint="eastAsia"/>
              </w:rPr>
              <w:t>废水排放</w:t>
            </w:r>
            <w:r>
              <w:t>量为</w:t>
            </w:r>
            <w:r>
              <w:rPr>
                <w:rFonts w:hint="eastAsia"/>
              </w:rPr>
              <w:t>405</w:t>
            </w:r>
            <w:r>
              <w:t>t/a。企业区域内污水管网已经接通，项目废水可直接实现纳管排放，最终经桐乡市城市污水处理有限责任公司崇福污水处理厂处理达到《城镇污水处理厂污染物排放标准》（GB18918－2002）表1中的一级A标准（即COD</w:t>
            </w:r>
            <w:r>
              <w:rPr>
                <w:vertAlign w:val="subscript"/>
              </w:rPr>
              <w:t>Cr</w:t>
            </w:r>
            <w:r>
              <w:t>≤50mg/L、NH</w:t>
            </w:r>
            <w:r>
              <w:rPr>
                <w:vertAlign w:val="subscript"/>
              </w:rPr>
              <w:t>3</w:t>
            </w:r>
            <w:r>
              <w:t>-N≤5mg/L）后排江，则本项目废水中COD</w:t>
            </w:r>
            <w:r>
              <w:rPr>
                <w:vertAlign w:val="subscript"/>
              </w:rPr>
              <w:t>Cr</w:t>
            </w:r>
            <w:r>
              <w:t>和氨氮污染物排放量为：0.0</w:t>
            </w:r>
            <w:r>
              <w:rPr>
                <w:rFonts w:hint="eastAsia"/>
              </w:rPr>
              <w:t>20</w:t>
            </w:r>
            <w:r>
              <w:t>t/a和0.00</w:t>
            </w:r>
            <w:r>
              <w:rPr>
                <w:rFonts w:hint="eastAsia"/>
              </w:rPr>
              <w:t>2</w:t>
            </w:r>
            <w:r>
              <w:t>t/a。建议将上述达标排放量作为总量控制指标。</w:t>
            </w:r>
          </w:p>
          <w:p>
            <w:pPr>
              <w:ind w:firstLine="480"/>
            </w:pPr>
            <w:r>
              <w:t>根据关于印发《浙江省建设项目主要污染物总量准入审核办法（试行）》的通知（浙环发[2012]10号），新建、改建、扩建项目不排放生产废水且排放的水主要污染物仅源自厂区内独立生活区域所排放生活污水的，其新增的化学需氧量和氨氮两项主要污染物排放量可不进行区域替代削减。本项目位于嘉兴市范围内，只排放生活污水，因此其新增的化学需氧量和氨氮两项主要污染物排放量可不进行区域替代削减。</w:t>
            </w:r>
          </w:p>
          <w:p>
            <w:pPr>
              <w:snapToGrid w:val="0"/>
              <w:ind w:firstLine="480"/>
            </w:pPr>
            <w:r>
              <w:t>2、</w:t>
            </w:r>
            <w:r>
              <w:rPr>
                <w:rFonts w:hint="eastAsia"/>
              </w:rPr>
              <w:t>颗粒物</w:t>
            </w:r>
            <w:r>
              <w:t>总量控制指标</w:t>
            </w:r>
          </w:p>
          <w:p>
            <w:pPr>
              <w:snapToGrid w:val="0"/>
              <w:ind w:firstLine="480"/>
            </w:pPr>
            <w:r>
              <w:t>本项目在生产过程中产生的</w:t>
            </w:r>
            <w:r>
              <w:rPr>
                <w:rFonts w:hint="eastAsia"/>
              </w:rPr>
              <w:t>颗粒物约0.003t/a，</w:t>
            </w:r>
            <w:r>
              <w:t>经</w:t>
            </w:r>
            <w:r>
              <w:rPr>
                <w:rFonts w:hint="eastAsia"/>
              </w:rPr>
              <w:t>废气</w:t>
            </w:r>
            <w:r>
              <w:t>收集处理设施处理后，</w:t>
            </w:r>
            <w:r>
              <w:rPr>
                <w:rFonts w:hint="eastAsia"/>
              </w:rPr>
              <w:t>颗粒物</w:t>
            </w:r>
            <w:r>
              <w:t>排放量约为0.0</w:t>
            </w:r>
            <w:r>
              <w:rPr>
                <w:rFonts w:hint="eastAsia"/>
              </w:rPr>
              <w:t>01</w:t>
            </w:r>
            <w:r>
              <w:t>t/a，</w:t>
            </w:r>
            <w:r>
              <w:rPr>
                <w:rFonts w:hint="eastAsia"/>
              </w:rPr>
              <w:t>故本项目实施后，企业颗粒物的总量控制值建议为0.001t/a。</w:t>
            </w:r>
          </w:p>
          <w:p>
            <w:pPr>
              <w:snapToGrid w:val="0"/>
              <w:ind w:firstLine="480"/>
            </w:pPr>
            <w:r>
              <w:rPr>
                <w:rFonts w:hint="eastAsia"/>
              </w:rPr>
              <w:t>3、</w:t>
            </w:r>
            <w:r>
              <w:t>VOCs总量控制指标</w:t>
            </w:r>
          </w:p>
          <w:p>
            <w:pPr>
              <w:snapToGrid w:val="0"/>
              <w:ind w:firstLine="480"/>
            </w:pPr>
            <w:r>
              <w:t>本项目在生产过程中产生的</w:t>
            </w:r>
            <w:r>
              <w:rPr>
                <w:rFonts w:hint="eastAsia"/>
              </w:rPr>
              <w:t>VOCs约0.460t/a，</w:t>
            </w:r>
            <w:r>
              <w:t>经</w:t>
            </w:r>
            <w:r>
              <w:rPr>
                <w:rFonts w:hint="eastAsia"/>
              </w:rPr>
              <w:t>废气</w:t>
            </w:r>
            <w:r>
              <w:t>收集处理设施处理后，排放量约为0.0</w:t>
            </w:r>
            <w:r>
              <w:rPr>
                <w:rFonts w:hint="eastAsia"/>
              </w:rPr>
              <w:t>87</w:t>
            </w:r>
            <w:r>
              <w:t>t/a，</w:t>
            </w:r>
            <w:r>
              <w:rPr>
                <w:rFonts w:hint="eastAsia"/>
              </w:rPr>
              <w:t>故本项目实施后，企业VOCs的总量控制值建议为0.087t/a。</w:t>
            </w:r>
          </w:p>
          <w:p>
            <w:pPr>
              <w:snapToGrid w:val="0"/>
              <w:ind w:firstLine="480"/>
            </w:pPr>
            <w:r>
              <w:t>根据《建设项目主要污染物排放总量指标审核及管理暂行办法》(环发[2014]197号)要求，本项目实施后新增</w:t>
            </w:r>
            <w:r>
              <w:rPr>
                <w:rFonts w:hint="eastAsia"/>
              </w:rPr>
              <w:t>颗粒物、挥发性有机物（</w:t>
            </w:r>
            <w:r>
              <w:t>VOCs</w:t>
            </w:r>
            <w:r>
              <w:rPr>
                <w:rFonts w:hint="eastAsia"/>
              </w:rPr>
              <w:t>）</w:t>
            </w:r>
            <w:r>
              <w:t>排放量应按照建设项目所需污染物排放总量指标的2倍进行削减替代，因此本项目</w:t>
            </w:r>
            <w:r>
              <w:rPr>
                <w:rFonts w:hint="eastAsia"/>
              </w:rPr>
              <w:t>颗粒物</w:t>
            </w:r>
            <w:r>
              <w:t>区域平衡削减量为</w:t>
            </w:r>
            <w:r>
              <w:rPr>
                <w:rFonts w:hint="eastAsia"/>
              </w:rPr>
              <w:t>0.002t/a</w:t>
            </w:r>
            <w:r>
              <w:t>，</w:t>
            </w:r>
            <w:r>
              <w:rPr>
                <w:rFonts w:hint="eastAsia"/>
              </w:rPr>
              <w:t>挥发性有机物（</w:t>
            </w:r>
            <w:r>
              <w:t>VOCs</w:t>
            </w:r>
            <w:r>
              <w:rPr>
                <w:rFonts w:hint="eastAsia"/>
              </w:rPr>
              <w:t>）</w:t>
            </w:r>
            <w:r>
              <w:t>区域平衡削减量为0.</w:t>
            </w:r>
            <w:r>
              <w:rPr>
                <w:rFonts w:hint="eastAsia"/>
              </w:rPr>
              <w:t>174</w:t>
            </w:r>
            <w:r>
              <w:t>t/a</w:t>
            </w:r>
            <w:r>
              <w:rPr>
                <w:rFonts w:hint="eastAsia"/>
              </w:rPr>
              <w:t>，</w:t>
            </w:r>
            <w:r>
              <w:t>在桐乡市范围内调剂解决</w:t>
            </w:r>
            <w:r>
              <w:rPr>
                <w:rFonts w:hint="eastAsia"/>
              </w:rPr>
              <w:t>。</w:t>
            </w:r>
          </w:p>
          <w:p>
            <w:pPr>
              <w:pStyle w:val="46"/>
              <w:spacing w:after="24"/>
            </w:pPr>
            <w:r>
              <w:t>表4-</w:t>
            </w:r>
            <w:r>
              <w:rPr>
                <w:rFonts w:hint="eastAsia"/>
              </w:rPr>
              <w:t>13</w:t>
            </w:r>
            <w:r>
              <w:t xml:space="preserve">  本项目总量控制建议指标汇总表  单位：t/a</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0"/>
              <w:gridCol w:w="1630"/>
              <w:gridCol w:w="1630"/>
              <w:gridCol w:w="1630"/>
              <w:gridCol w:w="1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4" w:hRule="atLeast"/>
                <w:jc w:val="center"/>
              </w:trPr>
              <w:tc>
                <w:tcPr>
                  <w:tcW w:w="1000" w:type="pct"/>
                  <w:tcBorders>
                    <w:top w:val="single" w:color="auto" w:sz="4" w:space="0"/>
                    <w:left w:val="single" w:color="auto" w:sz="4" w:space="0"/>
                    <w:bottom w:val="single" w:color="auto" w:sz="4" w:space="0"/>
                    <w:right w:val="single" w:color="auto" w:sz="4" w:space="0"/>
                  </w:tcBorders>
                  <w:vAlign w:val="center"/>
                </w:tcPr>
                <w:p>
                  <w:pPr>
                    <w:pStyle w:val="46"/>
                  </w:pPr>
                  <w:r>
                    <w:rPr>
                      <w:rFonts w:hint="eastAsia"/>
                    </w:rPr>
                    <w:t>污染物名称</w:t>
                  </w:r>
                </w:p>
              </w:tc>
              <w:tc>
                <w:tcPr>
                  <w:tcW w:w="1000" w:type="pct"/>
                  <w:tcBorders>
                    <w:top w:val="single" w:color="auto" w:sz="4" w:space="0"/>
                    <w:left w:val="single" w:color="auto" w:sz="4" w:space="0"/>
                    <w:bottom w:val="single" w:color="auto" w:sz="4" w:space="0"/>
                    <w:right w:val="single" w:color="auto" w:sz="4" w:space="0"/>
                  </w:tcBorders>
                  <w:vAlign w:val="center"/>
                </w:tcPr>
                <w:p>
                  <w:pPr>
                    <w:pStyle w:val="46"/>
                  </w:pPr>
                  <w:r>
                    <w:rPr>
                      <w:rFonts w:hint="eastAsia"/>
                    </w:rPr>
                    <w:t>本项目总量</w:t>
                  </w:r>
                </w:p>
                <w:p>
                  <w:pPr>
                    <w:pStyle w:val="46"/>
                  </w:pPr>
                  <w:r>
                    <w:rPr>
                      <w:rFonts w:hint="eastAsia"/>
                    </w:rPr>
                    <w:t>控制指标</w:t>
                  </w:r>
                </w:p>
              </w:tc>
              <w:tc>
                <w:tcPr>
                  <w:tcW w:w="1000" w:type="pct"/>
                  <w:tcBorders>
                    <w:top w:val="single" w:color="auto" w:sz="4" w:space="0"/>
                    <w:left w:val="single" w:color="auto" w:sz="4" w:space="0"/>
                    <w:bottom w:val="single" w:color="auto" w:sz="4" w:space="0"/>
                    <w:right w:val="single" w:color="auto" w:sz="4" w:space="0"/>
                  </w:tcBorders>
                  <w:vAlign w:val="center"/>
                </w:tcPr>
                <w:p>
                  <w:pPr>
                    <w:pStyle w:val="46"/>
                  </w:pPr>
                  <w:r>
                    <w:rPr>
                      <w:rFonts w:hint="eastAsia"/>
                    </w:rPr>
                    <w:t>区域削减量</w:t>
                  </w:r>
                </w:p>
              </w:tc>
              <w:tc>
                <w:tcPr>
                  <w:tcW w:w="1000" w:type="pct"/>
                  <w:tcBorders>
                    <w:top w:val="single" w:color="auto" w:sz="4" w:space="0"/>
                    <w:left w:val="single" w:color="auto" w:sz="4" w:space="0"/>
                    <w:bottom w:val="single" w:color="auto" w:sz="4" w:space="0"/>
                    <w:right w:val="single" w:color="auto" w:sz="2" w:space="0"/>
                  </w:tcBorders>
                  <w:vAlign w:val="center"/>
                </w:tcPr>
                <w:p>
                  <w:pPr>
                    <w:pStyle w:val="46"/>
                  </w:pPr>
                  <w:r>
                    <w:rPr>
                      <w:rFonts w:hint="eastAsia"/>
                    </w:rPr>
                    <w:t>削减替代来源</w:t>
                  </w:r>
                </w:p>
              </w:tc>
              <w:tc>
                <w:tcPr>
                  <w:tcW w:w="1000" w:type="pct"/>
                  <w:tcBorders>
                    <w:top w:val="single" w:color="auto" w:sz="4" w:space="0"/>
                    <w:left w:val="single" w:color="auto" w:sz="4" w:space="0"/>
                    <w:bottom w:val="single" w:color="auto" w:sz="4" w:space="0"/>
                    <w:right w:val="single" w:color="auto" w:sz="4" w:space="0"/>
                  </w:tcBorders>
                  <w:vAlign w:val="center"/>
                </w:tcPr>
                <w:p>
                  <w:pPr>
                    <w:pStyle w:val="46"/>
                  </w:pPr>
                  <w:r>
                    <w:rPr>
                      <w:rFonts w:hint="eastAsia"/>
                    </w:rPr>
                    <w:t>建议控制</w:t>
                  </w:r>
                </w:p>
                <w:p>
                  <w:pPr>
                    <w:pStyle w:val="46"/>
                  </w:pPr>
                  <w:r>
                    <w:rPr>
                      <w:rFonts w:hint="eastAsia"/>
                    </w:rPr>
                    <w:t>总量指标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000" w:type="pct"/>
                  <w:tcBorders>
                    <w:top w:val="single" w:color="auto" w:sz="4" w:space="0"/>
                    <w:left w:val="single" w:color="auto" w:sz="4" w:space="0"/>
                    <w:bottom w:val="single" w:color="auto" w:sz="4" w:space="0"/>
                    <w:right w:val="single" w:color="auto" w:sz="4" w:space="0"/>
                  </w:tcBorders>
                  <w:vAlign w:val="center"/>
                </w:tcPr>
                <w:p>
                  <w:pPr>
                    <w:pStyle w:val="47"/>
                  </w:pPr>
                  <w:r>
                    <w:t>COD</w:t>
                  </w:r>
                  <w:r>
                    <w:rPr>
                      <w:vertAlign w:val="subscript"/>
                    </w:rPr>
                    <w:t>Cr</w:t>
                  </w:r>
                </w:p>
              </w:tc>
              <w:tc>
                <w:tcPr>
                  <w:tcW w:w="1000"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0.020</w:t>
                  </w:r>
                </w:p>
              </w:tc>
              <w:tc>
                <w:tcPr>
                  <w:tcW w:w="1000" w:type="pct"/>
                  <w:tcBorders>
                    <w:top w:val="single" w:color="auto" w:sz="4" w:space="0"/>
                    <w:left w:val="single" w:color="auto" w:sz="4" w:space="0"/>
                    <w:bottom w:val="single" w:color="auto" w:sz="4" w:space="0"/>
                    <w:right w:val="single" w:color="auto" w:sz="4" w:space="0"/>
                  </w:tcBorders>
                  <w:vAlign w:val="center"/>
                </w:tcPr>
                <w:p>
                  <w:pPr>
                    <w:pStyle w:val="47"/>
                  </w:pPr>
                  <w:r>
                    <w:t>/</w:t>
                  </w:r>
                </w:p>
              </w:tc>
              <w:tc>
                <w:tcPr>
                  <w:tcW w:w="1000" w:type="pct"/>
                  <w:tcBorders>
                    <w:top w:val="single" w:color="auto" w:sz="4" w:space="0"/>
                    <w:left w:val="single" w:color="auto" w:sz="4" w:space="0"/>
                    <w:bottom w:val="single" w:color="auto" w:sz="4" w:space="0"/>
                    <w:right w:val="single" w:color="auto" w:sz="2" w:space="0"/>
                  </w:tcBorders>
                  <w:vAlign w:val="center"/>
                </w:tcPr>
                <w:p>
                  <w:pPr>
                    <w:pStyle w:val="47"/>
                  </w:pPr>
                  <w:r>
                    <w:t>/</w:t>
                  </w:r>
                </w:p>
              </w:tc>
              <w:tc>
                <w:tcPr>
                  <w:tcW w:w="1630" w:type="dxa"/>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000" w:type="pct"/>
                  <w:tcBorders>
                    <w:top w:val="single" w:color="auto" w:sz="4" w:space="0"/>
                    <w:left w:val="single" w:color="auto" w:sz="4" w:space="0"/>
                    <w:bottom w:val="single" w:color="auto" w:sz="4" w:space="0"/>
                    <w:right w:val="single" w:color="auto" w:sz="4" w:space="0"/>
                  </w:tcBorders>
                  <w:vAlign w:val="center"/>
                </w:tcPr>
                <w:p>
                  <w:pPr>
                    <w:pStyle w:val="47"/>
                  </w:pPr>
                  <w:r>
                    <w:t>NH</w:t>
                  </w:r>
                  <w:r>
                    <w:rPr>
                      <w:vertAlign w:val="subscript"/>
                    </w:rPr>
                    <w:t>3</w:t>
                  </w:r>
                  <w:r>
                    <w:t>-N</w:t>
                  </w:r>
                </w:p>
              </w:tc>
              <w:tc>
                <w:tcPr>
                  <w:tcW w:w="1000"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0.002</w:t>
                  </w:r>
                </w:p>
              </w:tc>
              <w:tc>
                <w:tcPr>
                  <w:tcW w:w="1000" w:type="pct"/>
                  <w:tcBorders>
                    <w:top w:val="single" w:color="auto" w:sz="4" w:space="0"/>
                    <w:left w:val="single" w:color="auto" w:sz="4" w:space="0"/>
                    <w:bottom w:val="single" w:color="auto" w:sz="4" w:space="0"/>
                    <w:right w:val="single" w:color="auto" w:sz="4" w:space="0"/>
                  </w:tcBorders>
                  <w:vAlign w:val="center"/>
                </w:tcPr>
                <w:p>
                  <w:pPr>
                    <w:pStyle w:val="47"/>
                  </w:pPr>
                  <w:r>
                    <w:t>/</w:t>
                  </w:r>
                </w:p>
              </w:tc>
              <w:tc>
                <w:tcPr>
                  <w:tcW w:w="1000" w:type="pct"/>
                  <w:tcBorders>
                    <w:top w:val="single" w:color="auto" w:sz="4" w:space="0"/>
                    <w:left w:val="single" w:color="auto" w:sz="4" w:space="0"/>
                    <w:bottom w:val="single" w:color="auto" w:sz="4" w:space="0"/>
                    <w:right w:val="single" w:color="auto" w:sz="2" w:space="0"/>
                  </w:tcBorders>
                  <w:vAlign w:val="center"/>
                </w:tcPr>
                <w:p>
                  <w:pPr>
                    <w:pStyle w:val="47"/>
                  </w:pPr>
                  <w:r>
                    <w:t>/</w:t>
                  </w:r>
                </w:p>
              </w:tc>
              <w:tc>
                <w:tcPr>
                  <w:tcW w:w="1630" w:type="dxa"/>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000"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颗粒物</w:t>
                  </w:r>
                </w:p>
              </w:tc>
              <w:tc>
                <w:tcPr>
                  <w:tcW w:w="1000"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0.001</w:t>
                  </w:r>
                </w:p>
              </w:tc>
              <w:tc>
                <w:tcPr>
                  <w:tcW w:w="1000"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0.002</w:t>
                  </w:r>
                </w:p>
              </w:tc>
              <w:tc>
                <w:tcPr>
                  <w:tcW w:w="1000" w:type="pct"/>
                  <w:tcBorders>
                    <w:top w:val="single" w:color="auto" w:sz="4" w:space="0"/>
                    <w:left w:val="single" w:color="auto" w:sz="4" w:space="0"/>
                    <w:bottom w:val="single" w:color="auto" w:sz="4" w:space="0"/>
                    <w:right w:val="single" w:color="auto" w:sz="2" w:space="0"/>
                  </w:tcBorders>
                  <w:vAlign w:val="center"/>
                </w:tcPr>
                <w:p>
                  <w:pPr>
                    <w:pStyle w:val="47"/>
                  </w:pPr>
                  <w:r>
                    <w:rPr>
                      <w:rFonts w:hint="eastAsia"/>
                    </w:rPr>
                    <w:t>/</w:t>
                  </w:r>
                </w:p>
              </w:tc>
              <w:tc>
                <w:tcPr>
                  <w:tcW w:w="1000"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000"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VOCs</w:t>
                  </w:r>
                </w:p>
              </w:tc>
              <w:tc>
                <w:tcPr>
                  <w:tcW w:w="1630" w:type="dxa"/>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0.087</w:t>
                  </w:r>
                </w:p>
              </w:tc>
              <w:tc>
                <w:tcPr>
                  <w:tcW w:w="1630" w:type="dxa"/>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0.174</w:t>
                  </w:r>
                </w:p>
              </w:tc>
              <w:tc>
                <w:tcPr>
                  <w:tcW w:w="1630" w:type="dxa"/>
                  <w:tcBorders>
                    <w:top w:val="single" w:color="auto" w:sz="4" w:space="0"/>
                    <w:left w:val="single" w:color="auto" w:sz="4" w:space="0"/>
                    <w:bottom w:val="single" w:color="auto" w:sz="4" w:space="0"/>
                    <w:right w:val="single" w:color="auto" w:sz="2" w:space="0"/>
                  </w:tcBorders>
                  <w:vAlign w:val="center"/>
                </w:tcPr>
                <w:p>
                  <w:pPr>
                    <w:pStyle w:val="47"/>
                  </w:pPr>
                  <w:r>
                    <w:rPr>
                      <w:rFonts w:hint="eastAsia"/>
                    </w:rPr>
                    <w:t>/</w:t>
                  </w:r>
                </w:p>
              </w:tc>
              <w:tc>
                <w:tcPr>
                  <w:tcW w:w="1630" w:type="dxa"/>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0.087</w:t>
                  </w:r>
                </w:p>
              </w:tc>
            </w:tr>
          </w:tbl>
          <w:p>
            <w:pPr>
              <w:ind w:firstLine="480"/>
            </w:pPr>
          </w:p>
          <w:p>
            <w:pPr>
              <w:pStyle w:val="2"/>
              <w:ind w:left="480" w:firstLine="400"/>
            </w:pPr>
          </w:p>
          <w:p>
            <w:pPr>
              <w:pStyle w:val="2"/>
              <w:ind w:left="480" w:firstLine="400"/>
            </w:pPr>
          </w:p>
          <w:p>
            <w:pPr>
              <w:pStyle w:val="2"/>
              <w:ind w:left="480" w:firstLine="400"/>
            </w:pPr>
          </w:p>
          <w:p>
            <w:pPr>
              <w:pStyle w:val="2"/>
              <w:ind w:left="480" w:firstLine="400"/>
            </w:pPr>
          </w:p>
          <w:p>
            <w:pPr>
              <w:pStyle w:val="2"/>
              <w:ind w:left="480" w:firstLine="400"/>
            </w:pPr>
          </w:p>
          <w:p>
            <w:pPr>
              <w:pStyle w:val="2"/>
              <w:ind w:left="480" w:firstLine="400"/>
            </w:pPr>
          </w:p>
          <w:p>
            <w:pPr>
              <w:pStyle w:val="2"/>
              <w:ind w:left="480" w:firstLine="400"/>
            </w:pPr>
          </w:p>
          <w:p>
            <w:pPr>
              <w:pStyle w:val="2"/>
              <w:ind w:left="480" w:firstLine="400"/>
            </w:pPr>
          </w:p>
          <w:p>
            <w:pPr>
              <w:pStyle w:val="2"/>
              <w:ind w:left="480" w:firstLine="400"/>
            </w:pPr>
          </w:p>
          <w:p>
            <w:pPr>
              <w:pStyle w:val="2"/>
              <w:ind w:left="480" w:firstLine="400"/>
            </w:pPr>
          </w:p>
          <w:p>
            <w:pPr>
              <w:pStyle w:val="2"/>
              <w:ind w:left="480" w:firstLine="400"/>
            </w:pPr>
          </w:p>
          <w:p>
            <w:pPr>
              <w:pStyle w:val="2"/>
              <w:ind w:left="480" w:firstLine="400"/>
            </w:pPr>
          </w:p>
          <w:p>
            <w:pPr>
              <w:pStyle w:val="2"/>
              <w:ind w:left="480" w:firstLine="400"/>
            </w:pPr>
          </w:p>
          <w:p>
            <w:pPr>
              <w:pStyle w:val="2"/>
              <w:ind w:left="480" w:firstLine="400"/>
            </w:pPr>
          </w:p>
          <w:p>
            <w:pPr>
              <w:pStyle w:val="2"/>
              <w:ind w:left="480" w:firstLine="400"/>
            </w:pPr>
          </w:p>
          <w:p>
            <w:pPr>
              <w:pStyle w:val="2"/>
              <w:ind w:left="480" w:firstLine="400"/>
            </w:pPr>
          </w:p>
          <w:p>
            <w:pPr>
              <w:pStyle w:val="2"/>
              <w:ind w:left="480" w:firstLine="400"/>
            </w:pPr>
          </w:p>
          <w:p>
            <w:pPr>
              <w:pStyle w:val="2"/>
              <w:ind w:left="480" w:firstLine="400"/>
            </w:pPr>
          </w:p>
          <w:p>
            <w:pPr>
              <w:pStyle w:val="2"/>
              <w:ind w:left="480" w:firstLine="400"/>
            </w:pPr>
          </w:p>
          <w:p>
            <w:pPr>
              <w:pStyle w:val="2"/>
              <w:ind w:left="480" w:firstLine="400"/>
            </w:pPr>
          </w:p>
          <w:p>
            <w:pPr>
              <w:pStyle w:val="2"/>
              <w:ind w:left="480" w:firstLine="400"/>
            </w:pPr>
          </w:p>
          <w:p>
            <w:pPr>
              <w:pStyle w:val="2"/>
              <w:ind w:left="480" w:firstLine="260"/>
              <w:rPr>
                <w:sz w:val="13"/>
                <w:szCs w:val="8"/>
              </w:rPr>
            </w:pPr>
          </w:p>
          <w:p>
            <w:pPr>
              <w:pStyle w:val="2"/>
              <w:ind w:left="480" w:firstLine="260"/>
              <w:rPr>
                <w:sz w:val="13"/>
                <w:szCs w:val="8"/>
              </w:rPr>
            </w:pPr>
          </w:p>
        </w:tc>
      </w:tr>
    </w:tbl>
    <w:p>
      <w:pPr>
        <w:ind w:firstLine="480"/>
        <w:sectPr>
          <w:footerReference r:id="rId16" w:type="default"/>
          <w:pgSz w:w="11906" w:h="16838"/>
          <w:pgMar w:top="1474" w:right="1588" w:bottom="1418" w:left="1588" w:header="851" w:footer="907" w:gutter="0"/>
          <w:cols w:space="720" w:num="1"/>
          <w:docGrid w:linePitch="312" w:charSpace="0"/>
        </w:sectPr>
      </w:pPr>
      <w:bookmarkStart w:id="116" w:name="_Toc141539310"/>
    </w:p>
    <w:p>
      <w:pPr>
        <w:pStyle w:val="4"/>
        <w:rPr>
          <w:szCs w:val="32"/>
        </w:rPr>
      </w:pPr>
      <w:bookmarkStart w:id="117" w:name="_Toc19448"/>
      <w:bookmarkStart w:id="118" w:name="_Toc29388574"/>
      <w:bookmarkStart w:id="119" w:name="_Toc29380623"/>
      <w:r>
        <w:rPr>
          <w:szCs w:val="32"/>
        </w:rPr>
        <w:t>5、建设项目工程分析</w:t>
      </w:r>
      <w:bookmarkEnd w:id="116"/>
      <w:bookmarkEnd w:id="117"/>
      <w:bookmarkEnd w:id="118"/>
      <w:bookmarkEnd w:id="119"/>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Borders>
              <w:top w:val="single" w:color="auto" w:sz="12" w:space="0"/>
              <w:left w:val="single" w:color="auto" w:sz="12" w:space="0"/>
              <w:bottom w:val="single" w:color="auto" w:sz="12" w:space="0"/>
              <w:right w:val="single" w:color="auto" w:sz="12" w:space="0"/>
            </w:tcBorders>
          </w:tcPr>
          <w:p>
            <w:pPr>
              <w:pStyle w:val="5"/>
            </w:pPr>
            <w:bookmarkStart w:id="120" w:name="_Toc29388575"/>
            <w:bookmarkStart w:id="121" w:name="_Toc29380624"/>
            <w:r>
              <w:t>5.1施工期污染源分析</w:t>
            </w:r>
            <w:bookmarkEnd w:id="120"/>
            <w:bookmarkEnd w:id="121"/>
          </w:p>
          <w:p>
            <w:pPr>
              <w:widowControl/>
              <w:ind w:firstLine="480"/>
              <w:jc w:val="left"/>
            </w:pPr>
            <w:bookmarkStart w:id="122" w:name="_Toc29388576"/>
            <w:bookmarkStart w:id="123" w:name="_Toc29380625"/>
            <w:r>
              <w:rPr>
                <w:rFonts w:hint="eastAsia"/>
              </w:rPr>
              <w:t>本项目所购置的厂房已经建成，不涉及土建施工，施工期仅进行简单的设备安装，经厂区厂房隔声后对周围环境影响不大，且多为短暂性瞬时噪声，因此不存在施工影响。</w:t>
            </w:r>
          </w:p>
          <w:p>
            <w:pPr>
              <w:pStyle w:val="5"/>
            </w:pPr>
            <w:r>
              <w:t>5.2运营期污染源分析</w:t>
            </w:r>
            <w:bookmarkEnd w:id="122"/>
            <w:bookmarkEnd w:id="123"/>
          </w:p>
          <w:p>
            <w:pPr>
              <w:pStyle w:val="6"/>
            </w:pPr>
            <w:bookmarkStart w:id="124" w:name="_Toc29380626"/>
            <w:bookmarkStart w:id="125" w:name="_Toc29388577"/>
            <w:r>
              <w:t>5.2.1工艺流程简述</w:t>
            </w:r>
            <w:bookmarkEnd w:id="124"/>
            <w:bookmarkEnd w:id="125"/>
          </w:p>
          <w:p>
            <w:pPr>
              <w:ind w:firstLine="480"/>
            </w:pPr>
            <w:r>
              <w:t>1、精密配件生产工艺流程如下：</w:t>
            </w:r>
          </w:p>
          <w:tbl>
            <w:tblPr>
              <w:tblStyle w:val="34"/>
              <w:tblW w:w="0" w:type="auto"/>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730"/>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c>
                <w:tcPr>
                  <w:tcW w:w="8730" w:type="dxa"/>
                </w:tcPr>
                <w:p>
                  <w:pPr>
                    <w:ind w:firstLine="0" w:firstLineChars="0"/>
                    <w:jc w:val="center"/>
                  </w:pPr>
                  <w:r>
                    <mc:AlternateContent>
                      <mc:Choice Requires="wps">
                        <w:drawing>
                          <wp:anchor distT="0" distB="0" distL="114300" distR="114300" simplePos="0" relativeHeight="251769856" behindDoc="0" locked="0" layoutInCell="1" allowOverlap="1">
                            <wp:simplePos x="0" y="0"/>
                            <wp:positionH relativeFrom="column">
                              <wp:posOffset>280035</wp:posOffset>
                            </wp:positionH>
                            <wp:positionV relativeFrom="paragraph">
                              <wp:posOffset>95885</wp:posOffset>
                            </wp:positionV>
                            <wp:extent cx="1190625" cy="285115"/>
                            <wp:effectExtent l="13335" t="10160" r="5715" b="9525"/>
                            <wp:wrapNone/>
                            <wp:docPr id="431" name="文本框 824"/>
                            <wp:cNvGraphicFramePr/>
                            <a:graphic xmlns:a="http://schemas.openxmlformats.org/drawingml/2006/main">
                              <a:graphicData uri="http://schemas.microsoft.com/office/word/2010/wordprocessingShape">
                                <wps:wsp>
                                  <wps:cNvSpPr txBox="1">
                                    <a:spLocks noChangeArrowheads="1"/>
                                  </wps:cNvSpPr>
                                  <wps:spPr bwMode="auto">
                                    <a:xfrm>
                                      <a:off x="0" y="0"/>
                                      <a:ext cx="1190625" cy="285115"/>
                                    </a:xfrm>
                                    <a:prstGeom prst="rect">
                                      <a:avLst/>
                                    </a:prstGeom>
                                    <a:noFill/>
                                    <a:ln w="9525" cmpd="sng">
                                      <a:solidFill>
                                        <a:srgbClr val="000000"/>
                                      </a:solidFill>
                                      <a:prstDash val="dash"/>
                                      <a:miter lim="800000"/>
                                    </a:ln>
                                    <a:effectLst/>
                                  </wps:spPr>
                                  <wps:txbx>
                                    <w:txbxContent>
                                      <w:p>
                                        <w:pPr>
                                          <w:pStyle w:val="47"/>
                                        </w:pPr>
                                        <w:r>
                                          <w:rPr>
                                            <w:rFonts w:hint="eastAsia"/>
                                          </w:rPr>
                                          <w:t>一般包装材料S</w:t>
                                        </w:r>
                                        <w:r>
                                          <w:rPr>
                                            <w:rFonts w:hint="eastAsia"/>
                                            <w:vertAlign w:val="subscript"/>
                                          </w:rPr>
                                          <w:t>1</w:t>
                                        </w:r>
                                      </w:p>
                                    </w:txbxContent>
                                  </wps:txbx>
                                  <wps:bodyPr rot="0" vert="horz" wrap="square" lIns="91440" tIns="45720" rIns="91440" bIns="45720" anchor="t" anchorCtr="0" upright="1">
                                    <a:noAutofit/>
                                  </wps:bodyPr>
                                </wps:wsp>
                              </a:graphicData>
                            </a:graphic>
                          </wp:anchor>
                        </w:drawing>
                      </mc:Choice>
                      <mc:Fallback>
                        <w:pict>
                          <v:shape id="文本框 824" o:spid="_x0000_s1026" o:spt="202" type="#_x0000_t202" style="position:absolute;left:0pt;margin-left:22.05pt;margin-top:7.55pt;height:22.45pt;width:93.75pt;z-index:251769856;mso-width-relative:page;mso-height-relative:page;" filled="f" stroked="t" coordsize="21600,21600" o:gfxdata="UEsDBAoAAAAAAIdO4kAAAAAAAAAAAAAAAAAEAAAAZHJzL1BLAwQUAAAACACHTuJA3xO4sNkAAAAI&#10;AQAADwAAAGRycy9kb3ducmV2LnhtbE2PQU/DMAyF70j8h8hI3FjSrSuoNN0BCQkkNMTYgd3SxrTV&#10;GqdqsrX8e8yJnSz7PT1/r9jMrhdnHEPnSUOyUCCQam87ajTsP5/vHkCEaMia3hNq+MEAm/L6qjC5&#10;9RN94HkXG8EhFHKjoY1xyKUMdYvOhIUfkFj79qMzkdexkXY0E4e7Xi6VyqQzHfGH1gz41GJ93J2c&#10;hsN+qtLtdi3n97cvjKuXV3O8P2h9e5OoRxAR5/hvhj98RoeSmSp/IhtEryFNE3byfc2T9eUqyUBU&#10;GjKlQJaFvCxQ/gJQSwMEFAAAAAgAh07iQE0nV5JXAgAAkwQAAA4AAABkcnMvZTJvRG9jLnhtbK1U&#10;zW7bMAy+D9g7CLovjrOkS4w4RZegw4DuB+j2AIos28IkUZOU2N0DbG+w0y6777nyHKPkNA26Sw/z&#10;QaBE8iP5kfTysteK7IXzEkxJ89GYEmE4VNI0Jf386frFnBIfmKmYAiNKeic8vVw9f7bsbCEm0IKq&#10;hCMIYnzR2ZK2IdgiyzxvhWZ+BFYYVNbgNAt4dU1WOdYhulbZZDy+yDpwlXXAhff4uhmU9IjongII&#10;dS252ADfaWHCgOqEYgFL8q20nq5StnUtePhQ114EokqKlYZ0YhCUt/HMVktWNI7ZVvJjCuwpKTyq&#10;STNpMOgJasMCIzsn/4HSkjvwUIcRB50NhSRGsIp8/Iib25ZZkWpBqr09ke7/Hyx/v//oiKxKOn2Z&#10;U2KYxpYffv44/Ppz+P2dzCfTSFFnfYGWtxZtQ/8aehycVK63N8C/eGJg3TLTiCvnoGsFqzDFPHpm&#10;Z64Djo8g2+4dVBiJ7QIkoL52OvKHjBBEx/bcndoj+kB4DJkvxheTGSUcdZP5LM9nKQQr7r2t8+GN&#10;AE2iUFKH7U/obH/jQ8yGFfcmMZiBa6lUGgFlSFfSxSzBa4t8eNMMJYKSVbSLHt4127VyZM/iPKXv&#10;mII/N4tBNsy3g12FUrRihZYBd0dJXdL5ubMyUSvSvB4zjbxFqgbSQr/tESE+bqG6QwYdDLOMm4xC&#10;C+4bJR3OMSb+dcecoES9NdiFRT6dxsFPl+ns1QQv7lyzPdcwwxGqpIGSQVyHYVl21smmxUhD3w1c&#10;YedqmUh9yOrYb5zVxPVxr+IynN+T1cO/ZPU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3xO4sNkA&#10;AAAIAQAADwAAAAAAAAABACAAAAAiAAAAZHJzL2Rvd25yZXYueG1sUEsBAhQAFAAAAAgAh07iQE0n&#10;V5JXAgAAkwQAAA4AAAAAAAAAAQAgAAAAKAEAAGRycy9lMm9Eb2MueG1sUEsFBgAAAAAGAAYAWQEA&#10;APEFAAAAAA==&#10;">
                            <v:fill on="f" focussize="0,0"/>
                            <v:stroke color="#000000" miterlimit="8" joinstyle="miter" dashstyle="dash"/>
                            <v:imagedata o:title=""/>
                            <o:lock v:ext="edit" aspectratio="f"/>
                            <v:textbox>
                              <w:txbxContent>
                                <w:p>
                                  <w:pPr>
                                    <w:pStyle w:val="47"/>
                                  </w:pPr>
                                  <w:r>
                                    <w:rPr>
                                      <w:rFonts w:hint="eastAsia"/>
                                    </w:rPr>
                                    <w:t>一般包装材料S</w:t>
                                  </w:r>
                                  <w:r>
                                    <w:rPr>
                                      <w:rFonts w:hint="eastAsia"/>
                                      <w:vertAlign w:val="subscript"/>
                                    </w:rPr>
                                    <w:t>1</w:t>
                                  </w:r>
                                </w:p>
                              </w:txbxContent>
                            </v:textbox>
                          </v:shap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3851910</wp:posOffset>
                            </wp:positionH>
                            <wp:positionV relativeFrom="paragraph">
                              <wp:posOffset>95885</wp:posOffset>
                            </wp:positionV>
                            <wp:extent cx="876300" cy="285115"/>
                            <wp:effectExtent l="13335" t="10160" r="5715" b="9525"/>
                            <wp:wrapNone/>
                            <wp:docPr id="430" name="文本框 695"/>
                            <wp:cNvGraphicFramePr/>
                            <a:graphic xmlns:a="http://schemas.openxmlformats.org/drawingml/2006/main">
                              <a:graphicData uri="http://schemas.microsoft.com/office/word/2010/wordprocessingShape">
                                <wps:wsp>
                                  <wps:cNvSpPr txBox="1">
                                    <a:spLocks noChangeArrowheads="1"/>
                                  </wps:cNvSpPr>
                                  <wps:spPr bwMode="auto">
                                    <a:xfrm>
                                      <a:off x="0" y="0"/>
                                      <a:ext cx="876300" cy="285115"/>
                                    </a:xfrm>
                                    <a:prstGeom prst="rect">
                                      <a:avLst/>
                                    </a:prstGeom>
                                    <a:noFill/>
                                    <a:ln w="9525" cmpd="sng">
                                      <a:solidFill>
                                        <a:srgbClr val="000000"/>
                                      </a:solidFill>
                                      <a:prstDash val="dash"/>
                                      <a:miter lim="800000"/>
                                    </a:ln>
                                    <a:effectLst/>
                                  </wps:spPr>
                                  <wps:txbx>
                                    <w:txbxContent>
                                      <w:p>
                                        <w:pPr>
                                          <w:spacing w:line="240" w:lineRule="auto"/>
                                          <w:ind w:firstLine="0" w:firstLineChars="0"/>
                                          <w:jc w:val="center"/>
                                          <w:rPr>
                                            <w:sz w:val="21"/>
                                            <w:szCs w:val="21"/>
                                          </w:rPr>
                                        </w:pPr>
                                        <w:r>
                                          <w:rPr>
                                            <w:rFonts w:hint="eastAsia"/>
                                            <w:sz w:val="21"/>
                                            <w:szCs w:val="21"/>
                                          </w:rPr>
                                          <w:t>废乳化液S</w:t>
                                        </w:r>
                                        <w:r>
                                          <w:rPr>
                                            <w:rFonts w:hint="eastAsia"/>
                                            <w:sz w:val="21"/>
                                            <w:szCs w:val="21"/>
                                            <w:vertAlign w:val="subscript"/>
                                          </w:rPr>
                                          <w:t>4</w:t>
                                        </w:r>
                                      </w:p>
                                    </w:txbxContent>
                                  </wps:txbx>
                                  <wps:bodyPr rot="0" vert="horz" wrap="square" lIns="91440" tIns="45720" rIns="91440" bIns="45720" anchor="t" anchorCtr="0" upright="1">
                                    <a:noAutofit/>
                                  </wps:bodyPr>
                                </wps:wsp>
                              </a:graphicData>
                            </a:graphic>
                          </wp:anchor>
                        </w:drawing>
                      </mc:Choice>
                      <mc:Fallback>
                        <w:pict>
                          <v:shape id="文本框 695" o:spid="_x0000_s1026" o:spt="202" type="#_x0000_t202" style="position:absolute;left:0pt;margin-left:303.3pt;margin-top:7.55pt;height:22.45pt;width:69pt;z-index:251700224;mso-width-relative:page;mso-height-relative:page;" filled="f" stroked="t" coordsize="21600,21600" o:gfxdata="UEsDBAoAAAAAAIdO4kAAAAAAAAAAAAAAAAAEAAAAZHJzL1BLAwQUAAAACACHTuJA8lVOCNcAAAAJ&#10;AQAADwAAAGRycy9kb3ducmV2LnhtbE2PwU7DMAyG70i8Q2QkbiwpdB0qTXdAQgIJDTF2YLe0MW21&#10;xqmabC1vj3diR/v79ftzsZ5dL044hs6ThmShQCDV3nbUaNh9vdw9ggjRkDW9J9TwiwHW5fVVYXLr&#10;J/rE0zY2gkso5EZDG+OQSxnqFp0JCz8gMfvxozORx7GRdjQTl7te3iuVSWc64gutGfC5xfqwPToN&#10;+91UpZvNUs4f798YH17fzGG11/r2JlFPICLO8T8MZ31Wh5KdKn8kG0SvIVNZxlEGywQEB1Zpyovq&#10;TBTIspCXH5R/UEsDBBQAAAAIAIdO4kCIfYJeWAIAAJIEAAAOAAAAZHJzL2Uyb0RvYy54bWytVEtu&#10;2zAQ3RfoHQjua9mO7dhC5CCNkaJA+gHSHoCmKIkoyWFJ2lJ6gOYGXXXTfc+Vc3RIOqmRbrKoFgKp&#10;mXnz5s2Mzs4HrcheOC/BVHQyGlMiDIdamrainz9dvVpS4gMzNVNgREVvhafn65cvznpbiil0oGrh&#10;CIIYX/a2ol0ItiwKzzuhmR+BFQaNDTjNAl5dW9SO9YiuVTEdjxdFD662DrjwHr9uspEeEN1zAKFp&#10;JBcb4DstTMioTigWsCTfSevpOrFtGsHDh6bxIhBVUaw0pDcmwfM2vov1GStbx2wn+YECew6FJzVp&#10;Jg0mfYTasMDIzsl/oLTkDjw0YcRBF7mQpAhWMRk/0eamY1akWlBqbx9F9/8Plr/ff3RE1hWdnaAm&#10;hmls+f2Pu/ufv+9/fSeL1TxK1FtfoueNRd8wvIYBByeV6+018C+eGLjsmGnFhXPQd4LVSHESI4uj&#10;0IzjI8i2fwc1ZmK7AAloaJyO+qEiBNGRyu1je8QQCMePy9PFyRgtHE3T5XwySdwKVj4EW+fDGwGa&#10;xENFHXY/gbP9tQ+RDCsfXGIuA1dSqTQBypC+oqv5dI7w2qIc3rS5QlCyjn4xwrt2e6kc2bM4TulJ&#10;RaLl2C0m2TDfZb8aT3nOtAy4OkpqrOU4WJkILtK4HphG2aJSWbMwbIdDG7ZQ36KADvIo4yLjoQP3&#10;jZIexxiJf90xJyhRbw02YTWZzVCykC6z+ekUL+7Ysj22MMMRqqKBkny8DHlXdtbJtsNMue0GLrBx&#10;jUyiRqqZ1aHdOKpJ68NaxV04vievv7+S9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yVU4I1wAA&#10;AAkBAAAPAAAAAAAAAAEAIAAAACIAAABkcnMvZG93bnJldi54bWxQSwECFAAUAAAACACHTuJAiH2C&#10;XlgCAACSBAAADgAAAAAAAAABACAAAAAmAQAAZHJzL2Uyb0RvYy54bWxQSwUGAAAAAAYABgBZAQAA&#10;8AUAAAAA&#10;">
                            <v:fill on="f" focussize="0,0"/>
                            <v:stroke color="#000000" miterlimit="8" joinstyle="miter" dashstyle="dash"/>
                            <v:imagedata o:title=""/>
                            <o:lock v:ext="edit" aspectratio="f"/>
                            <v:textbox>
                              <w:txbxContent>
                                <w:p>
                                  <w:pPr>
                                    <w:spacing w:line="240" w:lineRule="auto"/>
                                    <w:ind w:firstLine="0" w:firstLineChars="0"/>
                                    <w:jc w:val="center"/>
                                    <w:rPr>
                                      <w:sz w:val="21"/>
                                      <w:szCs w:val="21"/>
                                    </w:rPr>
                                  </w:pPr>
                                  <w:r>
                                    <w:rPr>
                                      <w:rFonts w:hint="eastAsia"/>
                                      <w:sz w:val="21"/>
                                      <w:szCs w:val="21"/>
                                    </w:rPr>
                                    <w:t>废乳化液S</w:t>
                                  </w:r>
                                  <w:r>
                                    <w:rPr>
                                      <w:rFonts w:hint="eastAsia"/>
                                      <w:sz w:val="21"/>
                                      <w:szCs w:val="21"/>
                                      <w:vertAlign w:val="subscript"/>
                                    </w:rPr>
                                    <w:t>4</w:t>
                                  </w:r>
                                </w:p>
                              </w:txbxContent>
                            </v:textbox>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1708785</wp:posOffset>
                            </wp:positionH>
                            <wp:positionV relativeFrom="paragraph">
                              <wp:posOffset>105410</wp:posOffset>
                            </wp:positionV>
                            <wp:extent cx="933450" cy="285115"/>
                            <wp:effectExtent l="13335" t="10160" r="5715" b="9525"/>
                            <wp:wrapNone/>
                            <wp:docPr id="429" name="文本框 694"/>
                            <wp:cNvGraphicFramePr/>
                            <a:graphic xmlns:a="http://schemas.openxmlformats.org/drawingml/2006/main">
                              <a:graphicData uri="http://schemas.microsoft.com/office/word/2010/wordprocessingShape">
                                <wps:wsp>
                                  <wps:cNvSpPr txBox="1">
                                    <a:spLocks noChangeArrowheads="1"/>
                                  </wps:cNvSpPr>
                                  <wps:spPr bwMode="auto">
                                    <a:xfrm>
                                      <a:off x="0" y="0"/>
                                      <a:ext cx="933450" cy="285115"/>
                                    </a:xfrm>
                                    <a:prstGeom prst="rect">
                                      <a:avLst/>
                                    </a:prstGeom>
                                    <a:noFill/>
                                    <a:ln w="9525" cmpd="sng">
                                      <a:solidFill>
                                        <a:srgbClr val="000000"/>
                                      </a:solidFill>
                                      <a:prstDash val="dash"/>
                                      <a:miter lim="800000"/>
                                    </a:ln>
                                  </wps:spPr>
                                  <wps:txbx>
                                    <w:txbxContent>
                                      <w:p>
                                        <w:pPr>
                                          <w:spacing w:line="240" w:lineRule="auto"/>
                                          <w:ind w:firstLine="0" w:firstLineChars="0"/>
                                          <w:jc w:val="center"/>
                                          <w:rPr>
                                            <w:sz w:val="21"/>
                                            <w:szCs w:val="21"/>
                                          </w:rPr>
                                        </w:pPr>
                                        <w:r>
                                          <w:rPr>
                                            <w:rFonts w:hint="eastAsia"/>
                                            <w:sz w:val="21"/>
                                            <w:szCs w:val="21"/>
                                          </w:rPr>
                                          <w:t>废乳化液S</w:t>
                                        </w:r>
                                        <w:r>
                                          <w:rPr>
                                            <w:rFonts w:hint="eastAsia"/>
                                            <w:sz w:val="21"/>
                                            <w:szCs w:val="21"/>
                                            <w:vertAlign w:val="subscript"/>
                                          </w:rPr>
                                          <w:t>4</w:t>
                                        </w:r>
                                      </w:p>
                                    </w:txbxContent>
                                  </wps:txbx>
                                  <wps:bodyPr rot="0" vert="horz" wrap="square" lIns="91440" tIns="45720" rIns="91440" bIns="45720" anchor="t" anchorCtr="0" upright="1">
                                    <a:noAutofit/>
                                  </wps:bodyPr>
                                </wps:wsp>
                              </a:graphicData>
                            </a:graphic>
                          </wp:anchor>
                        </w:drawing>
                      </mc:Choice>
                      <mc:Fallback>
                        <w:pict>
                          <v:shape id="文本框 694" o:spid="_x0000_s1026" o:spt="202" type="#_x0000_t202" style="position:absolute;left:0pt;margin-left:134.55pt;margin-top:8.3pt;height:22.45pt;width:73.5pt;z-index:251699200;mso-width-relative:page;mso-height-relative:page;" filled="f" stroked="t" coordsize="21600,21600" o:gfxdata="UEsDBAoAAAAAAIdO4kAAAAAAAAAAAAAAAAAEAAAAZHJzL1BLAwQUAAAACACHTuJAR4RrR9kAAAAJ&#10;AQAADwAAAGRycy9kb3ducmV2LnhtbE2PwU7DMAyG70i8Q2QkbizN2MIoTXdAQgIJbWLssN3c1rTV&#10;mqRqsrW8PeYER/v/9Ptztp5sJy40hNY7A2qWgCBX+qp1tYH958vdCkSI6CrsvCMD3xRgnV9fZZhW&#10;fnQfdNnFWnCJCykaaGLsUylD2ZDFMPM9Oc6+/GAx8jjUshpw5HLbyXmSaGmxdXyhwZ6eGypPu7M1&#10;cNyPxWKzWcpp+36geP/6hqeHozG3Nyp5AhFpin8w/OqzOuTsVPizq4LoDMz1o2KUA61BMLBQmheF&#10;Aa2WIPNM/v8g/wFQSwMEFAAAAAgAh07iQJ5jL0RRAgAAhAQAAA4AAABkcnMvZTJvRG9jLnhtbK1U&#10;zW7bMAy+D9g7CLqvTtKka4w6Rdegw4D9Ad0egJFlW5gkapISu3uA7Q122mX3PVefY5SctkF36WE+&#10;GJRJfvz4kfLZ+WA020kfFNqKT48mnEkrsFa2rfjnT1cvTjkLEWwNGq2s+I0M/Hz1/NlZ70o5ww51&#10;LT0jEBvK3lW8i9GVRRFEJw2EI3TSkrNBbyDS0bdF7aEndKOL2WRyUvToa+dRyBDo63p08j2ifwog&#10;No0Sco1ia6SNI6qXGiK1FDrlAl9ltk0jRfzQNEFGpitOncb8piJkb9K7WJ1B2XpwnRJ7CvAUCo96&#10;MqAsFb2HWkMEtvXqHyijhMeATTwSaIqxkawIdTGdPNLmugMncy8kdXD3oof/Byve7z56puqKz2dL&#10;ziwYGvntzx+3v/7c/v7OTpbzJFHvQkmR145i4/AKB1qc3G5wb1F8CcziZQe2lRfeY99JqIniNGUW&#10;B6kjTkggm/4d1lQJthEz0NB4k/QjRRih03hu7scjh8gEfVweH88X5BHkmp0uptNFrgDlXbLzIb6W&#10;aFgyKu5p+hkcdm9DTGSgvAtJtSxeKa3zBmjLeiqwmC0I3jiSI9h27BC1qlNcygi+3Vxqz3aQ1ik/&#10;ewrhMCwVWUPoxriarBQFpVGRro5WpuKnh8na7oVK2owqxWEzUE5Sb4P1DUnmcVxeurpkdOi/cdbT&#10;4hLVr1vwkjP9xpLsy+l8njY9H+aLlzM6+EPP5tADVhBUxSNno3kZx9uxdV61HVUaB23xgkbVqCzj&#10;A6s9b1rOrO7+IqXtPzznqIefx+o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R4RrR9kAAAAJAQAA&#10;DwAAAAAAAAABACAAAAAiAAAAZHJzL2Rvd25yZXYueG1sUEsBAhQAFAAAAAgAh07iQJ5jL0RRAgAA&#10;hAQAAA4AAAAAAAAAAQAgAAAAKAEAAGRycy9lMm9Eb2MueG1sUEsFBgAAAAAGAAYAWQEAAOsFAAAA&#10;AA==&#10;">
                            <v:fill on="f" focussize="0,0"/>
                            <v:stroke color="#000000" miterlimit="8" joinstyle="miter" dashstyle="dash"/>
                            <v:imagedata o:title=""/>
                            <o:lock v:ext="edit" aspectratio="f"/>
                            <v:textbox>
                              <w:txbxContent>
                                <w:p>
                                  <w:pPr>
                                    <w:spacing w:line="240" w:lineRule="auto"/>
                                    <w:ind w:firstLine="0" w:firstLineChars="0"/>
                                    <w:jc w:val="center"/>
                                    <w:rPr>
                                      <w:sz w:val="21"/>
                                      <w:szCs w:val="21"/>
                                    </w:rPr>
                                  </w:pPr>
                                  <w:r>
                                    <w:rPr>
                                      <w:rFonts w:hint="eastAsia"/>
                                      <w:sz w:val="21"/>
                                      <w:szCs w:val="21"/>
                                    </w:rPr>
                                    <w:t>废乳化液S</w:t>
                                  </w:r>
                                  <w:r>
                                    <w:rPr>
                                      <w:rFonts w:hint="eastAsia"/>
                                      <w:sz w:val="21"/>
                                      <w:szCs w:val="21"/>
                                      <w:vertAlign w:val="subscript"/>
                                    </w:rPr>
                                    <w:t>4</w:t>
                                  </w:r>
                                </w:p>
                              </w:txbxContent>
                            </v:textbox>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2794635</wp:posOffset>
                            </wp:positionH>
                            <wp:positionV relativeFrom="paragraph">
                              <wp:posOffset>114935</wp:posOffset>
                            </wp:positionV>
                            <wp:extent cx="933450" cy="285115"/>
                            <wp:effectExtent l="13335" t="10160" r="5715" b="9525"/>
                            <wp:wrapNone/>
                            <wp:docPr id="428" name="文本框 685"/>
                            <wp:cNvGraphicFramePr/>
                            <a:graphic xmlns:a="http://schemas.openxmlformats.org/drawingml/2006/main">
                              <a:graphicData uri="http://schemas.microsoft.com/office/word/2010/wordprocessingShape">
                                <wps:wsp>
                                  <wps:cNvSpPr txBox="1">
                                    <a:spLocks noChangeArrowheads="1"/>
                                  </wps:cNvSpPr>
                                  <wps:spPr bwMode="auto">
                                    <a:xfrm>
                                      <a:off x="0" y="0"/>
                                      <a:ext cx="933450" cy="285115"/>
                                    </a:xfrm>
                                    <a:prstGeom prst="rect">
                                      <a:avLst/>
                                    </a:prstGeom>
                                    <a:noFill/>
                                    <a:ln w="9525" cmpd="sng">
                                      <a:solidFill>
                                        <a:srgbClr val="000000"/>
                                      </a:solidFill>
                                      <a:prstDash val="dash"/>
                                      <a:miter lim="800000"/>
                                    </a:ln>
                                    <a:effectLst/>
                                  </wps:spPr>
                                  <wps:txbx>
                                    <w:txbxContent>
                                      <w:p>
                                        <w:pPr>
                                          <w:spacing w:line="240" w:lineRule="auto"/>
                                          <w:ind w:firstLine="0" w:firstLineChars="0"/>
                                          <w:jc w:val="center"/>
                                          <w:rPr>
                                            <w:sz w:val="21"/>
                                            <w:szCs w:val="21"/>
                                          </w:rPr>
                                        </w:pPr>
                                        <w:r>
                                          <w:rPr>
                                            <w:rFonts w:hint="eastAsia"/>
                                            <w:sz w:val="21"/>
                                            <w:szCs w:val="21"/>
                                          </w:rPr>
                                          <w:t>打磨废水W</w:t>
                                        </w:r>
                                        <w:r>
                                          <w:rPr>
                                            <w:rFonts w:hint="eastAsia"/>
                                            <w:sz w:val="21"/>
                                            <w:szCs w:val="21"/>
                                            <w:vertAlign w:val="subscript"/>
                                          </w:rPr>
                                          <w:t>1</w:t>
                                        </w:r>
                                      </w:p>
                                    </w:txbxContent>
                                  </wps:txbx>
                                  <wps:bodyPr rot="0" vert="horz" wrap="square" lIns="91440" tIns="45720" rIns="91440" bIns="45720" anchor="t" anchorCtr="0" upright="1">
                                    <a:noAutofit/>
                                  </wps:bodyPr>
                                </wps:wsp>
                              </a:graphicData>
                            </a:graphic>
                          </wp:anchor>
                        </w:drawing>
                      </mc:Choice>
                      <mc:Fallback>
                        <w:pict>
                          <v:shape id="文本框 685" o:spid="_x0000_s1026" o:spt="202" type="#_x0000_t202" style="position:absolute;left:0pt;margin-left:220.05pt;margin-top:9.05pt;height:22.45pt;width:73.5pt;z-index:251694080;mso-width-relative:page;mso-height-relative:page;" filled="f" stroked="t" coordsize="21600,21600" o:gfxdata="UEsDBAoAAAAAAIdO4kAAAAAAAAAAAAAAAAAEAAAAZHJzL1BLAwQUAAAACACHTuJA5/5xm9kAAAAJ&#10;AQAADwAAAGRycy9kb3ducmV2LnhtbE2PQU/DMAyF70j8h8hI3FhS1m1VaboDEhJIaIixA7uljWmr&#10;NU7VZGv595gTnGzrPT1/r9jOrhcXHEPnSUOyUCCQam87ajQcPp7uMhAhGrKm94QavjHAtry+Kkxu&#10;/UTveNnHRnAIhdxoaGMccilD3aIzYeEHJNa+/OhM5HNspB3NxOGul/dKraUzHfGH1gz42GJ92p+d&#10;huNhqtLdbiXnt9dPjMvnF3PaHLW+vUnUA4iIc/wzwy8+o0PJTJU/kw2i15CmKmErCxlPNqyyDS+V&#10;hvVSgSwL+b9B+QNQSwMEFAAAAAgAh07iQPvJL0RYAgAAkgQAAA4AAABkcnMvZTJvRG9jLnhtbK1U&#10;S27bMBDdF+gdCO4b2Y6dOoLlILWRokD6AdIegKYoiSjJYUnaUnqA9gZdddN9z+VzdEg6rpFusqgW&#10;AqmZefPmzYwWV4NWZCecl2AqOj4bUSIMh1qatqKfPt68mFPiAzM1U2BERe+Fp1fL588WvS3FBDpQ&#10;tXAEQYwve1vRLgRbFoXnndDMn4EVBo0NOM0CXl1b1I71iK5VMRmNLooeXG0dcOE9fl1nIz0guqcA&#10;QtNILtbAt1qYkFGdUCxgSb6T1tNlYts0gof3TeNFIKqiWGlIb0yC5018F8sFK1vHbCf5gQJ7CoVH&#10;NWkmDSY9Qq1ZYGTr5D9QWnIHHppwxkEXuZCkCFYxHj3S5q5jVqRaUGpvj6L7/wfL3+0+OCLrik4n&#10;2HjDNLZ8/+P7/ufv/a9v5GI+ixL11pfoeWfRNwyvYMDBSeV6ewv8sycGVh0zrbh2DvpOsBopjmNk&#10;cRKacXwE2fRvocZMbBsgAQ2N01E/VIQgOrbn/tgeMQTC8ePl+fl0hhaOpsl8Nh4nbgUrH4Kt8+G1&#10;AE3ioaIOu5/A2e7Wh0iGlQ8uMZeBG6lUmgBlSI8JZpMZwmuLcnjT5gpByTr6xQjv2s1KObJjcZzS&#10;k4pEy6lbTLJmvst+NZ7ynGkZcHWU1BWdnwYrE8FFGtcD0yhbVCprFobNcGjDBup7FNBBHmVcZDx0&#10;4L5S0uMYI/EvW+YEJeqNwSZcjqfTOPfpMp29nODFnVo2pxZmOEJVNFCSj6uQd2VrnWw7zJTbbuAa&#10;G9fIJGqkmlkd2o2jmrQ+rFXchdN78vr7K1n+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f+cZvZ&#10;AAAACQEAAA8AAAAAAAAAAQAgAAAAIgAAAGRycy9kb3ducmV2LnhtbFBLAQIUABQAAAAIAIdO4kD7&#10;yS9EWAIAAJIEAAAOAAAAAAAAAAEAIAAAACgBAABkcnMvZTJvRG9jLnhtbFBLBQYAAAAABgAGAFkB&#10;AADyBQAAAAA=&#10;">
                            <v:fill on="f" focussize="0,0"/>
                            <v:stroke color="#000000" miterlimit="8" joinstyle="miter" dashstyle="dash"/>
                            <v:imagedata o:title=""/>
                            <o:lock v:ext="edit" aspectratio="f"/>
                            <v:textbox>
                              <w:txbxContent>
                                <w:p>
                                  <w:pPr>
                                    <w:spacing w:line="240" w:lineRule="auto"/>
                                    <w:ind w:firstLine="0" w:firstLineChars="0"/>
                                    <w:jc w:val="center"/>
                                    <w:rPr>
                                      <w:sz w:val="21"/>
                                      <w:szCs w:val="21"/>
                                    </w:rPr>
                                  </w:pPr>
                                  <w:r>
                                    <w:rPr>
                                      <w:rFonts w:hint="eastAsia"/>
                                      <w:sz w:val="21"/>
                                      <w:szCs w:val="21"/>
                                    </w:rPr>
                                    <w:t>打磨废水W</w:t>
                                  </w:r>
                                  <w:r>
                                    <w:rPr>
                                      <w:rFonts w:hint="eastAsia"/>
                                      <w:sz w:val="21"/>
                                      <w:szCs w:val="21"/>
                                      <w:vertAlign w:val="subscript"/>
                                    </w:rPr>
                                    <w:t>1</w:t>
                                  </w:r>
                                </w:p>
                              </w:txbxContent>
                            </v:textbox>
                          </v:shape>
                        </w:pict>
                      </mc:Fallback>
                    </mc:AlternateContent>
                  </w:r>
                </w:p>
                <w:p>
                  <w:pPr>
                    <w:ind w:firstLine="0" w:firstLineChars="0"/>
                    <w:jc w:val="center"/>
                  </w:pPr>
                  <w:r>
                    <mc:AlternateContent>
                      <mc:Choice Requires="wps">
                        <w:drawing>
                          <wp:anchor distT="0" distB="0" distL="114300" distR="114300" simplePos="0" relativeHeight="251697152" behindDoc="0" locked="0" layoutInCell="1" allowOverlap="1">
                            <wp:simplePos x="0" y="0"/>
                            <wp:positionH relativeFrom="column">
                              <wp:posOffset>1981200</wp:posOffset>
                            </wp:positionH>
                            <wp:positionV relativeFrom="paragraph">
                              <wp:posOffset>148590</wp:posOffset>
                            </wp:positionV>
                            <wp:extent cx="156845" cy="123190"/>
                            <wp:effectExtent l="3175" t="0" r="11430" b="10160"/>
                            <wp:wrapNone/>
                            <wp:docPr id="427" name="直线 690"/>
                            <wp:cNvGraphicFramePr/>
                            <a:graphic xmlns:a="http://schemas.openxmlformats.org/drawingml/2006/main">
                              <a:graphicData uri="http://schemas.microsoft.com/office/word/2010/wordprocessingShape">
                                <wps:wsp>
                                  <wps:cNvCnPr>
                                    <a:cxnSpLocks noChangeShapeType="1"/>
                                  </wps:cNvCnPr>
                                  <wps:spPr bwMode="auto">
                                    <a:xfrm flipV="1">
                                      <a:off x="0" y="0"/>
                                      <a:ext cx="156845" cy="123190"/>
                                    </a:xfrm>
                                    <a:prstGeom prst="line">
                                      <a:avLst/>
                                    </a:prstGeom>
                                    <a:noFill/>
                                    <a:ln w="9525" cmpd="sng">
                                      <a:solidFill>
                                        <a:srgbClr val="000000"/>
                                      </a:solidFill>
                                      <a:prstDash val="dash"/>
                                      <a:round/>
                                      <a:headEnd type="none"/>
                                      <a:tailEnd type="triangle" w="med" len="med"/>
                                    </a:ln>
                                  </wps:spPr>
                                  <wps:bodyPr/>
                                </wps:wsp>
                              </a:graphicData>
                            </a:graphic>
                          </wp:anchor>
                        </w:drawing>
                      </mc:Choice>
                      <mc:Fallback>
                        <w:pict>
                          <v:line id="直线 690" o:spid="_x0000_s1026" o:spt="20" style="position:absolute;left:0pt;flip:y;margin-left:156pt;margin-top:11.7pt;height:9.7pt;width:12.35pt;z-index:251697152;mso-width-relative:page;mso-height-relative:page;" filled="f" stroked="t" coordsize="21600,21600" o:gfxdata="UEsDBAoAAAAAAIdO4kAAAAAAAAAAAAAAAAAEAAAAZHJzL1BLAwQUAAAACACHTuJAnkuLH9cAAAAJ&#10;AQAADwAAAGRycy9kb3ducmV2LnhtbE2Py07DMBBF90j8gzVI7KidpCptiNNFJSTEjhaJrRtPk6j2&#10;ONjuA76eYQXL0Vyde26zvnonzhjTGEhDMVMgkLpgR+o1vO+eH5YgUjZkjQuEGr4wwbq9vWlMbcOF&#10;3vC8zb1gCKXaaBhynmopUzegN2kWJiT+HUL0JvMZe2mjuTDcO1kqtZDejMQNg5lwM2B33J68hrn6&#10;/N7sXvtx5V5wlTDS4Zg/tL6/K9QTiIzX/BeGX31Wh5ad9uFENgmnoSpK3pI1lNUcBAeqavEIYs/0&#10;cgmybeT/Be0PUEsDBBQAAAAIAIdO4kCmNej2GQIAABwEAAAOAAAAZHJzL2Uyb0RvYy54bWytU0tu&#10;2zAQ3RfoHQjuG9lukiaC5Szippu0NZC0e5qkJKL8gUNb9ll6ja666XFyjcxQhpOmmyyqhcD5vZn3&#10;OJxf7ZxlW53ABN/w6cmEM+1lUMZ3Df92f/PugjPIwithg9cN32vgV4u3b+ZDrPUs9MEqnRiCeKiH&#10;2PA+51hXFcheOwEnIWqPwTYkJzKaqatUEgOiO1vNJpPzaghJxRSkBkDvcgzyA2J6DWBoWyP1MsiN&#10;0z6PqElbkZES9CYCX5Rp21bL/LVtQWdmG45Mc/ljEzyv6V8t5qLukoi9kYcRxGtGeMHJCeOx6RFq&#10;KbJgm2T+gXJGpgChzScyuGokUhRBFtPJC23uehF14YJSQzyKDv8PVn7ZrhIzquGnsw+ceeHwyh9+&#10;/nr4/YedXxZ9hgg1pl37VSKGcufv4m2QP4D5cN0L3+ky5/0+YumUFK3+KiEDInZZD5+DwhyxyaGI&#10;tWuTY6018TsVEjgKwnbldvbH29G7zCQ6p2fnF6dnnEkMTWfvp+N0lagJhopjgvxJB8fo0HBrPIkn&#10;arG9hUxjPaWQ24cbY21ZAOvZ0PDLsxnBu4hqgO9KLQRrFOVRBaRufW0T2wrapvIVuhh5nkbtlwL6&#10;MU/haVyzFDZelX69FuqjVywXzTy+szEjC2Of/DkZVNdqTsM5rTizGp8snUY21h+0Jnlp5aFeB7Vf&#10;JQqThUtTaB8WnLbyuV2ynh714h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eS4sf1wAAAAkBAAAP&#10;AAAAAAAAAAEAIAAAACIAAABkcnMvZG93bnJldi54bWxQSwECFAAUAAAACACHTuJApjXo9hkCAAAc&#10;BAAADgAAAAAAAAABACAAAAAmAQAAZHJzL2Uyb0RvYy54bWxQSwUGAAAAAAYABgBZAQAAsQUAAAAA&#10;">
                            <v:fill on="f" focussize="0,0"/>
                            <v:stroke color="#000000" joinstyle="round" dashstyle="dash" endarrow="block"/>
                            <v:imagedata o:title=""/>
                            <o:lock v:ext="edit" aspectratio="f"/>
                          </v:line>
                        </w:pict>
                      </mc:Fallback>
                    </mc:AlternateContent>
                  </w:r>
                  <w:r>
                    <mc:AlternateContent>
                      <mc:Choice Requires="wps">
                        <w:drawing>
                          <wp:anchor distT="0" distB="0" distL="114300" distR="114300" simplePos="0" relativeHeight="251768832" behindDoc="0" locked="0" layoutInCell="1" allowOverlap="1">
                            <wp:simplePos x="0" y="0"/>
                            <wp:positionH relativeFrom="column">
                              <wp:posOffset>960755</wp:posOffset>
                            </wp:positionH>
                            <wp:positionV relativeFrom="paragraph">
                              <wp:posOffset>139065</wp:posOffset>
                            </wp:positionV>
                            <wp:extent cx="128905" cy="123825"/>
                            <wp:effectExtent l="3175" t="0" r="1270" b="9525"/>
                            <wp:wrapNone/>
                            <wp:docPr id="426" name="直线 825"/>
                            <wp:cNvGraphicFramePr/>
                            <a:graphic xmlns:a="http://schemas.openxmlformats.org/drawingml/2006/main">
                              <a:graphicData uri="http://schemas.microsoft.com/office/word/2010/wordprocessingShape">
                                <wps:wsp>
                                  <wps:cNvCnPr>
                                    <a:cxnSpLocks noChangeShapeType="1"/>
                                  </wps:cNvCnPr>
                                  <wps:spPr bwMode="auto">
                                    <a:xfrm flipV="1">
                                      <a:off x="0" y="0"/>
                                      <a:ext cx="128905" cy="123825"/>
                                    </a:xfrm>
                                    <a:prstGeom prst="line">
                                      <a:avLst/>
                                    </a:prstGeom>
                                    <a:noFill/>
                                    <a:ln w="9525" cmpd="sng">
                                      <a:solidFill>
                                        <a:srgbClr val="000000"/>
                                      </a:solidFill>
                                      <a:prstDash val="dash"/>
                                      <a:round/>
                                      <a:headEnd type="none"/>
                                      <a:tailEnd type="triangle" w="med" len="med"/>
                                    </a:ln>
                                  </wps:spPr>
                                  <wps:bodyPr/>
                                </wps:wsp>
                              </a:graphicData>
                            </a:graphic>
                          </wp:anchor>
                        </w:drawing>
                      </mc:Choice>
                      <mc:Fallback>
                        <w:pict>
                          <v:line id="直线 825" o:spid="_x0000_s1026" o:spt="20" style="position:absolute;left:0pt;flip:y;margin-left:75.65pt;margin-top:10.95pt;height:9.75pt;width:10.15pt;z-index:251768832;mso-width-relative:page;mso-height-relative:page;" filled="f" stroked="t" coordsize="21600,21600" o:gfxdata="UEsDBAoAAAAAAIdO4kAAAAAAAAAAAAAAAAAEAAAAZHJzL1BLAwQUAAAACACHTuJARwfGpdYAAAAJ&#10;AQAADwAAAGRycy9kb3ducmV2LnhtbE2Py07DMBBF90j8gzVI7KjtUkqTxumiEhJiR4vE1o2nSdR4&#10;HGz3AV/PdAXLqzk69061uvhBnDCmPpABPVEgkJrgemoNfGxfHhYgUrbk7BAIDXxjglV9e1PZ0oUz&#10;veNpk1vBEkqlNdDlPJZSpqZDb9MkjEh824fobeYYW+miPbPcD3Kq1Fx62xM3dHbEdYfNYXP0Bmbq&#10;62e9fWv7YnjFImGk/SF/GnN/p9USRMZL/oPhOp+nQ82bduFILomB85N+ZNTAVBcgrsCznoPYsV3P&#10;QNaV/P9B/QtQSwMEFAAAAAgAh07iQMhvb9UYAgAAHAQAAA4AAABkcnMvZTJvRG9jLnhtbK1TS27b&#10;MBDdF+gdCO5r2WodOILlLOymm7Q1kLR7mqQkovyBQ1v2WXqNrrrpcXKNDCnBTtNNFtVCIOfzZt6b&#10;4fLmaDQ5yADK2ZrOJlNKpOVOKNvW9NvD7bsFJRCZFUw7K2t6kkBvVm/fLHtfydJ1TgsZCIJYqHpf&#10;0y5GXxUF8E4aBhPnpUVn44JhEa+hLURgPaIbXZTT6VXRuyB8cFwCoHUzOOmIGF4D6JpGcblxfG+k&#10;jQNqkJpFpASd8kBXudumkTx+bRqQkeiaItOY/1gEz7v0L1ZLVrWB+U7xsQX2mhZecDJMWSx6htqw&#10;yMg+qH+gjOLBgWvihDtTDESyIshiNn2hzX3HvMxcUGrwZ9Hh/8HyL4dtIErU9EN5RYllBkf++PPX&#10;4+8/ZFHOkz69hwrD1nYbEkN+tPf+zvEfQKxbd8y2Mvf5cPKYOksZxV8p6QIeq+z6z05gDNtHl8U6&#10;NsGQRiv/PSUmcBSEHPN0TufpyGMkHI2zcnE9nVPC0TUr34/dFaxKMCnZB4ifpDMkHWqqlU3isYod&#10;7iCmti4hyWzdrdI6L4C2pK/p9RwJE248qgG2zbngtBIpLmVAaHdrHciBpW3KX6aLnudhqfyGQTfE&#10;CTwNaxbc3opcr5NMfLSCxKyZxXc2RESm9MUeg0J1taSpOSMFJVrik02ngY22o9ZJ3mFQOydO25Dc&#10;SXZcmkx7XPC0lc/vOeryqFd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wfGpdYAAAAJAQAADwAA&#10;AAAAAAABACAAAAAiAAAAZHJzL2Rvd25yZXYueG1sUEsBAhQAFAAAAAgAh07iQMhvb9UYAgAAHAQA&#10;AA4AAAAAAAAAAQAgAAAAJQEAAGRycy9lMm9Eb2MueG1sUEsFBgAAAAAGAAYAWQEAAK8FAAAAAA==&#10;">
                            <v:fill on="f" focussize="0,0"/>
                            <v:stroke color="#000000" joinstyle="round" dashstyle="dash" endarrow="block"/>
                            <v:imagedata o:title=""/>
                            <o:lock v:ext="edit" aspectratio="f"/>
                          </v:lin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3218180</wp:posOffset>
                            </wp:positionH>
                            <wp:positionV relativeFrom="paragraph">
                              <wp:posOffset>158115</wp:posOffset>
                            </wp:positionV>
                            <wp:extent cx="128905" cy="123825"/>
                            <wp:effectExtent l="3175" t="0" r="1270" b="9525"/>
                            <wp:wrapNone/>
                            <wp:docPr id="425" name="直线 638"/>
                            <wp:cNvGraphicFramePr/>
                            <a:graphic xmlns:a="http://schemas.openxmlformats.org/drawingml/2006/main">
                              <a:graphicData uri="http://schemas.microsoft.com/office/word/2010/wordprocessingShape">
                                <wps:wsp>
                                  <wps:cNvCnPr>
                                    <a:cxnSpLocks noChangeShapeType="1"/>
                                  </wps:cNvCnPr>
                                  <wps:spPr bwMode="auto">
                                    <a:xfrm flipV="1">
                                      <a:off x="0" y="0"/>
                                      <a:ext cx="128905" cy="123825"/>
                                    </a:xfrm>
                                    <a:prstGeom prst="line">
                                      <a:avLst/>
                                    </a:prstGeom>
                                    <a:noFill/>
                                    <a:ln w="9525" cmpd="sng">
                                      <a:solidFill>
                                        <a:srgbClr val="000000"/>
                                      </a:solidFill>
                                      <a:prstDash val="dash"/>
                                      <a:round/>
                                      <a:headEnd type="none"/>
                                      <a:tailEnd type="triangle" w="med" len="med"/>
                                    </a:ln>
                                  </wps:spPr>
                                  <wps:bodyPr/>
                                </wps:wsp>
                              </a:graphicData>
                            </a:graphic>
                          </wp:anchor>
                        </w:drawing>
                      </mc:Choice>
                      <mc:Fallback>
                        <w:pict>
                          <v:line id="直线 638" o:spid="_x0000_s1026" o:spt="20" style="position:absolute;left:0pt;flip:y;margin-left:253.4pt;margin-top:12.45pt;height:9.75pt;width:10.15pt;z-index:251680768;mso-width-relative:page;mso-height-relative:page;" filled="f" stroked="t" coordsize="21600,21600" o:gfxdata="UEsDBAoAAAAAAIdO4kAAAAAAAAAAAAAAAAAEAAAAZHJzL1BLAwQUAAAACACHTuJAP2kvf9cAAAAJ&#10;AQAADwAAAGRycy9kb3ducmV2LnhtbE2Py07DMBBF90j9B2sqsaN2orSQEKeLSkiIHW0ltm48TaLa&#10;4xC7D/h6hhUsr+bqzLn1+uaduOAUh0AasoUCgdQGO1CnYb97eXgCEZMha1wg1PCFEdbN7K42lQ1X&#10;esfLNnWCIRQro6FPaaykjG2P3sRFGJH4dgyTN4nj1Ek7mSvDvZO5UivpzUD8oTcjbnpsT9uz11Co&#10;z+/N7q0bSveKZcSJjqf0ofX9PFPPIBLe0l8ZfvVZHRp2OoQz2SichqVasXrSkBclCC4s88cMxIHp&#10;RQGyqeX/Bc0PUEsDBBQAAAAIAIdO4kBT7zkQGQIAABwEAAAOAAAAZHJzL2Uyb0RvYy54bWytU71u&#10;GzEM3gv0HQTt9dlOEzgHnzPYTZe0DZC0Oy3pfEL1B0n22c/S1+jUpY+T1wipc50mXTL0hgNFfvxI&#10;fpTmV3tr2E7FpL1r+GQ05kw54aV2m4Z/vb9+N+MsZXASjHeq4QeV+NXi7Zt5H2o19Z03UkWGJC7V&#10;fWh4l3OoqyqJTllIIx+Uw2Dro4WMx7ipZIQe2a2ppuPxRdX7KEP0QqWE3tUQ5EfG+BpC37ZaqJUX&#10;W6tcHlijMpBxpNTpkPiidNu2SuQvbZtUZqbhOGkufyyC9pr+1WIO9SZC6LQ4tgCvaeHFTBa0w6In&#10;qhVkYNuo/6GyWkSffJtHwttqGKQoglNMxi+0uesgqDILSp3CSfT0/2jF591tZFo2/P30nDMHFlf+&#10;8OPnw6/f7OJsRvr0IdUIW7rbSBOKvbsLN158T8z5ZQduo0qf94eAqRPKqJ6l0CEFrLLuP3mJGNhm&#10;X8Tat9Gy1ujwjRKJHAVh+7Kdw2k7ap+ZQOdkOrscY48CQ5Pp2Qz7pVpQEw0lh5jyR+UtI6PhRjsS&#10;D2rY3aQ8QP9AyO38tTYG/VAbx/qGX56TBMIGVCO5TclN3mhJOIKluFkvTWQ7oNtUvmMLz2BUZAWp&#10;G3ASLUJBHf3WyWJ1CuQHJ1kumjl8ZwMigzZP/hw1qmsUp+askpwZhU+WrGEa445ak7zDotZeHm4j&#10;hUl2vDRFoeMFp1v597mgnh714h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aS9/1wAAAAkBAAAP&#10;AAAAAAAAAAEAIAAAACIAAABkcnMvZG93bnJldi54bWxQSwECFAAUAAAACACHTuJAU+85EBkCAAAc&#10;BAAADgAAAAAAAAABACAAAAAmAQAAZHJzL2Uyb0RvYy54bWxQSwUGAAAAAAYABgBZAQAAsQUAAAAA&#10;">
                            <v:fill on="f" focussize="0,0"/>
                            <v:stroke color="#000000" joinstyle="round" dashstyle="dash" endarrow="block"/>
                            <v:imagedata o:title=""/>
                            <o:lock v:ext="edit" aspectratio="f"/>
                          </v:lin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4057650</wp:posOffset>
                            </wp:positionH>
                            <wp:positionV relativeFrom="paragraph">
                              <wp:posOffset>148590</wp:posOffset>
                            </wp:positionV>
                            <wp:extent cx="156845" cy="123190"/>
                            <wp:effectExtent l="3175" t="0" r="11430" b="10160"/>
                            <wp:wrapNone/>
                            <wp:docPr id="424" name="直线 691"/>
                            <wp:cNvGraphicFramePr/>
                            <a:graphic xmlns:a="http://schemas.openxmlformats.org/drawingml/2006/main">
                              <a:graphicData uri="http://schemas.microsoft.com/office/word/2010/wordprocessingShape">
                                <wps:wsp>
                                  <wps:cNvCnPr>
                                    <a:cxnSpLocks noChangeShapeType="1"/>
                                  </wps:cNvCnPr>
                                  <wps:spPr bwMode="auto">
                                    <a:xfrm flipV="1">
                                      <a:off x="0" y="0"/>
                                      <a:ext cx="156845" cy="123190"/>
                                    </a:xfrm>
                                    <a:prstGeom prst="line">
                                      <a:avLst/>
                                    </a:prstGeom>
                                    <a:noFill/>
                                    <a:ln w="9525" cmpd="sng">
                                      <a:solidFill>
                                        <a:srgbClr val="000000"/>
                                      </a:solidFill>
                                      <a:prstDash val="dash"/>
                                      <a:round/>
                                      <a:headEnd type="none"/>
                                      <a:tailEnd type="triangle" w="med" len="med"/>
                                    </a:ln>
                                  </wps:spPr>
                                  <wps:bodyPr/>
                                </wps:wsp>
                              </a:graphicData>
                            </a:graphic>
                          </wp:anchor>
                        </w:drawing>
                      </mc:Choice>
                      <mc:Fallback>
                        <w:pict>
                          <v:line id="直线 691" o:spid="_x0000_s1026" o:spt="20" style="position:absolute;left:0pt;flip:y;margin-left:319.5pt;margin-top:11.7pt;height:9.7pt;width:12.35pt;z-index:251698176;mso-width-relative:page;mso-height-relative:page;" filled="f" stroked="t" coordsize="21600,21600" o:gfxdata="UEsDBAoAAAAAAIdO4kAAAAAAAAAAAAAAAAAEAAAAZHJzL1BLAwQUAAAACACHTuJAjq4xKtgAAAAJ&#10;AQAADwAAAGRycy9kb3ducmV2LnhtbE2Py07DMBBF90j9B2sqsaN2kyo0IU4XlZAQO1oktm48TaLa&#10;4xC7D/h6hhUsR3N17rn15uaduOAUh0AalgsFAqkNdqBOw/v++WENIiZD1rhAqOELI2ya2V1tKhuu&#10;9IaXXeoEQyhWRkOf0lhJGdsevYmLMCLx7xgmbxKfUyftZK4M905mShXSm4G4oTcjbntsT7uz17BS&#10;n9/b/Ws3lO4Fy4gTHU/pQ+v7+VI9gUh4S39h+NVndWjY6RDOZKNwGoq85C1JQ5avQHCgKPJHEAem&#10;Z2uQTS3/L2h+AFBLAwQUAAAACACHTuJAJmuaJRsCAAAcBAAADgAAAGRycy9lMm9Eb2MueG1srVOx&#10;btswEN0L9B8I7rUs1zZiwXIGu+mStgaSdqdJSiJK8giStuxv6W906tLPyW/0SDlOky4ZqkEg7969&#10;u3t3XF4fjSYH6YMCW9NyNKZEWg5C2bamX+9v3l1REiKzgmmwsqYnGej16u2bZe8qOYEOtJCeIIkN&#10;Ve9q2sXoqqIIvJOGhRE4adHZgDcs4tW3hfCsR3aji8l4PC968MJ54DIEtG4GJz0z+tcQQtMoLjfA&#10;90baOLB6qVnElkKnXKCrXG3TSB6/NE2QkeiaYqcx/zEJnnfpX6yWrGo9c53i5xLYa0p40ZNhymLS&#10;C9WGRUb2Xv1DZRT3EKCJIw6mGBrJimAX5fiFNncdczL3glIHdxE9/D9a/vmw9USJmk4nU0osMzjy&#10;hx8/H379JvNFmfTpXagQtrZbnzrkR3vnboF/D8TCumO2lbnO+5PD0BxRPAtJl+Awy67/BAIxbB8h&#10;i3VsvCGNVu5bCkzkKAg55umcLtORx0g4GsvZ/Go6o4Sjq5y8Lxd5egWrEk0Kdj7EjxIMSYeaamWT&#10;eKxih9sQsRGEPkKS2cKN0jovgLakr+liNkn0xqEawbY5NoBWIuFSRPDtbq09ObC0TflLAiHvM1hK&#10;smGhG3ACT8OaedhbkfN1kokPVpCYNbP4zgZEZEo/2aNXqK6WNBVnpKBES3yy6TRk1RaTP8o7DGoH&#10;4rT1yZ3suDS5vPOCp638+55RT4969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OrjEq2AAAAAkB&#10;AAAPAAAAAAAAAAEAIAAAACIAAABkcnMvZG93bnJldi54bWxQSwECFAAUAAAACACHTuJAJmuaJRsC&#10;AAAcBAAADgAAAAAAAAABACAAAAAnAQAAZHJzL2Uyb0RvYy54bWxQSwUGAAAAAAYABgBZAQAAtAUA&#10;AAAA&#10;">
                            <v:fill on="f" focussize="0,0"/>
                            <v:stroke color="#000000" joinstyle="round" dashstyle="dash" endarrow="block"/>
                            <v:imagedata o:title=""/>
                            <o:lock v:ext="edit" aspectratio="f"/>
                          </v:lin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36830</wp:posOffset>
                            </wp:positionH>
                            <wp:positionV relativeFrom="paragraph">
                              <wp:posOffset>227330</wp:posOffset>
                            </wp:positionV>
                            <wp:extent cx="535940" cy="445770"/>
                            <wp:effectExtent l="0" t="0" r="0" b="3175"/>
                            <wp:wrapNone/>
                            <wp:docPr id="423" name="文本框 654"/>
                            <wp:cNvGraphicFramePr/>
                            <a:graphic xmlns:a="http://schemas.openxmlformats.org/drawingml/2006/main">
                              <a:graphicData uri="http://schemas.microsoft.com/office/word/2010/wordprocessingShape">
                                <wps:wsp>
                                  <wps:cNvSpPr txBox="1">
                                    <a:spLocks noChangeArrowheads="1"/>
                                  </wps:cNvSpPr>
                                  <wps:spPr bwMode="auto">
                                    <a:xfrm>
                                      <a:off x="0" y="0"/>
                                      <a:ext cx="535940" cy="445770"/>
                                    </a:xfrm>
                                    <a:prstGeom prst="rect">
                                      <a:avLst/>
                                    </a:prstGeom>
                                    <a:solidFill>
                                      <a:srgbClr val="FFFFFF"/>
                                    </a:solidFill>
                                    <a:ln>
                                      <a:noFill/>
                                    </a:ln>
                                    <a:effectLst/>
                                  </wps:spPr>
                                  <wps:txbx>
                                    <w:txbxContent>
                                      <w:p>
                                        <w:pPr>
                                          <w:spacing w:line="240" w:lineRule="auto"/>
                                          <w:ind w:firstLine="0" w:firstLineChars="0"/>
                                          <w:jc w:val="center"/>
                                          <w:rPr>
                                            <w:sz w:val="21"/>
                                            <w:szCs w:val="21"/>
                                          </w:rPr>
                                        </w:pPr>
                                        <w:r>
                                          <w:rPr>
                                            <w:rFonts w:hint="eastAsia"/>
                                            <w:sz w:val="21"/>
                                            <w:szCs w:val="21"/>
                                          </w:rPr>
                                          <w:t>钢材、铝材</w:t>
                                        </w:r>
                                      </w:p>
                                    </w:txbxContent>
                                  </wps:txbx>
                                  <wps:bodyPr rot="0" vert="horz" wrap="square" lIns="91440" tIns="45720" rIns="91440" bIns="45720" anchor="t" anchorCtr="0" upright="1">
                                    <a:noAutofit/>
                                  </wps:bodyPr>
                                </wps:wsp>
                              </a:graphicData>
                            </a:graphic>
                          </wp:anchor>
                        </w:drawing>
                      </mc:Choice>
                      <mc:Fallback>
                        <w:pict>
                          <v:shape id="文本框 654" o:spid="_x0000_s1026" o:spt="202" type="#_x0000_t202" style="position:absolute;left:0pt;margin-left:2.9pt;margin-top:17.9pt;height:35.1pt;width:42.2pt;z-index:251670528;mso-width-relative:page;mso-height-relative:page;" fillcolor="#FFFFFF" filled="t" stroked="f" coordsize="21600,21600" o:gfxdata="UEsDBAoAAAAAAIdO4kAAAAAAAAAAAAAAAAAEAAAAZHJzL1BLAwQUAAAACACHTuJAzShLQ9QAAAAH&#10;AQAADwAAAGRycy9kb3ducmV2LnhtbE2OwU7DMBBE70j8g7VIXBC1W2hKQ5xKIIG4tvQDNvE2iYjX&#10;Uew27d+zPcFpNJrRzCs2Z9+rE42xC2xhPjOgiOvgOm4s7L8/Hl9AxYTssA9MFi4UYVPe3hSYuzDx&#10;lk671CgZ4ZijhTalIdc61i15jLMwEEt2CKPHJHZstBtxknHf64UxmfbYsTy0ONB7S/XP7ugtHL6m&#10;h+V6qj7TfrV9zt6wW1XhYu393dy8gkp0Tn9luOILOpTCVIUju6h6C0sBTxaerirx2ixAVVIzmQFd&#10;Fvo/f/kLUEsDBBQAAAAIAIdO4kAMX5ihMgIAAE8EAAAOAAAAZHJzL2Uyb0RvYy54bWytVM2O0zAQ&#10;viPxDpbvNG033WWjpqulVRHS8iMtPIDjOI1F4jFjt8nyAPAGnLhw57n6HIydbqnKZQ/kYHk842/m&#10;+2ac+U3fNmyn0GkwOZ+MxpwpI6HUZpPzTx/XL15y5rwwpWjAqJw/KMdvFs+fzTubqSnU0JQKGYEY&#10;l3U257X3NksSJ2vVCjcCqww5K8BWeDJxk5QoOkJvm2Q6Hl8mHWBpEaRyjk5Xg5MfEPEpgFBVWqoV&#10;yG2rjB9QUTXCEyVXa+v4IlZbVUr691XllGdNzompjysloX0R1mQxF9kGha21PJQgnlLCGadWaENJ&#10;j1Ar4QXbov4HqtUSwUHlRxLaZCASFSEWk/GZNve1sCpyIamdPYru/h+sfLf7gEyXOU+nF5wZ0VLL&#10;9z++73/+3v/6xi5naZCosy6jyHtLsb5/BT0NTqTr7B3Iz44ZWNbCbNQtInS1EiWVOAk3k5OrA44L&#10;IEX3FkrKJLYeIlBfYRv0I0UYoVN7Ho7tUb1nkg5nF7PrlDySXGk6u7qK7UtE9njZovOvFbQsbHKO&#10;1P0ILnZ3zodiRPYYEnI5aHS51k0TDdwUywbZTtCkrOMX6z8La0wINhCuDYjDiYqzdkgTOAeaA2Hf&#10;F/1BwwLKB2KPMMwhvULa1IBfOetoBnPuvmwFKs6aN4YUvJ6kga+PBhGekoGnnuLUI4wkqJx7zobt&#10;0g+DvrWoNzVlGnpm4JZUr3RUJJQ6VHXoFc1ZFOrwJsIgn9ox6u9/YPE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ShLQ9QAAAAHAQAADwAAAAAAAAABACAAAAAiAAAAZHJzL2Rvd25yZXYueG1sUEsB&#10;AhQAFAAAAAgAh07iQAxfmKEyAgAATwQAAA4AAAAAAAAAAQAgAAAAIwEAAGRycy9lMm9Eb2MueG1s&#10;UEsFBgAAAAAGAAYAWQEAAMcFAAAAAA==&#10;">
                            <v:fill on="t" focussize="0,0"/>
                            <v:stroke on="f"/>
                            <v:imagedata o:title=""/>
                            <o:lock v:ext="edit" aspectratio="f"/>
                            <v:textbox>
                              <w:txbxContent>
                                <w:p>
                                  <w:pPr>
                                    <w:spacing w:line="240" w:lineRule="auto"/>
                                    <w:ind w:firstLine="0" w:firstLineChars="0"/>
                                    <w:jc w:val="center"/>
                                    <w:rPr>
                                      <w:sz w:val="21"/>
                                      <w:szCs w:val="21"/>
                                    </w:rPr>
                                  </w:pPr>
                                  <w:r>
                                    <w:rPr>
                                      <w:rFonts w:hint="eastAsia"/>
                                      <w:sz w:val="21"/>
                                      <w:szCs w:val="21"/>
                                    </w:rPr>
                                    <w:t>钢材、铝材</w:t>
                                  </w:r>
                                </w:p>
                              </w:txbxContent>
                            </v:textbox>
                          </v:shape>
                        </w:pict>
                      </mc:Fallback>
                    </mc:AlternateContent>
                  </w:r>
                  <w:r>
                    <mc:AlternateContent>
                      <mc:Choice Requires="wps">
                        <w:drawing>
                          <wp:anchor distT="0" distB="0" distL="114300" distR="114300" simplePos="0" relativeHeight="251541504" behindDoc="1" locked="0" layoutInCell="1" allowOverlap="1">
                            <wp:simplePos x="0" y="0"/>
                            <wp:positionH relativeFrom="column">
                              <wp:posOffset>4552950</wp:posOffset>
                            </wp:positionH>
                            <wp:positionV relativeFrom="paragraph">
                              <wp:posOffset>160020</wp:posOffset>
                            </wp:positionV>
                            <wp:extent cx="696595" cy="474345"/>
                            <wp:effectExtent l="9525" t="7620" r="8255" b="13335"/>
                            <wp:wrapNone/>
                            <wp:docPr id="422" name="文本框 636"/>
                            <wp:cNvGraphicFramePr/>
                            <a:graphic xmlns:a="http://schemas.openxmlformats.org/drawingml/2006/main">
                              <a:graphicData uri="http://schemas.microsoft.com/office/word/2010/wordprocessingShape">
                                <wps:wsp>
                                  <wps:cNvSpPr txBox="1">
                                    <a:spLocks noChangeArrowheads="1"/>
                                  </wps:cNvSpPr>
                                  <wps:spPr bwMode="auto">
                                    <a:xfrm>
                                      <a:off x="0" y="0"/>
                                      <a:ext cx="696595" cy="474345"/>
                                    </a:xfrm>
                                    <a:prstGeom prst="rect">
                                      <a:avLst/>
                                    </a:prstGeom>
                                    <a:noFill/>
                                    <a:ln w="9525" cmpd="sng">
                                      <a:solidFill>
                                        <a:srgbClr val="000000"/>
                                      </a:solidFill>
                                      <a:prstDash val="dashDot"/>
                                      <a:miter lim="800000"/>
                                    </a:ln>
                                  </wps:spPr>
                                  <wps:txbx>
                                    <w:txbxContent>
                                      <w:p>
                                        <w:pPr>
                                          <w:spacing w:line="240" w:lineRule="auto"/>
                                          <w:ind w:firstLine="0" w:firstLineChars="0"/>
                                          <w:jc w:val="center"/>
                                          <w:rPr>
                                            <w:sz w:val="21"/>
                                            <w:szCs w:val="21"/>
                                          </w:rPr>
                                        </w:pPr>
                                        <w:r>
                                          <w:rPr>
                                            <w:rFonts w:hint="eastAsia"/>
                                            <w:sz w:val="21"/>
                                            <w:szCs w:val="21"/>
                                          </w:rPr>
                                          <w:t>线切割、放电</w:t>
                                        </w:r>
                                      </w:p>
                                    </w:txbxContent>
                                  </wps:txbx>
                                  <wps:bodyPr rot="0" vert="horz" wrap="square" lIns="91440" tIns="45720" rIns="91440" bIns="45720" anchor="t" anchorCtr="0" upright="1">
                                    <a:noAutofit/>
                                  </wps:bodyPr>
                                </wps:wsp>
                              </a:graphicData>
                            </a:graphic>
                          </wp:anchor>
                        </w:drawing>
                      </mc:Choice>
                      <mc:Fallback>
                        <w:pict>
                          <v:shape id="文本框 636" o:spid="_x0000_s1026" o:spt="202" type="#_x0000_t202" style="position:absolute;left:0pt;margin-left:358.5pt;margin-top:12.6pt;height:37.35pt;width:54.85pt;z-index:-251774976;mso-width-relative:page;mso-height-relative:page;" filled="f" stroked="t" coordsize="21600,21600" o:gfxdata="UEsDBAoAAAAAAIdO4kAAAAAAAAAAAAAAAAAEAAAAZHJzL1BLAwQUAAAACACHTuJAmaaVctgAAAAJ&#10;AQAADwAAAGRycy9kb3ducmV2LnhtbE2PMU/DMBSEd6T+B+tVYqNOIrWpQ146IEFXWiokNjd24oj4&#10;ObLdtPDrMROMpzvdfVfvbnZks/ZhcISQrzJgmlqnBuoRTm/PD1tgIUpScnSkEb50gF2zuKtlpdyV&#10;Dno+xp6lEgqVRDAxThXnoTXayrByk6bkdc5bGZP0PVdeXlO5HXmRZRtu5UBpwchJPxndfh4vFsG/&#10;7/O1eumF6fb2++PQdmJ+5Yj3yzx7BBb1Lf6F4Rc/oUOTmM7uQiqwEaHMy/QlIhTrAlgKbItNCeyM&#10;IIQA3tT8/4PmB1BLAwQUAAAACACHTuJAmY5kVFQCAACHBAAADgAAAGRycy9lMm9Eb2MueG1srVTN&#10;btswDL4P2DsIui9OUidtjDpF16DDgO4H6PYAiizbwiRRk5TY2QNsb7DTLrvvufoco2S3DbpLD/NB&#10;oETyI/mR9PlFrxXZC+clmJLOJlNKhOFQSdOU9POn61dnlPjATMUUGFHSg/D0Yv3yxXlnCzGHFlQl&#10;HEEQ44vOlrQNwRZZ5nkrNPMTsMKgsganWcCra7LKsQ7Rtcrm0+ky68BV1gEX3uPrZlDSEdE9BxDq&#10;WnKxAb7TwoQB1QnFApbkW2k9Xads61rw8KGuvQhElRQrDenEIChv45mtz1nROGZbyccU2HNSeFKT&#10;ZtJg0AeoDQuM7Jz8B0pL7sBDHSYcdDYUkhjBKmbTJ9zctsyKVAtS7e0D6f7/wfL3+4+OyKqk+XxO&#10;iWEaW37388fdrz93v7+T5ckyUtRZX6DlrUXb0L+GHgcnlevtDfAvnhi4aplpxKVz0LWCVZjiLHpm&#10;R64Djo8g2+4dVBiJ7QIkoL52OvKHjBBEx/YcHtoj+kA4Pi5Xy8VqQQlHVX6an+SLFIEV987W+fBG&#10;gCZRKKnD7idwtr/xISbDinuTGMvAtVQqTYAypCvpajGP8NoiHd40Q4WgZBXtood3zfZKObJncZzS&#10;N6bgj81ikA3z7WBXobSBEA1ZoWXA7VFSl/Ts2F+ZkatIz0BU6Lc9+kQCt1AdkDUHw/zi9qLQgvtG&#10;SYezi9l+3TEnKFFvDTK/muV5HPZ0yRenc7y4Y832WMMMR6iSBkoG8SoMC7KzTjYtRhp6beASu1XL&#10;xORjVmPeOJ+J4HGX4gIc35PV4/9j/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ZppVy2AAAAAkB&#10;AAAPAAAAAAAAAAEAIAAAACIAAABkcnMvZG93bnJldi54bWxQSwECFAAUAAAACACHTuJAmY5kVFQC&#10;AACHBAAADgAAAAAAAAABACAAAAAnAQAAZHJzL2Uyb0RvYy54bWxQSwUGAAAAAAYABgBZAQAA7QUA&#10;AAAA&#10;">
                            <v:fill on="f" focussize="0,0"/>
                            <v:stroke color="#000000" miterlimit="8" joinstyle="miter" dashstyle="dashDot"/>
                            <v:imagedata o:title=""/>
                            <o:lock v:ext="edit" aspectratio="f"/>
                            <v:textbox>
                              <w:txbxContent>
                                <w:p>
                                  <w:pPr>
                                    <w:spacing w:line="240" w:lineRule="auto"/>
                                    <w:ind w:firstLine="0" w:firstLineChars="0"/>
                                    <w:jc w:val="center"/>
                                    <w:rPr>
                                      <w:sz w:val="21"/>
                                      <w:szCs w:val="21"/>
                                    </w:rPr>
                                  </w:pPr>
                                  <w:r>
                                    <w:rPr>
                                      <w:rFonts w:hint="eastAsia"/>
                                      <w:sz w:val="21"/>
                                      <w:szCs w:val="21"/>
                                    </w:rPr>
                                    <w:t>线切割、放电</w:t>
                                  </w:r>
                                </w:p>
                              </w:txbxContent>
                            </v:textbox>
                          </v:shape>
                        </w:pict>
                      </mc:Fallback>
                    </mc:AlternateContent>
                  </w:r>
                </w:p>
                <w:p>
                  <w:pPr>
                    <w:ind w:firstLine="0" w:firstLineChars="0"/>
                    <w:jc w:val="center"/>
                  </w:pPr>
                  <w:r>
                    <w:rPr>
                      <w:sz w:val="13"/>
                      <w:szCs w:val="13"/>
                    </w:rPr>
                    <mc:AlternateContent>
                      <mc:Choice Requires="wps">
                        <w:drawing>
                          <wp:anchor distT="0" distB="0" distL="114300" distR="114300" simplePos="0" relativeHeight="251563008" behindDoc="1" locked="0" layoutInCell="1" allowOverlap="1">
                            <wp:simplePos x="0" y="0"/>
                            <wp:positionH relativeFrom="column">
                              <wp:posOffset>5429250</wp:posOffset>
                            </wp:positionH>
                            <wp:positionV relativeFrom="paragraph">
                              <wp:posOffset>170815</wp:posOffset>
                            </wp:positionV>
                            <wp:extent cx="635" cy="791845"/>
                            <wp:effectExtent l="37465" t="0" r="38100" b="8255"/>
                            <wp:wrapNone/>
                            <wp:docPr id="421" name="直线 837"/>
                            <wp:cNvGraphicFramePr/>
                            <a:graphic xmlns:a="http://schemas.openxmlformats.org/drawingml/2006/main">
                              <a:graphicData uri="http://schemas.microsoft.com/office/word/2010/wordprocessingShape">
                                <wps:wsp>
                                  <wps:cNvCnPr>
                                    <a:cxnSpLocks noChangeShapeType="1"/>
                                  </wps:cNvCnPr>
                                  <wps:spPr bwMode="auto">
                                    <a:xfrm>
                                      <a:off x="0" y="0"/>
                                      <a:ext cx="635" cy="791845"/>
                                    </a:xfrm>
                                    <a:prstGeom prst="line">
                                      <a:avLst/>
                                    </a:prstGeom>
                                    <a:noFill/>
                                    <a:ln w="9525" cmpd="sng">
                                      <a:solidFill>
                                        <a:srgbClr val="000000"/>
                                      </a:solidFill>
                                      <a:round/>
                                      <a:headEnd type="none"/>
                                      <a:tailEnd type="triangle" w="med" len="med"/>
                                    </a:ln>
                                    <a:effectLst/>
                                  </wps:spPr>
                                  <wps:bodyPr/>
                                </wps:wsp>
                              </a:graphicData>
                            </a:graphic>
                          </wp:anchor>
                        </w:drawing>
                      </mc:Choice>
                      <mc:Fallback>
                        <w:pict>
                          <v:line id="直线 837" o:spid="_x0000_s1026" o:spt="20" style="position:absolute;left:0pt;margin-left:427.5pt;margin-top:13.45pt;height:62.35pt;width:0.05pt;z-index:-251753472;mso-width-relative:page;mso-height-relative:page;" filled="f" stroked="t" coordsize="21600,21600" o:gfxdata="UEsDBAoAAAAAAIdO4kAAAAAAAAAAAAAAAAAEAAAAZHJzL1BLAwQUAAAACACHTuJAGyKuoNkAAAAK&#10;AQAADwAAAGRycy9kb3ducmV2LnhtbE2PwU7DMAyG70i8Q2QkbizNpFalNN0BaVw2QNsQglvWmLai&#10;caom3crbY07saPvT7+8vV7PrxQnH0HnSoBYJCKTa244aDW+H9V0OIkRD1vSeUMMPBlhV11elKaw/&#10;0w5P+9gIDqFQGA1tjEMhZahbdCYs/IDEty8/OhN5HBtpR3PmcNfLZZJk0pmO+ENrBnxssf7eT07D&#10;brve5O+baa7Hzyf1cnjdPn+EXOvbG5U8gIg4x38Y/vRZHSp2OvqJbBC9hjxNuUvUsMzuQTDACwXi&#10;yGSqMpBVKS8rVL9QSwMEFAAAAAgAh07iQNiMEPoMAgAABQQAAA4AAABkcnMvZTJvRG9jLnhtbK1T&#10;QXIbIRC8pyp/oLhHK8mWLW955YMU5+IkrrLzgBGwu1SAoQBppbfkGznlkuf4GxmQbMfOxYfsgYLZ&#10;nma6Z7i82lnDtipEja7hk9GYM+UESu26hn+7v/4w5ywmcBIMOtXwvYr8avH+3eXgazXFHo1UgRGJ&#10;i/XgG96n5OuqiqJXFuIIvXL0s8VgIdExdJUMMBC7NdV0PD6rBgzSBxQqRoquDj/5kTG8hRDbVgu1&#10;QrGxyqUDa1AGEkmKvfaRL0q1batE+tq2USVmGk5KU1npEtqv81otLqHuAvhei2MJ8JYSXmmyoB1d&#10;+kS1ggRsE/Q/VFaLgBHbNBJoq4OQ4gipmIxfeXPXg1dFC1kd/ZPp8f/Rii/b28C0bPjpdMKZA0st&#10;f/jx8+HXbzY/Oc/+DD7WBFu625AVip278zcovkfmcNmD61Sp837vKXWSM6oXKfkQPd2yHj6jJAxs&#10;Ehazdm2wmZJsYLvSk/1TT9QuMUHBs5MZZ4Li5xeT+ems0EP9mOlDTJ8UWpY3DTfaZb+ghu1NTLkS&#10;qB8hOezwWhtTem4cGxp+MZtmeuvJgOi6khvRaJlxOSOGbr00gW0hD1D5jiW8gAXcOFl4ewXyo5Ms&#10;FTscPaGMhzqBNs/xFDQZZxTPRVglOTOKXmPeHao2LiepMsFHKY8+HjqyRrm/DRmc4zQdRexxkvP4&#10;/X0uqOfXu/g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yKuoNkAAAAKAQAADwAAAAAAAAABACAA&#10;AAAiAAAAZHJzL2Rvd25yZXYueG1sUEsBAhQAFAAAAAgAh07iQNiMEPoMAgAABQQAAA4AAAAAAAAA&#10;AQAgAAAAKAEAAGRycy9lMm9Eb2MueG1sUEsFBgAAAAAGAAYAWQEAAKY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535360" behindDoc="1" locked="0" layoutInCell="1" allowOverlap="1">
                            <wp:simplePos x="0" y="0"/>
                            <wp:positionH relativeFrom="column">
                              <wp:posOffset>5257800</wp:posOffset>
                            </wp:positionH>
                            <wp:positionV relativeFrom="paragraph">
                              <wp:posOffset>151765</wp:posOffset>
                            </wp:positionV>
                            <wp:extent cx="179705" cy="635"/>
                            <wp:effectExtent l="0" t="37465" r="10795" b="38100"/>
                            <wp:wrapNone/>
                            <wp:docPr id="420" name="直线 642"/>
                            <wp:cNvGraphicFramePr/>
                            <a:graphic xmlns:a="http://schemas.openxmlformats.org/drawingml/2006/main">
                              <a:graphicData uri="http://schemas.microsoft.com/office/word/2010/wordprocessingShape">
                                <wps:wsp>
                                  <wps:cNvCnPr>
                                    <a:cxnSpLocks noChangeShapeType="1"/>
                                  </wps:cNvCnPr>
                                  <wps:spPr bwMode="auto">
                                    <a:xfrm>
                                      <a:off x="0" y="0"/>
                                      <a:ext cx="179705" cy="635"/>
                                    </a:xfrm>
                                    <a:prstGeom prst="line">
                                      <a:avLst/>
                                    </a:prstGeom>
                                    <a:noFill/>
                                    <a:ln w="9525" cmpd="sng">
                                      <a:solidFill>
                                        <a:srgbClr val="000000"/>
                                      </a:solidFill>
                                      <a:round/>
                                      <a:headEnd type="none"/>
                                      <a:tailEnd type="triangle" w="med" len="med"/>
                                    </a:ln>
                                  </wps:spPr>
                                  <wps:bodyPr/>
                                </wps:wsp>
                              </a:graphicData>
                            </a:graphic>
                          </wp:anchor>
                        </w:drawing>
                      </mc:Choice>
                      <mc:Fallback>
                        <w:pict>
                          <v:line id="直线 642" o:spid="_x0000_s1026" o:spt="20" style="position:absolute;left:0pt;margin-left:414pt;margin-top:11.95pt;height:0.05pt;width:14.15pt;z-index:-251781120;mso-width-relative:page;mso-height-relative:page;" filled="f" stroked="t" coordsize="21600,21600" o:gfxdata="UEsDBAoAAAAAAIdO4kAAAAAAAAAAAAAAAAAEAAAAZHJzL1BLAwQUAAAACACHTuJA6nVBQtoAAAAJ&#10;AQAADwAAAGRycy9kb3ducmV2LnhtbE2PwU7DMBBE70j8g7VI3KidFCoT4vSAVC4tVG0RgpsbL0lE&#10;bEe204a/ZznBcXZGs2/K5WR7dsIQO+8UZDMBDF3tTecaBa+H1Y0EFpN2RvfeoYJvjLCsLi9KXRh/&#10;djs87VPDqMTFQitoUxoKzmPdotVx5gd05H36YHUiGRpugj5Tue15LsSCW905+tDqAR9brL/2o1Ww&#10;26zW8m09TnX4eMpeDtvN83uUSl1fZeIBWMIp/YXhF5/QoSKmox+diaxXIHNJW5KCfH4PjALybjEH&#10;dqTDrQBelfz/guoHUEsDBBQAAAAIAIdO4kA/de97BwIAAPcDAAAOAAAAZHJzL2Uyb0RvYy54bWyt&#10;U0tyGyEQ3acqd6DYRyMplhxPaeSFFGfjJKqyc4AWMBoqQFOANNJZco2ssslxfI00SJZjZ+NFZjEF&#10;/Xm89xpm13tr2E6FqNE1fDQYcqacQKndpuHf7m/efeAsJnASDDrV8IOK/Hr+9s2s97UaY4dGqsAI&#10;xMW69w3vUvJ1VUXRKQtxgF45SrYYLCTahk0lA/SEbk01Hg6nVY9B+oBCxUjR5THJT4jhNYDYtlqo&#10;JYqtVS4dUYMykEhS7LSPfF7Ytq0S6WvbRpWYaTgpTeVPh9B6nf/VfAb1JoDvtDhRgNdQeKHJgnZ0&#10;6BlqCQnYNuh/oKwWASO2aSDQVkchxRFSMRq+8OauA6+KFrI6+rPp8f/Bii+7VWBaNvxiTJ44sDTy&#10;hx8/H379ZtOLcfan97GmsoVbhaxQ7N2dv0XxPTKHiw7cRhWe9wdPraPcUT1ryZvo6ZR1/xkl1cA2&#10;YTFr3wabIckGti8zOZxnovaJCQqOLq8uhxPOBKWm7ycFHurHTh9i+qTQsrxouNEu+wU17G5jykyg&#10;fizJYYc32pgyc+NY3/CryThjW08GRLcpvRGNlrkud8SwWS9MYDvIF6h8JwrPygJunSy4nQL50UmW&#10;ih2OnlCuhzqBNk/xFDQZZxTPJKySnBlFrzGvjqyNO9mYnTvOYI3ysAo5nR2l+1Dkne5uvnB/70vV&#10;03ud/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qdUFC2gAAAAkBAAAPAAAAAAAAAAEAIAAAACIA&#10;AABkcnMvZG93bnJldi54bWxQSwECFAAUAAAACACHTuJAP3XvewcCAAD3AwAADgAAAAAAAAABACAA&#10;AAApAQAAZHJzL2Uyb0RvYy54bWxQSwUGAAAAAAYABgBZAQAAo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536384" behindDoc="1" locked="0" layoutInCell="1" allowOverlap="1">
                            <wp:simplePos x="0" y="0"/>
                            <wp:positionH relativeFrom="column">
                              <wp:posOffset>4381500</wp:posOffset>
                            </wp:positionH>
                            <wp:positionV relativeFrom="paragraph">
                              <wp:posOffset>170815</wp:posOffset>
                            </wp:positionV>
                            <wp:extent cx="179705" cy="635"/>
                            <wp:effectExtent l="0" t="37465" r="10795" b="38100"/>
                            <wp:wrapNone/>
                            <wp:docPr id="419" name="直线 643"/>
                            <wp:cNvGraphicFramePr/>
                            <a:graphic xmlns:a="http://schemas.openxmlformats.org/drawingml/2006/main">
                              <a:graphicData uri="http://schemas.microsoft.com/office/word/2010/wordprocessingShape">
                                <wps:wsp>
                                  <wps:cNvCnPr>
                                    <a:cxnSpLocks noChangeShapeType="1"/>
                                  </wps:cNvCnPr>
                                  <wps:spPr bwMode="auto">
                                    <a:xfrm>
                                      <a:off x="0" y="0"/>
                                      <a:ext cx="179705" cy="635"/>
                                    </a:xfrm>
                                    <a:prstGeom prst="line">
                                      <a:avLst/>
                                    </a:prstGeom>
                                    <a:noFill/>
                                    <a:ln w="9525" cmpd="sng">
                                      <a:solidFill>
                                        <a:srgbClr val="000000"/>
                                      </a:solidFill>
                                      <a:round/>
                                      <a:headEnd type="none"/>
                                      <a:tailEnd type="triangle" w="med" len="med"/>
                                    </a:ln>
                                  </wps:spPr>
                                  <wps:bodyPr/>
                                </wps:wsp>
                              </a:graphicData>
                            </a:graphic>
                          </wp:anchor>
                        </w:drawing>
                      </mc:Choice>
                      <mc:Fallback>
                        <w:pict>
                          <v:line id="直线 643" o:spid="_x0000_s1026" o:spt="20" style="position:absolute;left:0pt;margin-left:345pt;margin-top:13.45pt;height:0.05pt;width:14.15pt;z-index:-251780096;mso-width-relative:page;mso-height-relative:page;" filled="f" stroked="t" coordsize="21600,21600" o:gfxdata="UEsDBAoAAAAAAIdO4kAAAAAAAAAAAAAAAAAEAAAAZHJzL1BLAwQUAAAACACHTuJAcw09VNoAAAAJ&#10;AQAADwAAAGRycy9kb3ducmV2LnhtbE2PwU7DMBBE70j8g7VI3KidIqVpiNMDUrm0gNoiBDc3XpKI&#10;eB3FThv+nuVUjrMzmn1TrCbXiRMOofWkIZkpEEiVty3VGt4O67sMRIiGrOk8oYYfDLAqr68Kk1t/&#10;ph2e9rEWXEIhNxqaGPtcylA16EyY+R6JvS8/OBNZDrW0gzlzuevkXKlUOtMSf2hMj48NVt/70WnY&#10;bdeb7H0zTtXw+ZS8HF63zx8h0/r2JlEPICJO8RKGP3xGh5KZjn4kG0SnIV0q3hI1zNMlCA4skuwe&#10;xJEPCwWyLOT/BeUvUEsDBBQAAAAIAIdO4kBZeOfBBwIAAPcDAAAOAAAAZHJzL2Uyb0RvYy54bWyt&#10;U0tyGyEQ3acqd6DYRyP5G01p5IUVZ+MkqrJzgBYwM1SApgBppLPkGlllk+P4Gm6QLMfOxovMYgr6&#10;83jvNcyuttawjQpRo2v4ZDTmTDmBUruu4d/vbz585CwmcBIMOtXwnYr8av7+3WzwtTrBHo1UgRGI&#10;i/XgG96n5OuqiqJXFuIIvXKUbDFYSLQNXSUDDIRuTXUyHl9UAwbpAwoVI0UX+yQ/IIa3AGLbaqEW&#10;KNZWubRHDcpAIkmx1z7yeWHbtkqkb20bVWKm4aQ0lT8dQutV/lfzGdRdAN9rcaAAb6HwSpMF7ejQ&#10;I9QCErB10P9AWS0CRmzTSKCt9kKKI6RiMn7lzV0PXhUtZHX0R9Pj/4MVXzfLwLRs+NlkypkDSyN/&#10;+Pnr4fcfdnF2mv0ZfKyp7NotQ1Yotu7O36L4EZnD6x5cpwrP+52n1knuqF605E30dMpq+IKSamCd&#10;sJi1bYPNkGQD25aZ7I4zUdvEBAUnl9PL8TlnglIXp+cFHuqnTh9i+qzQsrxouNEu+wU1bG5jykyg&#10;firJYYc32pgyc+PY0PDp+UnGtp4MiK4rvRGNlrkud8TQra5NYBvIF6h8BwovygKunSy4vQL5yUmW&#10;ih2OnlCuhzqBNs/xFDQZZxTPJKySnBlFrzGv9qyNO9iYndvPYIVytww5nR2l+1DkHe5uvnB/70vV&#10;83udP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zDT1U2gAAAAkBAAAPAAAAAAAAAAEAIAAAACIA&#10;AABkcnMvZG93bnJldi54bWxQSwECFAAUAAAACACHTuJAWXjnwQcCAAD3AwAADgAAAAAAAAABACAA&#10;AAApAQAAZHJzL2Uyb0RvYy54bWxQSwUGAAAAAAYABgBZAQAAo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3876675</wp:posOffset>
                            </wp:positionH>
                            <wp:positionV relativeFrom="paragraph">
                              <wp:posOffset>31115</wp:posOffset>
                            </wp:positionV>
                            <wp:extent cx="486410" cy="266065"/>
                            <wp:effectExtent l="9525" t="12065" r="8890" b="7620"/>
                            <wp:wrapNone/>
                            <wp:docPr id="418" name="文本框 644"/>
                            <wp:cNvGraphicFramePr/>
                            <a:graphic xmlns:a="http://schemas.openxmlformats.org/drawingml/2006/main">
                              <a:graphicData uri="http://schemas.microsoft.com/office/word/2010/wordprocessingShape">
                                <wps:wsp>
                                  <wps:cNvSpPr txBox="1">
                                    <a:spLocks noChangeArrowheads="1"/>
                                  </wps:cNvSpPr>
                                  <wps:spPr bwMode="auto">
                                    <a:xfrm>
                                      <a:off x="0" y="0"/>
                                      <a:ext cx="486410" cy="266065"/>
                                    </a:xfrm>
                                    <a:prstGeom prst="rect">
                                      <a:avLst/>
                                    </a:prstGeom>
                                    <a:noFill/>
                                    <a:ln w="9525" cmpd="sng">
                                      <a:solidFill>
                                        <a:srgbClr val="000000"/>
                                      </a:solidFill>
                                      <a:miter lim="800000"/>
                                    </a:ln>
                                  </wps:spPr>
                                  <wps:txbx>
                                    <w:txbxContent>
                                      <w:p>
                                        <w:pPr>
                                          <w:spacing w:line="240" w:lineRule="auto"/>
                                          <w:ind w:firstLine="0" w:firstLineChars="0"/>
                                          <w:jc w:val="center"/>
                                          <w:rPr>
                                            <w:sz w:val="21"/>
                                            <w:szCs w:val="21"/>
                                          </w:rPr>
                                        </w:pPr>
                                        <w:r>
                                          <w:rPr>
                                            <w:rFonts w:hint="eastAsia"/>
                                            <w:sz w:val="21"/>
                                            <w:szCs w:val="21"/>
                                          </w:rPr>
                                          <w:t>精车</w:t>
                                        </w:r>
                                      </w:p>
                                    </w:txbxContent>
                                  </wps:txbx>
                                  <wps:bodyPr rot="0" vert="horz" wrap="square" lIns="91440" tIns="45720" rIns="91440" bIns="45720" anchor="t" anchorCtr="0" upright="1">
                                    <a:noAutofit/>
                                  </wps:bodyPr>
                                </wps:wsp>
                              </a:graphicData>
                            </a:graphic>
                          </wp:anchor>
                        </w:drawing>
                      </mc:Choice>
                      <mc:Fallback>
                        <w:pict>
                          <v:shape id="文本框 644" o:spid="_x0000_s1026" o:spt="202" type="#_x0000_t202" style="position:absolute;left:0pt;margin-left:305.25pt;margin-top:2.45pt;height:20.95pt;width:38.3pt;z-index:251678720;mso-width-relative:page;mso-height-relative:page;" filled="f" stroked="t" coordsize="21600,21600" o:gfxdata="UEsDBAoAAAAAAIdO4kAAAAAAAAAAAAAAAAAEAAAAZHJzL1BLAwQUAAAACACHTuJAba+bo9UAAAAI&#10;AQAADwAAAGRycy9kb3ducmV2LnhtbE2PzU7DMBCE70i8g7VI3KidFpI0xOmBwh1CgasTb5OIeB3F&#10;7g88PcsJjqOZnf2m3JzdKI44h8GThmShQCC13g7Uadi9Pt3kIEI0ZM3oCTV8YYBNdXlRmsL6E73g&#10;sY6d4BIKhdHQxzgVUoa2R2fCwk9I7O397ExkOXfSzubE5W6US6VS6cxA/KE3Ez702H7WB8cYy4/d&#10;avtcY5aZZrV9/H5b799Hra+vEnUPIuI5/oXhF59voGKmxh/IBjFqSBN1x1ENt2sQ7Kd5loBoWKc5&#10;yKqU/wdUP1BLAwQUAAAACACHTuJAP5GQoUYCAABsBAAADgAAAGRycy9lMm9Eb2MueG1srVTNjtMw&#10;EL4j8Q6W72zaKi3dqOlq6WoR0vIjLTyA6ziJhe0xttukPAC8AScu3HmuPgdjJ1uq5bIHcrA8nvE3&#10;33wzzuqq14rshfMSTEmnFxNKhOFQSdOU9NPH2xdLSnxgpmIKjCjpQXh6tX7+bNXZQsygBVUJRxDE&#10;+KKzJW1DsEWWed4KzfwFWGHQWYPTLKDpmqxyrEN0rbLZZLLIOnCVdcCF93h6MzjpiOieAgh1Lbm4&#10;Ab7TwoQB1QnFApbkW2k9XSe2dS14eF/XXgSiSoqVhrRiEtxv45qtV6xoHLOt5CMF9hQKj2rSTBpM&#10;eoK6YYGRnZP/QGnJHXiowwUHnQ2FJEWwiunkkTb3LbMi1YJSe3sS3f8/WP5u/8ERWZU0n2LjDdPY&#10;8uOP78efv4+/vpFFnkeJOusLjLy3GBv6V9Dj4KRyvb0D/tkTA5uWmUZcOwddK1iFFKfxZnZ2dcDx&#10;EWTbvYUKM7FdgATU105H/VARgujYnsOpPaIPhONhvlzkU/RwdM0Wi8linjKw4uGydT68FqBJ3JTU&#10;YfcTONvf+RDJsOIhJOYycCuVShOgDOlKejmfzRFeW5TDm2aoEJSsYly84V2z3ShH9iyOU/pGCv48&#10;TMuAT0RJXdLleZAyoyBRg0GN0G/7UeAtVAeUxsEwpPhEcdOC+0pJhwOKlL7smBOUqDcG5b2c5nmc&#10;6GTk85czNNy5Z3vuYYYjVEkDJcN2E4ZXsLNONi1mGhpq4BpbUsskV+zdwGrkjUOYVBwfTJzycztF&#10;/f1Jr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ba+bo9UAAAAIAQAADwAAAAAAAAABACAAAAAi&#10;AAAAZHJzL2Rvd25yZXYueG1sUEsBAhQAFAAAAAgAh07iQD+RkKFGAgAAbAQAAA4AAAAAAAAAAQAg&#10;AAAAJAEAAGRycy9lMm9Eb2MueG1sUEsFBgAAAAAGAAYAWQEAANwFAAAAAA==&#10;">
                            <v:fill on="f" focussize="0,0"/>
                            <v:stroke color="#000000" miterlimit="8" joinstyle="miter"/>
                            <v:imagedata o:title=""/>
                            <o:lock v:ext="edit" aspectratio="f"/>
                            <v:textbox>
                              <w:txbxContent>
                                <w:p>
                                  <w:pPr>
                                    <w:spacing w:line="240" w:lineRule="auto"/>
                                    <w:ind w:firstLine="0" w:firstLineChars="0"/>
                                    <w:jc w:val="center"/>
                                    <w:rPr>
                                      <w:sz w:val="21"/>
                                      <w:szCs w:val="21"/>
                                    </w:rPr>
                                  </w:pPr>
                                  <w:r>
                                    <w:rPr>
                                      <w:rFonts w:hint="eastAsia"/>
                                      <w:sz w:val="21"/>
                                      <w:szCs w:val="21"/>
                                    </w:rPr>
                                    <w:t>精车</w:t>
                                  </w:r>
                                </w:p>
                              </w:txbxContent>
                            </v:textbox>
                          </v:shape>
                        </w:pict>
                      </mc:Fallback>
                    </mc:AlternateContent>
                  </w:r>
                  <w:r>
                    <mc:AlternateContent>
                      <mc:Choice Requires="wps">
                        <w:drawing>
                          <wp:anchor distT="0" distB="0" distL="114300" distR="114300" simplePos="0" relativeHeight="251540480" behindDoc="1" locked="0" layoutInCell="1" allowOverlap="1">
                            <wp:simplePos x="0" y="0"/>
                            <wp:positionH relativeFrom="column">
                              <wp:posOffset>3686175</wp:posOffset>
                            </wp:positionH>
                            <wp:positionV relativeFrom="paragraph">
                              <wp:posOffset>161290</wp:posOffset>
                            </wp:positionV>
                            <wp:extent cx="179705" cy="635"/>
                            <wp:effectExtent l="0" t="37465" r="10795" b="38100"/>
                            <wp:wrapNone/>
                            <wp:docPr id="417" name="直线 645"/>
                            <wp:cNvGraphicFramePr/>
                            <a:graphic xmlns:a="http://schemas.openxmlformats.org/drawingml/2006/main">
                              <a:graphicData uri="http://schemas.microsoft.com/office/word/2010/wordprocessingShape">
                                <wps:wsp>
                                  <wps:cNvCnPr>
                                    <a:cxnSpLocks noChangeShapeType="1"/>
                                  </wps:cNvCnPr>
                                  <wps:spPr bwMode="auto">
                                    <a:xfrm>
                                      <a:off x="0" y="0"/>
                                      <a:ext cx="179705" cy="635"/>
                                    </a:xfrm>
                                    <a:prstGeom prst="line">
                                      <a:avLst/>
                                    </a:prstGeom>
                                    <a:noFill/>
                                    <a:ln w="9525" cmpd="sng">
                                      <a:solidFill>
                                        <a:srgbClr val="000000"/>
                                      </a:solidFill>
                                      <a:round/>
                                      <a:headEnd type="none"/>
                                      <a:tailEnd type="triangle" w="med" len="med"/>
                                    </a:ln>
                                  </wps:spPr>
                                  <wps:bodyPr/>
                                </wps:wsp>
                              </a:graphicData>
                            </a:graphic>
                          </wp:anchor>
                        </w:drawing>
                      </mc:Choice>
                      <mc:Fallback>
                        <w:pict>
                          <v:line id="直线 645" o:spid="_x0000_s1026" o:spt="20" style="position:absolute;left:0pt;margin-left:290.25pt;margin-top:12.7pt;height:0.05pt;width:14.15pt;z-index:-251776000;mso-width-relative:page;mso-height-relative:page;" filled="f" stroked="t" coordsize="21600,21600" o:gfxdata="UEsDBAoAAAAAAIdO4kAAAAAAAAAAAAAAAAAEAAAAZHJzL1BLAwQUAAAACACHTuJAumojT9kAAAAJ&#10;AQAADwAAAGRycy9kb3ducmV2LnhtbE2PwU7DMAyG70i8Q2QkbizpRKeoNN0BaVw2QNsQ2m5ZY9qK&#10;xqmSdCtvT3aCo+1Pv7+/XE62Z2f0oXOkIJsJYEi1Mx01Cj72qwcJLERNRveOUMEPBlhWtzelLoy7&#10;0BbPu9iwFEKh0AraGIeC81C3aHWYuQEp3b6ctzqm0TfceH1J4bbncyEW3OqO0odWD/jcYv29G62C&#10;7Wa1lp/rcar98SV7279vXg9BKnV/l4knYBGn+AfDVT+pQ5WcTm4kE1ivIJciT6iCef4ILAELIVOX&#10;03WRA69K/r9B9QtQSwMEFAAAAAgAh07iQG8o8n4IAgAA9wMAAA4AAABkcnMvZTJvRG9jLnhtbK1T&#10;QXITMRC8U8UfVLrjtU3skC2vc7AJlwCuSnjAWNJ6VUgalSR77bfwDU5ceE6+wUh2nBAuObCHLUkz&#10;0+ruGc2u99awnQpRo2v4aDDkTDmBUrtNw7/d37z7wFlM4CQYdKrhBxX59fztm1nvazXGDo1UgRGI&#10;i3XvG96l5OuqiqJTFuIAvXIUbDFYSLQNm0oG6Andmmo8HE6rHoP0AYWKkU6XxyA/IYbXAGLbaqGW&#10;KLZWuXREDcpAIkmx0z7yeWHbtkqkr20bVWKm4aQ0lT9dQut1/lfzGdSbAL7T4kQBXkPhhSYL2tGl&#10;Z6glJGDboP+BsloEjNimgUBbHYUUR0jFaPjCm7sOvCpayOroz6bH/wcrvuxWgWnZ8IvRJWcOLLX8&#10;4cfPh1+/2fRikv3pfawpbeFWISsUe3fnb1F8j8zhogO3UYXn/cFT6ShXVH+V5E30dMu6/4yScmCb&#10;sJi1b4PNkGQD25eeHM49UfvEBB2OLq8uhxPOBIWm7wuhCurHSh9i+qTQsrxouNEu+wU17G5jykyg&#10;fkzJxw5vtDGl58axvuFXk3HGtp4MiG5TaiMaLXNerohhs16YwHaQB6h8RSFFnqcF3DpZcDsF8qOT&#10;LBU7HD2h44wl0ObpPAVNxhnFMwmrJGdG0WvMqyNr4042ZueOPVijPKxCDmdHaR6KvNPs5oF7vi9Z&#10;T+91/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aiNP2QAAAAkBAAAPAAAAAAAAAAEAIAAAACIA&#10;AABkcnMvZG93bnJldi54bWxQSwECFAAUAAAACACHTuJAbyjyfggCAAD3AwAADgAAAAAAAAABACAA&#10;AAAoAQAAZHJzL2Uyb0RvYy54bWxQSwUGAAAAAAYABgBZAQAAo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2867025</wp:posOffset>
                            </wp:positionH>
                            <wp:positionV relativeFrom="paragraph">
                              <wp:posOffset>31115</wp:posOffset>
                            </wp:positionV>
                            <wp:extent cx="810895" cy="274955"/>
                            <wp:effectExtent l="9525" t="12065" r="8255" b="8255"/>
                            <wp:wrapNone/>
                            <wp:docPr id="416" name="文本框 646"/>
                            <wp:cNvGraphicFramePr/>
                            <a:graphic xmlns:a="http://schemas.openxmlformats.org/drawingml/2006/main">
                              <a:graphicData uri="http://schemas.microsoft.com/office/word/2010/wordprocessingShape">
                                <wps:wsp>
                                  <wps:cNvSpPr txBox="1">
                                    <a:spLocks noChangeArrowheads="1"/>
                                  </wps:cNvSpPr>
                                  <wps:spPr bwMode="auto">
                                    <a:xfrm>
                                      <a:off x="0" y="0"/>
                                      <a:ext cx="810895" cy="274955"/>
                                    </a:xfrm>
                                    <a:prstGeom prst="rect">
                                      <a:avLst/>
                                    </a:prstGeom>
                                    <a:noFill/>
                                    <a:ln w="9525" cmpd="sng">
                                      <a:solidFill>
                                        <a:srgbClr val="000000"/>
                                      </a:solidFill>
                                      <a:miter lim="800000"/>
                                    </a:ln>
                                  </wps:spPr>
                                  <wps:txbx>
                                    <w:txbxContent>
                                      <w:p>
                                        <w:pPr>
                                          <w:spacing w:line="240" w:lineRule="auto"/>
                                          <w:ind w:firstLine="0" w:firstLineChars="0"/>
                                          <w:jc w:val="center"/>
                                          <w:rPr>
                                            <w:sz w:val="21"/>
                                            <w:szCs w:val="21"/>
                                          </w:rPr>
                                        </w:pPr>
                                        <w:r>
                                          <w:rPr>
                                            <w:rFonts w:hint="eastAsia"/>
                                            <w:sz w:val="21"/>
                                            <w:szCs w:val="21"/>
                                          </w:rPr>
                                          <w:t>粗磨、精磨</w:t>
                                        </w:r>
                                      </w:p>
                                    </w:txbxContent>
                                  </wps:txbx>
                                  <wps:bodyPr rot="0" vert="horz" wrap="square" lIns="91440" tIns="45720" rIns="91440" bIns="45720" anchor="t" anchorCtr="0" upright="1">
                                    <a:noAutofit/>
                                  </wps:bodyPr>
                                </wps:wsp>
                              </a:graphicData>
                            </a:graphic>
                          </wp:anchor>
                        </w:drawing>
                      </mc:Choice>
                      <mc:Fallback>
                        <w:pict>
                          <v:shape id="文本框 646" o:spid="_x0000_s1026" o:spt="202" type="#_x0000_t202" style="position:absolute;left:0pt;margin-left:225.75pt;margin-top:2.45pt;height:21.65pt;width:63.85pt;z-index:251672576;mso-width-relative:page;mso-height-relative:page;" filled="f" stroked="t" coordsize="21600,21600" o:gfxdata="UEsDBAoAAAAAAIdO4kAAAAAAAAAAAAAAAAAEAAAAZHJzL1BLAwQUAAAACACHTuJAq3maUtYAAAAI&#10;AQAADwAAAGRycy9kb3ducmV2LnhtbE2PT1ODMBDF7874HTLrjDcboCIFCT1YvVesel3IFhhJwpD0&#10;j/30rie97Zv39u1vy/XZjOJIsx+cVRAvIhBkW6cH2ynYvb3crUD4gFbj6Cwp+CYP6+r6qsRCu5N9&#10;pWMdOsEl1heooA9hKqT0bU8G/cJNZNnbu9lgYDl3Us944nIzyiSKHqTBwfKFHid66qn9qg+GMZLP&#10;3XKzrSnLsFluni/v+f5jVOr2Jo4eQQQ6h78w/OLzDlTM1LiD1V6MCu7TOOUoDzkI9tMsT0A0rFcJ&#10;yKqU/x+ofgBQSwMEFAAAAAgAh07iQLZC8bFGAgAAbAQAAA4AAABkcnMvZTJvRG9jLnhtbK1US27b&#10;MBDdF+gdCO5r2Ybt2ELkILWRokD6AdIegKYoiSjJYUnaknuA9gZZddN9z5VzdEgprpFusqgWBIcz&#10;fPPmzVCXV51W5CCcl2AKOhmNKRGGQylNXdDPn25eLSnxgZmSKTCioEfh6dX65YvL1uZiCg2oUjiC&#10;IMbnrS1oE4LNs8zzRmjmR2CFQWcFTrOApquz0rEW0bXKpuPxImvBldYBF97j6bZ30gHRPQcQqkpy&#10;sQW+18KEHtUJxQKW5BtpPV0ntlUlePhQVV4EogqKlYa0YhLc7+KarS9ZXjtmG8kHCuw5FJ7UpJk0&#10;mPQEtWWBkb2T/0BpyR14qMKIg876QpIiWMVk/ESbu4ZZkWpBqb09ie7/Hyx/f/joiCwLOpssKDFM&#10;Y8sf7n88/Pz98Os7WcwWUaLW+hwj7yzGhu41dDg4qVxvb4F/8cTApmGmFtfOQdsIViLFSbyZnV3t&#10;cXwE2bXvoMRMbB8gAXWV01E/VIQgOrbneGqP6ALheLicjJerOSUcXdOL2Wo+TxlY/njZOh/eCNAk&#10;bgrqsPsJnB1ufYhkWP4YEnMZuJFKpQlQhrQFXc2nEV5blMObuq8QlCxjXLzhXb3bKEcOLI5T+gYK&#10;/jxMy4BPREmNnM+DlBkEiRr0aoRu1w0C76A8ojQO+iHFJ4qbBtw3SlocUKT0dc+coES9NSjvajKb&#10;xYlOxmx+MUXDnXt25x5mOEIVNFDSbzehfwV762TdYKa+oQausSWVTHLF3vWsBt44hEnF4cHEKT+3&#10;U9Tfn8T6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t5mlLWAAAACAEAAA8AAAAAAAAAAQAgAAAA&#10;IgAAAGRycy9kb3ducmV2LnhtbFBLAQIUABQAAAAIAIdO4kC2QvGxRgIAAGwEAAAOAAAAAAAAAAEA&#10;IAAAACUBAABkcnMvZTJvRG9jLnhtbFBLBQYAAAAABgAGAFkBAADdBQAAAAA=&#10;">
                            <v:fill on="f" focussize="0,0"/>
                            <v:stroke color="#000000" miterlimit="8" joinstyle="miter"/>
                            <v:imagedata o:title=""/>
                            <o:lock v:ext="edit" aspectratio="f"/>
                            <v:textbox>
                              <w:txbxContent>
                                <w:p>
                                  <w:pPr>
                                    <w:spacing w:line="240" w:lineRule="auto"/>
                                    <w:ind w:firstLine="0" w:firstLineChars="0"/>
                                    <w:jc w:val="center"/>
                                    <w:rPr>
                                      <w:sz w:val="21"/>
                                      <w:szCs w:val="21"/>
                                    </w:rPr>
                                  </w:pPr>
                                  <w:r>
                                    <w:rPr>
                                      <w:rFonts w:hint="eastAsia"/>
                                      <w:sz w:val="21"/>
                                      <w:szCs w:val="21"/>
                                    </w:rPr>
                                    <w:t>粗磨、精磨</w:t>
                                  </w:r>
                                </w:p>
                              </w:txbxContent>
                            </v:textbox>
                          </v:shape>
                        </w:pict>
                      </mc:Fallback>
                    </mc:AlternateContent>
                  </w:r>
                  <w:r>
                    <mc:AlternateContent>
                      <mc:Choice Requires="wps">
                        <w:drawing>
                          <wp:anchor distT="0" distB="0" distL="114300" distR="114300" simplePos="0" relativeHeight="251532288" behindDoc="1" locked="0" layoutInCell="1" allowOverlap="1">
                            <wp:simplePos x="0" y="0"/>
                            <wp:positionH relativeFrom="column">
                              <wp:posOffset>2638425</wp:posOffset>
                            </wp:positionH>
                            <wp:positionV relativeFrom="paragraph">
                              <wp:posOffset>170815</wp:posOffset>
                            </wp:positionV>
                            <wp:extent cx="179705" cy="635"/>
                            <wp:effectExtent l="0" t="37465" r="10795" b="38100"/>
                            <wp:wrapNone/>
                            <wp:docPr id="319" name="直线 647"/>
                            <wp:cNvGraphicFramePr/>
                            <a:graphic xmlns:a="http://schemas.openxmlformats.org/drawingml/2006/main">
                              <a:graphicData uri="http://schemas.microsoft.com/office/word/2010/wordprocessingShape">
                                <wps:wsp>
                                  <wps:cNvCnPr>
                                    <a:cxnSpLocks noChangeShapeType="1"/>
                                  </wps:cNvCnPr>
                                  <wps:spPr bwMode="auto">
                                    <a:xfrm>
                                      <a:off x="0" y="0"/>
                                      <a:ext cx="179705" cy="635"/>
                                    </a:xfrm>
                                    <a:prstGeom prst="line">
                                      <a:avLst/>
                                    </a:prstGeom>
                                    <a:noFill/>
                                    <a:ln w="9525" cmpd="sng">
                                      <a:solidFill>
                                        <a:srgbClr val="000000"/>
                                      </a:solidFill>
                                      <a:round/>
                                      <a:headEnd type="none"/>
                                      <a:tailEnd type="triangle" w="med" len="med"/>
                                    </a:ln>
                                  </wps:spPr>
                                  <wps:bodyPr/>
                                </wps:wsp>
                              </a:graphicData>
                            </a:graphic>
                          </wp:anchor>
                        </w:drawing>
                      </mc:Choice>
                      <mc:Fallback>
                        <w:pict>
                          <v:line id="直线 647" o:spid="_x0000_s1026" o:spt="20" style="position:absolute;left:0pt;margin-left:207.75pt;margin-top:13.45pt;height:0.05pt;width:14.15pt;z-index:-251784192;mso-width-relative:page;mso-height-relative:page;" filled="f" stroked="t" coordsize="21600,21600" o:gfxdata="UEsDBAoAAAAAAIdO4kAAAAAAAAAAAAAAAAAEAAAAZHJzL1BLAwQUAAAACACHTuJAnRsbAtsAAAAJ&#10;AQAADwAAAGRycy9kb3ducmV2LnhtbE2Py07DMBBF90j8gzVI7KidkpYQ4nSBVDYtRX2ogp0bD0lE&#10;bEe204a/Z1jBcmaO7pxbLEbTsTP60DorIZkIYGgrp1tbSzjsl3cZsBCV1apzFiV8Y4BFeX1VqFy7&#10;i93ieRdrRiE25EpCE2Ofcx6qBo0KE9ejpdun80ZFGn3NtVcXCjcdnwox50a1lj40qsfnBquv3WAk&#10;bNfLVXZcDWPlP16Szf5t/foeMilvbxLxBCziGP9g+NUndSjJ6eQGqwPrJKTJbEaohOn8ERgBaXpP&#10;XU60eBDAy4L/b1D+AFBLAwQUAAAACACHTuJA4yNR0wcCAAD3AwAADgAAAGRycy9lMm9Eb2MueG1s&#10;rVNLchshEN2nKneg2McjybEUTWnkhRRn4ySqsnOAFjAaKkBTgDTSWXKNrLLJcXyNNEiWY2fjRWYx&#10;Bf15vPcaZtd7a9hOhajRNXx4MeBMOYFSu03Dv93fvPvAWUzgJBh0quEHFfn1/O2bWe9rNcIOjVSB&#10;EYiLde8b3qXk66qKolMW4gV65SjZYrCQaBs2lQzQE7o11WgwGFc9BukDChUjRZfHJD8hhtcAYttq&#10;oZYotla5dEQNykAiSbHTPvJ5Ydu2SqSvbRtVYqbhpDSVPx1C63X+V/MZ1JsAvtPiRAFeQ+GFJgva&#10;0aFnqCUkYNug/4GyWgSM2KYLgbY6CimOkIrh4IU3dx14VbSQ1dGfTY//D1Z82a0C07Lhl8MpZw4s&#10;jfzhx8+HX7/Z+P0k+9P7WFPZwq1CVij27s7fovgemcNFB26jCs/7g6fWYe6onrXkTfR0yrr/jJJq&#10;YJuwmLVvg82QZAPbl5kczjNR+8QEBYeT6WRwxZmg1PjyqsBD/djpQ0yfFFqWFw032mW/oIbdbUyZ&#10;CdSPJTns8EYbU2ZuHOsbPr0aZWzryYDoNqU3otEy1+WOGDbrhQlsB/kCle9E4VlZwK2TBbdTID86&#10;yVKxw9ETyvVQJ9DmKZ6CJuOM4pmEVZIzo+g15tWRtXEnG7NzxxmsUR5WIaezo3QfirzT3c0X7u99&#10;qXp6r/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RsbAtsAAAAJAQAADwAAAAAAAAABACAAAAAi&#10;AAAAZHJzL2Rvd25yZXYueG1sUEsBAhQAFAAAAAgAh07iQOMjUdMHAgAA9wMAAA4AAAAAAAAAAQAg&#10;AAAAKgEAAGRycy9lMm9Eb2MueG1sUEsFBgAAAAAGAAYAWQEAAKM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1400175</wp:posOffset>
                            </wp:positionH>
                            <wp:positionV relativeFrom="paragraph">
                              <wp:posOffset>31115</wp:posOffset>
                            </wp:positionV>
                            <wp:extent cx="1134110" cy="266065"/>
                            <wp:effectExtent l="9525" t="12065" r="8890" b="7620"/>
                            <wp:wrapNone/>
                            <wp:docPr id="318" name="文本框 650"/>
                            <wp:cNvGraphicFramePr/>
                            <a:graphic xmlns:a="http://schemas.openxmlformats.org/drawingml/2006/main">
                              <a:graphicData uri="http://schemas.microsoft.com/office/word/2010/wordprocessingShape">
                                <wps:wsp>
                                  <wps:cNvSpPr txBox="1">
                                    <a:spLocks noChangeArrowheads="1"/>
                                  </wps:cNvSpPr>
                                  <wps:spPr bwMode="auto">
                                    <a:xfrm>
                                      <a:off x="0" y="0"/>
                                      <a:ext cx="1134110" cy="266065"/>
                                    </a:xfrm>
                                    <a:prstGeom prst="rect">
                                      <a:avLst/>
                                    </a:prstGeom>
                                    <a:noFill/>
                                    <a:ln w="9525" cmpd="sng">
                                      <a:solidFill>
                                        <a:srgbClr val="000000"/>
                                      </a:solidFill>
                                      <a:miter lim="800000"/>
                                    </a:ln>
                                    <a:effectLst/>
                                  </wps:spPr>
                                  <wps:txbx>
                                    <w:txbxContent>
                                      <w:p>
                                        <w:pPr>
                                          <w:spacing w:line="240" w:lineRule="auto"/>
                                          <w:ind w:firstLine="0" w:firstLineChars="0"/>
                                          <w:jc w:val="center"/>
                                          <w:rPr>
                                            <w:sz w:val="21"/>
                                            <w:szCs w:val="21"/>
                                          </w:rPr>
                                        </w:pPr>
                                        <w:r>
                                          <w:rPr>
                                            <w:rFonts w:hint="eastAsia"/>
                                            <w:sz w:val="21"/>
                                            <w:szCs w:val="21"/>
                                          </w:rPr>
                                          <w:t>粗车、普铣</w:t>
                                        </w:r>
                                      </w:p>
                                    </w:txbxContent>
                                  </wps:txbx>
                                  <wps:bodyPr rot="0" vert="horz" wrap="square" lIns="91440" tIns="45720" rIns="91440" bIns="45720" anchor="t" anchorCtr="0" upright="1">
                                    <a:noAutofit/>
                                  </wps:bodyPr>
                                </wps:wsp>
                              </a:graphicData>
                            </a:graphic>
                          </wp:anchor>
                        </w:drawing>
                      </mc:Choice>
                      <mc:Fallback>
                        <w:pict>
                          <v:shape id="文本框 650" o:spid="_x0000_s1026" o:spt="202" type="#_x0000_t202" style="position:absolute;left:0pt;margin-left:110.25pt;margin-top:2.45pt;height:20.95pt;width:89.3pt;z-index:251671552;mso-width-relative:page;mso-height-relative:page;" filled="f" stroked="t" coordsize="21600,21600" o:gfxdata="UEsDBAoAAAAAAIdO4kAAAAAAAAAAAAAAAAAEAAAAZHJzL1BLAwQUAAAACACHTuJAX+nwHtUAAAAI&#10;AQAADwAAAGRycy9kb3ducmV2LnhtbE2PzU7DMBCE70i8g7VI3KidBNomxOmBwh1Cgesm3iYRsR3F&#10;7g88PcsJjqOZnf2m3JztKI40h8E7DclCgSDXejO4TsPu9elmDSJEdAZH70jDFwXYVJcXJRbGn9wL&#10;HevYCS5xoUANfYxTIWVoe7IYFn4ix97ezxYjy7mTZsYTl9tRpkotpcXB8YceJ3roqf2sD5Yx0o9d&#10;tn2uabXCJts+fr/l+/dR6+urRN2DiHSOf2H4xecbqJip8Qdnghg1pKm646iG2xwE+1meJyAa1ss1&#10;yKqU/wdUP1BLAwQUAAAACACHTuJA04Y8VkwCAAB7BAAADgAAAGRycy9lMm9Eb2MueG1srVRLbtsw&#10;EN0X6B0I7mtZju0mQuQgtZGiQPoB0h6ApiiJKMlhSdqSe4DmBl11033P5XN0SNmJkW6yqBYCqRm+&#10;efPeUJdXvVZkK5yXYEqaj8aUCMOhkqYp6ZfPN6/OKfGBmYopMKKkO+Hp1eLli8vOFmICLahKOIIg&#10;xhedLWkbgi2yzPNWaOZHYIXBYA1Os4Bb12SVYx2ia5VNxuN51oGrrAMuvMevqyFID4juOYBQ15KL&#10;FfCNFiYMqE4oFrAl30rr6SKxrWvBw8e69iIQVVLsNKQ3FsH1Or6zxSUrGsdsK/mBAnsOhSc9aSYN&#10;Fn2AWrHAyMbJf6C05A481GHEQWdDI0kR7CIfP9HmrmVWpF5Qam8fRPf/D5Z/2H5yRFYlPcvReMM0&#10;Wr7/eb//9Wf/+weZz5JEnfUFZt5ZzA39G+hxcFK73t4C/+qJgWXLTCOunYOuFaxCinkUNzs5Gk3x&#10;hY8g6+49VFiJbQIkoL52OuqHihBER3t2D/aIPhAeS+Zn0zzHEMfYZD4fz2epBCuOp63z4a0ATeKi&#10;pA7tT+hse+tDZMOKY0osZuBGKpVGQBnSlfRiNpkhvLaohzfN0CIoWcW8eMK7Zr1UjmxZnKf0HCj4&#10;0zQtA94RJXVJz0+TlIkgIs3lgdFRkkGc0K975BM/rqHaoVIOhpnFG4uLFtx3SjqcVyT4bcOcoES9&#10;M6j2RT6dxgFPm+ns9QQ37jSyPo0wwxGqpIGSYbkMw6XYWCebFisN/hq4RodqmcR7ZHXwFWcyaXq4&#10;P3HoT/cp6/Gfsfg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nwHtUAAAAIAQAADwAAAAAAAAAB&#10;ACAAAAAiAAAAZHJzL2Rvd25yZXYueG1sUEsBAhQAFAAAAAgAh07iQNOGPFZMAgAAewQAAA4AAAAA&#10;AAAAAQAgAAAAJAEAAGRycy9lMm9Eb2MueG1sUEsFBgAAAAAGAAYAWQEAAOIFAAAAAA==&#10;">
                            <v:fill on="f" focussize="0,0"/>
                            <v:stroke color="#000000" miterlimit="8" joinstyle="miter"/>
                            <v:imagedata o:title=""/>
                            <o:lock v:ext="edit" aspectratio="f"/>
                            <v:textbox>
                              <w:txbxContent>
                                <w:p>
                                  <w:pPr>
                                    <w:spacing w:line="240" w:lineRule="auto"/>
                                    <w:ind w:firstLine="0" w:firstLineChars="0"/>
                                    <w:jc w:val="center"/>
                                    <w:rPr>
                                      <w:sz w:val="21"/>
                                      <w:szCs w:val="21"/>
                                    </w:rPr>
                                  </w:pPr>
                                  <w:r>
                                    <w:rPr>
                                      <w:rFonts w:hint="eastAsia"/>
                                      <w:sz w:val="21"/>
                                      <w:szCs w:val="21"/>
                                    </w:rPr>
                                    <w:t>粗车、普铣</w:t>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1209675</wp:posOffset>
                            </wp:positionH>
                            <wp:positionV relativeFrom="paragraph">
                              <wp:posOffset>161290</wp:posOffset>
                            </wp:positionV>
                            <wp:extent cx="179705" cy="635"/>
                            <wp:effectExtent l="0" t="37465" r="10795" b="38100"/>
                            <wp:wrapNone/>
                            <wp:docPr id="317" name="直线 651"/>
                            <wp:cNvGraphicFramePr/>
                            <a:graphic xmlns:a="http://schemas.openxmlformats.org/drawingml/2006/main">
                              <a:graphicData uri="http://schemas.microsoft.com/office/word/2010/wordprocessingShape">
                                <wps:wsp>
                                  <wps:cNvCnPr>
                                    <a:cxnSpLocks noChangeShapeType="1"/>
                                  </wps:cNvCnPr>
                                  <wps:spPr bwMode="auto">
                                    <a:xfrm>
                                      <a:off x="0" y="0"/>
                                      <a:ext cx="179705" cy="635"/>
                                    </a:xfrm>
                                    <a:prstGeom prst="line">
                                      <a:avLst/>
                                    </a:prstGeom>
                                    <a:noFill/>
                                    <a:ln w="9525" cmpd="sng">
                                      <a:solidFill>
                                        <a:srgbClr val="000000"/>
                                      </a:solidFill>
                                      <a:round/>
                                      <a:headEnd type="none"/>
                                      <a:tailEnd type="triangle" w="med" len="med"/>
                                    </a:ln>
                                  </wps:spPr>
                                  <wps:bodyPr/>
                                </wps:wsp>
                              </a:graphicData>
                            </a:graphic>
                          </wp:anchor>
                        </w:drawing>
                      </mc:Choice>
                      <mc:Fallback>
                        <w:pict>
                          <v:line id="直线 651" o:spid="_x0000_s1026" o:spt="20" style="position:absolute;left:0pt;margin-left:95.25pt;margin-top:12.7pt;height:0.05pt;width:14.15pt;z-index:251677696;mso-width-relative:page;mso-height-relative:page;" filled="f" stroked="t" coordsize="21600,21600" o:gfxdata="UEsDBAoAAAAAAIdO4kAAAAAAAAAAAAAAAAAEAAAAZHJzL1BLAwQUAAAACACHTuJA+I/73NgAAAAJ&#10;AQAADwAAAGRycy9kb3ducmV2LnhtbE2PwU7DMBBE70j8g7VI3KidiKAQ4vSAVC4toLYIwc2NlyQi&#10;Xkex04a/Z3uC48w+zc6Uy9n14ohj6DxpSBYKBFLtbUeNhrf96iYHEaIha3pPqOEHAyyry4vSFNaf&#10;aIvHXWwEh1AojIY2xqGQMtQtOhMWfkDi25cfnYksx0ba0Zw43PUyVepOOtMRf2jNgI8t1t+7yWnY&#10;blbr/H09zfX4+ZS87F83zx8h1/r6KlEPICLO8Q+Gc32uDhV3OviJbBA963uVMaohzW5BMJAmOW85&#10;nI0MZFXK/wuqX1BLAwQUAAAACACHTuJAulkZHAUCAAD3AwAADgAAAGRycy9lMm9Eb2MueG1srVPB&#10;ctsgEL13pv/AcK9lOWO70VjOwW56SVvPJPkADEhiCiwD2LK/pb/RUy/9nPxGF2Q7TXrJoTpoYNl9&#10;vPd2WdwcjCZ76YMCW9NyNKZEWg5C2bamjw+3Hz5SEiKzgmmwsqZHGejN8v27Re8qOYEOtJCeIIgN&#10;Ve9q2sXoqqIIvJOGhRE4afGwAW9YxK1vC+FZj+hGF5PxeFb04IXzwGUIGF0Ph/SE6N8CCE2juFwD&#10;3xlp44DqpWYRJYVOuUCXmW3TSB6/NU2QkeiaotKY/3gJrrfpXywXrGo9c53iJwrsLRReaTJMWbz0&#10;ArVmkZGdV/9AGcU9BGjiiIMpBiHZEVRRjl95c98xJ7MWtDq4i+nh/8Hyr/uNJ0rU9KqcU2KZwZY/&#10;/fj59Os3mU3L5E/vQoVpK7vxSSE/2Ht3B/x7IBZWHbOtzDwfjg5Lc0XxoiRtgsNbtv0XEJjDdhGy&#10;WYfGmwSJNpBD7snx0hN5iIRjsJxfz8dTSjgeza6miVDBqnOl8yF+lmBIWtRUK5v8YhXb34U4pJ5T&#10;UtjCrdI691xb0tf0ejpJ2MahAcG2uTaAViLlpYrg2+1Ke7JnaYDyd6LwIs3DzoqM20kmPllBYrbD&#10;4hMaZiwypZ/j0Ss0TkuaSBgpKNESX2NaDay1RZ1n54YebEEcNz4dpzjOQ3biNLtp4P7e56zn97r8&#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iP+9zYAAAACQEAAA8AAAAAAAAAAQAgAAAAIgAAAGRy&#10;cy9kb3ducmV2LnhtbFBLAQIUABQAAAAIAIdO4kC6WRkcBQIAAPcDAAAOAAAAAAAAAAEAIAAAACc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685800</wp:posOffset>
                            </wp:positionH>
                            <wp:positionV relativeFrom="paragraph">
                              <wp:posOffset>19685</wp:posOffset>
                            </wp:positionV>
                            <wp:extent cx="514985" cy="266065"/>
                            <wp:effectExtent l="9525" t="10160" r="8890" b="9525"/>
                            <wp:wrapNone/>
                            <wp:docPr id="316" name="文本框 652"/>
                            <wp:cNvGraphicFramePr/>
                            <a:graphic xmlns:a="http://schemas.openxmlformats.org/drawingml/2006/main">
                              <a:graphicData uri="http://schemas.microsoft.com/office/word/2010/wordprocessingShape">
                                <wps:wsp>
                                  <wps:cNvSpPr txBox="1">
                                    <a:spLocks noChangeArrowheads="1"/>
                                  </wps:cNvSpPr>
                                  <wps:spPr bwMode="auto">
                                    <a:xfrm>
                                      <a:off x="0" y="0"/>
                                      <a:ext cx="514985" cy="266065"/>
                                    </a:xfrm>
                                    <a:prstGeom prst="rect">
                                      <a:avLst/>
                                    </a:prstGeom>
                                    <a:noFill/>
                                    <a:ln w="9525" cmpd="sng">
                                      <a:solidFill>
                                        <a:srgbClr val="000000"/>
                                      </a:solidFill>
                                      <a:miter lim="800000"/>
                                    </a:ln>
                                  </wps:spPr>
                                  <wps:txbx>
                                    <w:txbxContent>
                                      <w:p>
                                        <w:pPr>
                                          <w:spacing w:line="240" w:lineRule="auto"/>
                                          <w:ind w:firstLine="0" w:firstLineChars="0"/>
                                          <w:jc w:val="center"/>
                                          <w:rPr>
                                            <w:sz w:val="21"/>
                                            <w:szCs w:val="21"/>
                                          </w:rPr>
                                        </w:pPr>
                                        <w:r>
                                          <w:rPr>
                                            <w:rFonts w:hint="eastAsia"/>
                                            <w:sz w:val="21"/>
                                            <w:szCs w:val="21"/>
                                          </w:rPr>
                                          <w:t>下料</w:t>
                                        </w:r>
                                      </w:p>
                                    </w:txbxContent>
                                  </wps:txbx>
                                  <wps:bodyPr rot="0" vert="horz" wrap="square" lIns="91440" tIns="45720" rIns="91440" bIns="45720" anchor="t" anchorCtr="0" upright="1">
                                    <a:noAutofit/>
                                  </wps:bodyPr>
                                </wps:wsp>
                              </a:graphicData>
                            </a:graphic>
                          </wp:anchor>
                        </w:drawing>
                      </mc:Choice>
                      <mc:Fallback>
                        <w:pict>
                          <v:shape id="文本框 652" o:spid="_x0000_s1026" o:spt="202" type="#_x0000_t202" style="position:absolute;left:0pt;margin-left:54pt;margin-top:1.55pt;height:20.95pt;width:40.55pt;z-index:251676672;mso-width-relative:page;mso-height-relative:page;" filled="f" stroked="t" coordsize="21600,21600" o:gfxdata="UEsDBAoAAAAAAIdO4kAAAAAAAAAAAAAAAAAEAAAAZHJzL1BLAwQUAAAACACHTuJAvmq28dUAAAAI&#10;AQAADwAAAGRycy9kb3ducmV2LnhtbE2PzU7DMBCE70i8g7VI3KidBmga4vRA4V5CgasTb5OIeB3F&#10;7g99erYnuO1odme/KVYnN4gDTqH3pCGZKRBIjbc9tRq27693GYgQDVkzeEINPxhgVV5fFSa3/khv&#10;eKhiKziEQm40dDGOuZSh6dCZMPMjEns7PzkTWU6ttJM5crgb5FypR+lMT/yhMyM+d9h8V3vHGPOv&#10;bbreVLhYmDpdv5w/lrvPQevbm0Q9gYh4in/LcMHnGyiZqfZ7skEMrFXGXaKGNAFx8bMlD7WG+wcF&#10;sizk/wLlL1BLAwQUAAAACACHTuJAvgaghUYCAABsBAAADgAAAGRycy9lMm9Eb2MueG1srVTNbtQw&#10;EL4j8Q6W7zS7y+7SRs1WpVUREn9S4QG8jpNY2B4z9m5SHgDegBMX7jxXn4Oxk5ZVufRADpbHM/7m&#10;m2/GOT0brGF7hUGDq/j8aMaZchJq7dqKf/p49eyYsxCFq4UBpyp+owI/2zx9ctr7Ui2gA1MrZATi&#10;Qtn7incx+rIoguyUFeEIvHLkbACtiGRiW9QoekK3pljMZuuiB6w9glQh0Onl6OQTIj4GEJpGS3UJ&#10;cmeViyMqKiMilRQ67QPfZLZNo2R83zRBRWYqTpXGvFIS2m/TWmxORdmi8J2WEwXxGAoParJCO0p6&#10;D3UpomA71P9AWS0RAjTxSIItxkKyIlTFfPZAm+tOeJVrIamDvxc9/D9Y+W7/AZmuK/58vubMCUst&#10;v/3x/fbn79tf39h6tUgS9T6UFHntKTYOL2GgwcnlBv8G5OfAHFx0wrXqHBH6TomaKM7TzeLg6ogT&#10;Esi2fws1ZRK7CBloaNAm/UgRRujUnpv79qghMkmHq/ny5HjFmSTXYr2erVc5gyjvLnsM8ZUCy9Km&#10;4kjdz+Bi/ybEREaUdyEpl4MrbUyeAONYX/GT1SLBW09yBNeOFYLRdYpLNwK22wuDbC/SOOVvohAO&#10;w6yO9ESMthU/PgwybhIkaTCqEYftMAm8hfqGpEEYh5SeKG06wK+c9TSgROnLTqDizLx2JO/JfLlM&#10;E52N5erFggw89GwPPcJJgqp45GzcXsTxFew86rajTGNDHZxTSxqd5Uq9G1lNvGkIs4rTg0lTfmjn&#10;qL8/ic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mq28dUAAAAIAQAADwAAAAAAAAABACAAAAAi&#10;AAAAZHJzL2Rvd25yZXYueG1sUEsBAhQAFAAAAAgAh07iQL4GoIVGAgAAbAQAAA4AAAAAAAAAAQAg&#10;AAAAJAEAAGRycy9lMm9Eb2MueG1sUEsFBgAAAAAGAAYAWQEAANwFAAAAAA==&#10;">
                            <v:fill on="f" focussize="0,0"/>
                            <v:stroke color="#000000" miterlimit="8" joinstyle="miter"/>
                            <v:imagedata o:title=""/>
                            <o:lock v:ext="edit" aspectratio="f"/>
                            <v:textbox>
                              <w:txbxContent>
                                <w:p>
                                  <w:pPr>
                                    <w:spacing w:line="240" w:lineRule="auto"/>
                                    <w:ind w:firstLine="0" w:firstLineChars="0"/>
                                    <w:jc w:val="center"/>
                                    <w:rPr>
                                      <w:sz w:val="21"/>
                                      <w:szCs w:val="21"/>
                                    </w:rPr>
                                  </w:pPr>
                                  <w:r>
                                    <w:rPr>
                                      <w:rFonts w:hint="eastAsia"/>
                                      <w:sz w:val="21"/>
                                      <w:szCs w:val="21"/>
                                    </w:rPr>
                                    <w:t>下料</w:t>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485775</wp:posOffset>
                            </wp:positionH>
                            <wp:positionV relativeFrom="paragraph">
                              <wp:posOffset>161290</wp:posOffset>
                            </wp:positionV>
                            <wp:extent cx="179705" cy="635"/>
                            <wp:effectExtent l="0" t="37465" r="10795" b="38100"/>
                            <wp:wrapNone/>
                            <wp:docPr id="315" name="直线 653"/>
                            <wp:cNvGraphicFramePr/>
                            <a:graphic xmlns:a="http://schemas.openxmlformats.org/drawingml/2006/main">
                              <a:graphicData uri="http://schemas.microsoft.com/office/word/2010/wordprocessingShape">
                                <wps:wsp>
                                  <wps:cNvCnPr>
                                    <a:cxnSpLocks noChangeShapeType="1"/>
                                  </wps:cNvCnPr>
                                  <wps:spPr bwMode="auto">
                                    <a:xfrm>
                                      <a:off x="0" y="0"/>
                                      <a:ext cx="179705" cy="635"/>
                                    </a:xfrm>
                                    <a:prstGeom prst="line">
                                      <a:avLst/>
                                    </a:prstGeom>
                                    <a:noFill/>
                                    <a:ln w="9525" cmpd="sng">
                                      <a:solidFill>
                                        <a:srgbClr val="000000"/>
                                      </a:solidFill>
                                      <a:round/>
                                      <a:headEnd type="none"/>
                                      <a:tailEnd type="triangle" w="med" len="med"/>
                                    </a:ln>
                                  </wps:spPr>
                                  <wps:bodyPr/>
                                </wps:wsp>
                              </a:graphicData>
                            </a:graphic>
                          </wp:anchor>
                        </w:drawing>
                      </mc:Choice>
                      <mc:Fallback>
                        <w:pict>
                          <v:line id="直线 653" o:spid="_x0000_s1026" o:spt="20" style="position:absolute;left:0pt;margin-left:38.25pt;margin-top:12.7pt;height:0.05pt;width:14.15pt;z-index:251673600;mso-width-relative:page;mso-height-relative:page;" filled="f" stroked="t" coordsize="21600,21600" o:gfxdata="UEsDBAoAAAAAAIdO4kAAAAAAAAAAAAAAAAAEAAAAZHJzL1BLAwQUAAAACACHTuJAMU2qKNgAAAAI&#10;AQAADwAAAGRycy9kb3ducmV2LnhtbE2PwU7DMBBE70j8g7VI3KidqilRiNMDUrm0ULVFCG5uvCQR&#10;8TqynTb8fZ0THHdmNPumWI2mY2d0vrUkIZkJYEiV1S3VEt6P64cMmA+KtOosoYRf9LAqb28KlWt7&#10;oT2eD6FmsYR8riQ0IfQ5575q0Cg/sz1S9L6tMyrE09VcO3WJ5abjcyGW3KiW4odG9fjcYPVzGIyE&#10;/Xa9yT42w1i5r5fk7bjbvn76TMr7u0Q8AQs4hr8wTPgRHcrIdLIDac86CY/LNCYlzNMFsMkXizjl&#10;NAkp8LLg/weUV1BLAwQUAAAACACHTuJAE57yNAYCAAD3AwAADgAAAGRycy9lMm9Eb2MueG1srVNL&#10;chshEN2nKneg2EejT0mOpzTyQoqzcRJX2T5ACxgNFaApQBrpLLlGVtnkOL5GGiTLsbPxIrOYgv48&#10;3nsN86u9NWynQtToGj4aDDlTTqDUbtPwh/vrDx85iwmcBINONfygIr9avH83732txtihkSowAnGx&#10;7n3Du5R8XVVRdMpCHKBXjpItBguJtmFTyQA9oVtTjYfDWdVjkD6gUDFSdHVM8hNieAsgtq0WaoVi&#10;a5VLR9SgDCSSFDvtI18Utm2rRPrWtlElZhpOSlP50yG0Xud/tZhDvQngOy1OFOAtFF5psqAdHXqG&#10;WkECtg36HyirRcCIbRoItNVRSHGEVIyGr7y568CrooWsjv5sevx/sOLr7jYwLRs+GU05c2Bp5I8/&#10;fj7++s1m00n2p/exprKluw1Zodi7O3+D4ntkDpcduI0qPO8PnlpHuaN60ZI30dMp6/4LSqqBbcJi&#10;1r4NNkOSDWxfZnI4z0TtExMUHF1cXgyJmaDUbDIt8FA/dfoQ02eFluVFw4122S+oYXcTU2YC9VNJ&#10;Dju81saUmRvH+oZfTscZ23oyILpN6Y1otMx1uSOGzXppAttBvkDlO1F4URZw62TB7RTIT06yVOxw&#10;9IRyPdQJtHmOp6DJOKN4JmGV5Mwoeo15dWRt3MnG7NxxBmuUh9uQ09lRug9F3unu5gv3975UPb/X&#10;x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xTaoo2AAAAAgBAAAPAAAAAAAAAAEAIAAAACIAAABk&#10;cnMvZG93bnJldi54bWxQSwECFAAUAAAACACHTuJAE57yNAYCAAD3AwAADgAAAAAAAAABACAAAAAn&#10;AQAAZHJzL2Uyb0RvYy54bWxQSwUGAAAAAAYABgBZAQAAnwUAAAAA&#10;">
                            <v:fill on="f" focussize="0,0"/>
                            <v:stroke color="#000000" joinstyle="round" endarrow="block"/>
                            <v:imagedata o:title=""/>
                            <o:lock v:ext="edit" aspectratio="f"/>
                          </v:line>
                        </w:pict>
                      </mc:Fallback>
                    </mc:AlternateContent>
                  </w:r>
                </w:p>
                <w:p>
                  <w:pPr>
                    <w:ind w:firstLine="0" w:firstLineChars="0"/>
                    <w:jc w:val="center"/>
                  </w:pPr>
                  <w:r>
                    <mc:AlternateContent>
                      <mc:Choice Requires="wps">
                        <w:drawing>
                          <wp:anchor distT="0" distB="0" distL="114300" distR="114300" simplePos="0" relativeHeight="251788288" behindDoc="0" locked="0" layoutInCell="1" allowOverlap="1">
                            <wp:simplePos x="0" y="0"/>
                            <wp:positionH relativeFrom="column">
                              <wp:posOffset>3308985</wp:posOffset>
                            </wp:positionH>
                            <wp:positionV relativeFrom="paragraph">
                              <wp:posOffset>212090</wp:posOffset>
                            </wp:positionV>
                            <wp:extent cx="1496695" cy="276225"/>
                            <wp:effectExtent l="4445" t="4445" r="22860" b="5080"/>
                            <wp:wrapNone/>
                            <wp:docPr id="69" name="文本框 635"/>
                            <wp:cNvGraphicFramePr/>
                            <a:graphic xmlns:a="http://schemas.openxmlformats.org/drawingml/2006/main">
                              <a:graphicData uri="http://schemas.microsoft.com/office/word/2010/wordprocessingShape">
                                <wps:wsp>
                                  <wps:cNvSpPr txBox="1">
                                    <a:spLocks noChangeArrowheads="1"/>
                                  </wps:cNvSpPr>
                                  <wps:spPr bwMode="auto">
                                    <a:xfrm>
                                      <a:off x="0" y="0"/>
                                      <a:ext cx="1496695" cy="276225"/>
                                    </a:xfrm>
                                    <a:prstGeom prst="rect">
                                      <a:avLst/>
                                    </a:prstGeom>
                                    <a:noFill/>
                                    <a:ln w="9525" cmpd="sng">
                                      <a:solidFill>
                                        <a:srgbClr val="000000"/>
                                      </a:solidFill>
                                      <a:prstDash val="dash"/>
                                      <a:miter lim="800000"/>
                                    </a:ln>
                                    <a:effectLst/>
                                  </wps:spPr>
                                  <wps:txbx>
                                    <w:txbxContent>
                                      <w:p>
                                        <w:pPr>
                                          <w:spacing w:line="240" w:lineRule="auto"/>
                                          <w:ind w:firstLine="0" w:firstLineChars="0"/>
                                          <w:jc w:val="center"/>
                                          <w:rPr>
                                            <w:sz w:val="21"/>
                                            <w:szCs w:val="21"/>
                                          </w:rPr>
                                        </w:pPr>
                                        <w:r>
                                          <w:rPr>
                                            <w:rFonts w:hint="eastAsia"/>
                                            <w:sz w:val="21"/>
                                            <w:szCs w:val="21"/>
                                          </w:rPr>
                                          <w:t>金属边角料</w:t>
                                        </w:r>
                                        <w:r>
                                          <w:rPr>
                                            <w:sz w:val="21"/>
                                            <w:szCs w:val="21"/>
                                          </w:rPr>
                                          <w:t>S</w:t>
                                        </w:r>
                                        <w:r>
                                          <w:rPr>
                                            <w:rFonts w:hint="eastAsia"/>
                                            <w:sz w:val="21"/>
                                            <w:szCs w:val="21"/>
                                            <w:vertAlign w:val="subscript"/>
                                          </w:rPr>
                                          <w:t>2</w:t>
                                        </w:r>
                                        <w:r>
                                          <w:rPr>
                                            <w:sz w:val="21"/>
                                            <w:szCs w:val="21"/>
                                          </w:rPr>
                                          <w:t>、噪声N</w:t>
                                        </w:r>
                                      </w:p>
                                    </w:txbxContent>
                                  </wps:txbx>
                                  <wps:bodyPr rot="0" vert="horz" wrap="square" lIns="91440" tIns="45720" rIns="91440" bIns="45720" anchor="t" anchorCtr="0" upright="1">
                                    <a:noAutofit/>
                                  </wps:bodyPr>
                                </wps:wsp>
                              </a:graphicData>
                            </a:graphic>
                          </wp:anchor>
                        </w:drawing>
                      </mc:Choice>
                      <mc:Fallback>
                        <w:pict>
                          <v:shape id="文本框 635" o:spid="_x0000_s1026" o:spt="202" type="#_x0000_t202" style="position:absolute;left:0pt;margin-left:260.55pt;margin-top:16.7pt;height:21.75pt;width:117.85pt;z-index:251788288;mso-width-relative:page;mso-height-relative:page;" filled="f" stroked="t" coordsize="21600,21600" o:gfxdata="UEsDBAoAAAAAAIdO4kAAAAAAAAAAAAAAAAAEAAAAZHJzL1BLAwQUAAAACACHTuJAsScBRNoAAAAJ&#10;AQAADwAAAGRycy9kb3ducmV2LnhtbE2PwU6DQBCG7ya+w2ZMvNmFUqgiSw8mJpqYNtYe7G1hRyBl&#10;Zwm7Lfj2jie9zWS+/PP9xWa2vbjg6DtHCuJFBAKpdqajRsHh4/nuHoQPmozuHaGCb/SwKa+vCp0b&#10;N9E7XvahERxCPtcK2hCGXEpft2i1X7gBiW9fbrQ68Do20ox64nDby2UUZdLqjvhDqwd8arE+7c9W&#10;wfEwVavtNpXz7u0TQ/Lyqk/ro1K3N3H0CCLgHP5g+NVndSjZqXJnMl70CtJlHDOqIElWIBhYpxl3&#10;qXjIHkCWhfzfoPwBUEsDBBQAAAAIAIdO4kAGrU5zWAIAAJIEAAAOAAAAZHJzL2Uyb0RvYy54bWyt&#10;VEtu2zAQ3RfoHQjua9mu7cRC5CC1kaJA+gHSHoCmKIkoyWFJ2lJ6gPYGXXXTfc/lc3RIOqmRbrKo&#10;FgKpmXnz5s2MLi4HrcheOC/BVHQyGlMiDIdamrainz5evzinxAdmaqbAiIreCU8vV8+fXfS2FFPo&#10;QNXCEQQxvuxtRbsQbFkUnndCMz8CKwwaG3CaBby6tqgd6xFdq2I6Hi+KHlxtHXDhPX7dZCM9Irqn&#10;AELTSC42wHdamJBRnVAsYEm+k9bTVWLbNIKH903jRSCqolhpSG9MgudtfBerC1a2jtlO8iMF9hQK&#10;j2rSTBpM+gC1YYGRnZP/QGnJHXhowoiDLnIhSRGsYjJ+pM1tx6xItaDU3j6I7v8fLH+3/+CIrCu6&#10;WFJimMaOH358P/z8ffj1jSxezqNCvfUlOt5adA3DKxhwblK13t4A/+yJgXXHTCuunIO+E6xGhpMY&#10;WZyEZhwfQbb9W6gxE9sFSEBD43SUDwUhiI7duXvojhgC4THlbLlYLOeUcLRNzxbTaSJXsPI+2jof&#10;XgvQJB4q6rD7CZ3tb3yIbFh57xKTGbiWSqUJUIb0FV3OEZJwbVEOb9pcIihZR78Y4V27XStH9iyO&#10;U3pSlWg5dYtJNsx32a/GU54zLQOujpK6ouenwcpEcJHG9cg06halyqKFYTsc+7CF+g4VdJBHGRcZ&#10;Dx24r5T0OMZI/MuOOUGJemOwC8vJbBbnPl1m87MpXtypZXtqYYYjVEUDJfm4DnlXdtbJtsNMue8G&#10;rrBzjUyiRqqZ1bHfOKpJ6+NaxV04vSevv7+S1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xJwFE&#10;2gAAAAkBAAAPAAAAAAAAAAEAIAAAACIAAABkcnMvZG93bnJldi54bWxQSwECFAAUAAAACACHTuJA&#10;Bq1Oc1gCAACSBAAADgAAAAAAAAABACAAAAApAQAAZHJzL2Uyb0RvYy54bWxQSwUGAAAAAAYABgBZ&#10;AQAA8wUAAAAA&#10;">
                            <v:fill on="f" focussize="0,0"/>
                            <v:stroke color="#000000" miterlimit="8" joinstyle="miter" dashstyle="dash"/>
                            <v:imagedata o:title=""/>
                            <o:lock v:ext="edit" aspectratio="f"/>
                            <v:textbox>
                              <w:txbxContent>
                                <w:p>
                                  <w:pPr>
                                    <w:spacing w:line="240" w:lineRule="auto"/>
                                    <w:ind w:firstLine="0" w:firstLineChars="0"/>
                                    <w:jc w:val="center"/>
                                    <w:rPr>
                                      <w:sz w:val="21"/>
                                      <w:szCs w:val="21"/>
                                    </w:rPr>
                                  </w:pPr>
                                  <w:r>
                                    <w:rPr>
                                      <w:rFonts w:hint="eastAsia"/>
                                      <w:sz w:val="21"/>
                                      <w:szCs w:val="21"/>
                                    </w:rPr>
                                    <w:t>金属边角料</w:t>
                                  </w:r>
                                  <w:r>
                                    <w:rPr>
                                      <w:sz w:val="21"/>
                                      <w:szCs w:val="21"/>
                                    </w:rPr>
                                    <w:t>S</w:t>
                                  </w:r>
                                  <w:r>
                                    <w:rPr>
                                      <w:rFonts w:hint="eastAsia"/>
                                      <w:sz w:val="21"/>
                                      <w:szCs w:val="21"/>
                                      <w:vertAlign w:val="subscript"/>
                                    </w:rPr>
                                    <w:t>2</w:t>
                                  </w:r>
                                  <w:r>
                                    <w:rPr>
                                      <w:sz w:val="21"/>
                                      <w:szCs w:val="21"/>
                                    </w:rPr>
                                    <w:t>、噪声N</w:t>
                                  </w:r>
                                </w:p>
                              </w:txbxContent>
                            </v:textbox>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1877060</wp:posOffset>
                            </wp:positionH>
                            <wp:positionV relativeFrom="paragraph">
                              <wp:posOffset>79375</wp:posOffset>
                            </wp:positionV>
                            <wp:extent cx="136525" cy="114300"/>
                            <wp:effectExtent l="3175" t="3810" r="12700" b="15240"/>
                            <wp:wrapNone/>
                            <wp:docPr id="314" name="直线 686"/>
                            <wp:cNvGraphicFramePr/>
                            <a:graphic xmlns:a="http://schemas.openxmlformats.org/drawingml/2006/main">
                              <a:graphicData uri="http://schemas.microsoft.com/office/word/2010/wordprocessingShape">
                                <wps:wsp>
                                  <wps:cNvCnPr>
                                    <a:cxnSpLocks noChangeShapeType="1"/>
                                  </wps:cNvCnPr>
                                  <wps:spPr bwMode="auto">
                                    <a:xfrm>
                                      <a:off x="0" y="0"/>
                                      <a:ext cx="136525" cy="114300"/>
                                    </a:xfrm>
                                    <a:prstGeom prst="line">
                                      <a:avLst/>
                                    </a:prstGeom>
                                    <a:noFill/>
                                    <a:ln w="9525" cmpd="sng">
                                      <a:solidFill>
                                        <a:srgbClr val="000000"/>
                                      </a:solidFill>
                                      <a:prstDash val="dash"/>
                                      <a:round/>
                                      <a:headEnd type="none"/>
                                      <a:tailEnd type="triangle" w="med" len="med"/>
                                    </a:ln>
                                  </wps:spPr>
                                  <wps:bodyPr/>
                                </wps:wsp>
                              </a:graphicData>
                            </a:graphic>
                          </wp:anchor>
                        </w:drawing>
                      </mc:Choice>
                      <mc:Fallback>
                        <w:pict>
                          <v:line id="直线 686" o:spid="_x0000_s1026" o:spt="20" style="position:absolute;left:0pt;margin-left:147.8pt;margin-top:6.25pt;height:9pt;width:10.75pt;z-index:251695104;mso-width-relative:page;mso-height-relative:page;" filled="f" stroked="t" coordsize="21600,21600" o:gfxdata="UEsDBAoAAAAAAIdO4kAAAAAAAAAAAAAAAAAEAAAAZHJzL1BLAwQUAAAACACHTuJAS+e+VtoAAAAJ&#10;AQAADwAAAGRycy9kb3ducmV2LnhtbE2Py07DMBBF90j8gzVIbBC1kyoBQpwK8VixoE27YDmNp0kg&#10;tqPYfcDXM6xgN6N7dOdMuTjZQRxoCr13GpKZAkGu8aZ3rYbN+uX6FkSI6AwO3pGGLwqwqM7PSiyM&#10;P7oVHerYCi5xoUANXYxjIWVoOrIYZn4kx9nOTxYjr1MrzYRHLreDTJXKpcXe8YUOR3rsqPms91ZD&#10;/v6GD7t6mS3H1XMzr7+f/NXrh9aXF4m6BxHpFP9g+NVndajYaev3zgQxaEjvspxRDtIMBAPz5CYB&#10;seVBZSCrUv7/oPoBUEsDBBQAAAAIAIdO4kDXRrplEgIAABIEAAAOAAAAZHJzL2Uyb0RvYy54bWyt&#10;U0tu2zAQ3RfoHQjua0l2YiSC5Szsppu0NZD0AGOSkojyB5K27LP0Gl110+PkGh1SjpOmmyyqhUDO&#10;5828N8PFzUErshc+SGsaWk1KSoRhlkvTNfTbw+2HK0pCBMNBWSMaehSB3izfv1sMrhZT21vFhScI&#10;YkI9uIb2Mbq6KALrhYYwsU4YdLbWa4h49V3BPQyIrlUxLct5MVjPnbdMhIDW9eikJ0T/FkDbtpKJ&#10;tWU7LUwcUb1QEJFS6KULdJm7bVvB4te2DSIS1VBkGvMfi+B5m/7FcgF158H1kp1agLe08IqTBmmw&#10;6BlqDRHIzst/oLRk3gbbxgmzuhiJZEWQRVW+0ua+BycyF5Q6uLPo4f/Bsi/7jSeSN3RWXVBiQOPI&#10;H3/8fPz1m8yv5kmfwYUaw1Zm4xNDdjD37s6y74EYu+rBdCL3+XB0mFqljOKvlHQJDqtsh8+WYwzs&#10;os1iHVqvEyTKQA55JsfzTMQhEobGaja/nF5SwtBVVRezMs+sgPop2fkQPwmrSTo0VEmTJIMa9nch&#10;pmagfgpJZmNvpVJ57MqQoaHXI7x2qEEwXc4NVkme4lJG8N12pTzZQ9qh/GWS6HkZloqsIfRjHMfT&#10;uFze7gzP9XoB/KPhJGalDL6uMSKCVM/26CVqqgRNzWnBKVECH2o6jWyUOSmcRB3Hs7X8uPHJncTG&#10;Vcm0T2uddvHlPUc9P+Xl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vnvlbaAAAACQEAAA8AAAAA&#10;AAAAAQAgAAAAIgAAAGRycy9kb3ducmV2LnhtbFBLAQIUABQAAAAIAIdO4kDXRrplEgIAABIEAAAO&#10;AAAAAAAAAAEAIAAAACkBAABkcnMvZTJvRG9jLnhtbFBLBQYAAAAABgAGAFkBAACtBQAAAAA=&#10;">
                            <v:fill on="f" focussize="0,0"/>
                            <v:stroke color="#000000" joinstyle="round" dashstyle="dash" endarrow="block"/>
                            <v:imagedata o:title=""/>
                            <o:lock v:ext="edit" aspectratio="f"/>
                          </v:lin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4020185</wp:posOffset>
                            </wp:positionH>
                            <wp:positionV relativeFrom="paragraph">
                              <wp:posOffset>69850</wp:posOffset>
                            </wp:positionV>
                            <wp:extent cx="136525" cy="114300"/>
                            <wp:effectExtent l="3175" t="3810" r="12700" b="15240"/>
                            <wp:wrapNone/>
                            <wp:docPr id="313" name="直线 689"/>
                            <wp:cNvGraphicFramePr/>
                            <a:graphic xmlns:a="http://schemas.openxmlformats.org/drawingml/2006/main">
                              <a:graphicData uri="http://schemas.microsoft.com/office/word/2010/wordprocessingShape">
                                <wps:wsp>
                                  <wps:cNvCnPr>
                                    <a:cxnSpLocks noChangeShapeType="1"/>
                                  </wps:cNvCnPr>
                                  <wps:spPr bwMode="auto">
                                    <a:xfrm>
                                      <a:off x="0" y="0"/>
                                      <a:ext cx="136525" cy="114300"/>
                                    </a:xfrm>
                                    <a:prstGeom prst="line">
                                      <a:avLst/>
                                    </a:prstGeom>
                                    <a:noFill/>
                                    <a:ln w="9525" cmpd="sng">
                                      <a:solidFill>
                                        <a:srgbClr val="000000"/>
                                      </a:solidFill>
                                      <a:prstDash val="dash"/>
                                      <a:round/>
                                      <a:headEnd type="none"/>
                                      <a:tailEnd type="triangle" w="med" len="med"/>
                                    </a:ln>
                                  </wps:spPr>
                                  <wps:bodyPr/>
                                </wps:wsp>
                              </a:graphicData>
                            </a:graphic>
                          </wp:anchor>
                        </w:drawing>
                      </mc:Choice>
                      <mc:Fallback>
                        <w:pict>
                          <v:line id="直线 689" o:spid="_x0000_s1026" o:spt="20" style="position:absolute;left:0pt;margin-left:316.55pt;margin-top:5.5pt;height:9pt;width:10.75pt;z-index:251696128;mso-width-relative:page;mso-height-relative:page;" filled="f" stroked="t" coordsize="21600,21600" o:gfxdata="UEsDBAoAAAAAAIdO4kAAAAAAAAAAAAAAAAAEAAAAZHJzL1BLAwQUAAAACACHTuJATGNz0tkAAAAJ&#10;AQAADwAAAGRycy9kb3ducmV2LnhtbE2Py07DMBBF90j8gzVIbBB10tAIQpwK8VixoA0sWE7jaRKI&#10;x1HsPuDrGVawHN2rM+eWy6Mb1J6m0Hs2kM4SUMSNtz23Bt5eny6vQYWIbHHwTAa+KMCyOj0psbD+&#10;wGva17FVAuFQoIEuxrHQOjQdOQwzPxJLtvWTwyjn1Go74UHgbtDzJMm1w57lQ4cj3XfUfNY7ZyB/&#10;f8G7bb1arMb1Y5PV3w/+4vnDmPOzNLkFFekY/8rwqy/qUInTxu/YBjUII8tSqUqQyiYp5IurHNTG&#10;wPwmAV2V+v+C6gdQSwMEFAAAAAgAh07iQC2iX8ISAgAAEgQAAA4AAABkcnMvZTJvRG9jLnhtbK1T&#10;S27bMBDdF+gdCO5rSXZjJILlLOymm7Q1kOQAY5KSiPIHkrbss/QaXXXT4+QaHVKOk6abLKqFQM7n&#10;zbw3w8X1QSuyFz5IaxpaTUpKhGGWS9M19OH+5sMlJSGC4aCsEQ09ikCvl+/fLQZXi6ntreLCEwQx&#10;oR5cQ/sYXV0UgfVCQ5hYJww6W+s1RLz6ruAeBkTXqpiW5bwYrOfOWyZCQOt6dNITon8LoG1bycTa&#10;sp0WJo6oXiiISCn00gW6zN22rWDxW9sGEYlqKDKN+Y9F8LxN/2K5gLrz4HrJTi3AW1p4xUmDNFj0&#10;DLWGCGTn5T9QWjJvg23jhFldjESyIsiiKl9pc9eDE5kLSh3cWfTw/2DZ1/3GE8kbOqtmlBjQOPLH&#10;Hz8ff/0m88urpM/gQo1hK7PxiSE7mDt3a9n3QIxd9WA6kfu8PzpMrVJG8VdKugSHVbbDF8sxBnbR&#10;ZrEOrdcJEmUghzyT43km4hAJQ2M1m19MLyhh6Kqqj7Myz6yA+inZ+RA/C6tJOjRUSZMkgxr2tyGm&#10;ZqB+CklmY2+kUnnsypChoVcjvHaoQTBdzg1WSZ7iUkbw3XalPNlD2qH8ZZLoeRmWiqwh9GMcx9O4&#10;XN7uDM/1egH8k+EkZqUMvq4xIoJUz/boJWqqBE3NacEpUQIfajqNbJQ5KZxEHceztfy48cmdxMZV&#10;ybRPa5128eU9Rz0/5e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GNz0tkAAAAJAQAADwAAAAAA&#10;AAABACAAAAAiAAAAZHJzL2Rvd25yZXYueG1sUEsBAhQAFAAAAAgAh07iQC2iX8ISAgAAEgQAAA4A&#10;AAAAAAAAAQAgAAAAKAEAAGRycy9lMm9Eb2MueG1sUEsFBgAAAAAGAAYAWQEAAKwFAAAAAA==&#10;">
                            <v:fill on="f" focussize="0,0"/>
                            <v:stroke color="#000000" joinstyle="round" dashstyle="dash" endarrow="block"/>
                            <v:imagedata o:title=""/>
                            <o:lock v:ext="edit" aspectratio="f"/>
                          </v:lin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842645</wp:posOffset>
                            </wp:positionH>
                            <wp:positionV relativeFrom="paragraph">
                              <wp:posOffset>240665</wp:posOffset>
                            </wp:positionV>
                            <wp:extent cx="1734820" cy="276225"/>
                            <wp:effectExtent l="4445" t="4445" r="13335" b="5080"/>
                            <wp:wrapNone/>
                            <wp:docPr id="311" name="文本框 635"/>
                            <wp:cNvGraphicFramePr/>
                            <a:graphic xmlns:a="http://schemas.openxmlformats.org/drawingml/2006/main">
                              <a:graphicData uri="http://schemas.microsoft.com/office/word/2010/wordprocessingShape">
                                <wps:wsp>
                                  <wps:cNvSpPr txBox="1">
                                    <a:spLocks noChangeArrowheads="1"/>
                                  </wps:cNvSpPr>
                                  <wps:spPr bwMode="auto">
                                    <a:xfrm>
                                      <a:off x="0" y="0"/>
                                      <a:ext cx="1734820" cy="276225"/>
                                    </a:xfrm>
                                    <a:prstGeom prst="rect">
                                      <a:avLst/>
                                    </a:prstGeom>
                                    <a:noFill/>
                                    <a:ln w="9525" cmpd="sng">
                                      <a:solidFill>
                                        <a:srgbClr val="000000"/>
                                      </a:solidFill>
                                      <a:prstDash val="dash"/>
                                      <a:miter lim="800000"/>
                                    </a:ln>
                                    <a:effectLst/>
                                  </wps:spPr>
                                  <wps:txbx>
                                    <w:txbxContent>
                                      <w:p>
                                        <w:pPr>
                                          <w:spacing w:line="240" w:lineRule="auto"/>
                                          <w:ind w:firstLine="0" w:firstLineChars="0"/>
                                          <w:jc w:val="center"/>
                                          <w:rPr>
                                            <w:sz w:val="21"/>
                                            <w:szCs w:val="21"/>
                                          </w:rPr>
                                        </w:pPr>
                                        <w:r>
                                          <w:rPr>
                                            <w:rFonts w:hint="eastAsia"/>
                                            <w:sz w:val="21"/>
                                            <w:szCs w:val="21"/>
                                          </w:rPr>
                                          <w:t>金属边角料</w:t>
                                        </w:r>
                                        <w:r>
                                          <w:rPr>
                                            <w:sz w:val="21"/>
                                            <w:szCs w:val="21"/>
                                          </w:rPr>
                                          <w:t>S</w:t>
                                        </w:r>
                                        <w:r>
                                          <w:rPr>
                                            <w:rFonts w:hint="eastAsia"/>
                                            <w:sz w:val="21"/>
                                            <w:szCs w:val="21"/>
                                            <w:vertAlign w:val="subscript"/>
                                          </w:rPr>
                                          <w:t>2</w:t>
                                        </w:r>
                                        <w:r>
                                          <w:rPr>
                                            <w:sz w:val="21"/>
                                            <w:szCs w:val="21"/>
                                          </w:rPr>
                                          <w:t>、噪声N</w:t>
                                        </w:r>
                                      </w:p>
                                    </w:txbxContent>
                                  </wps:txbx>
                                  <wps:bodyPr rot="0" vert="horz" wrap="square" lIns="91440" tIns="45720" rIns="91440" bIns="45720" anchor="t" anchorCtr="0" upright="1">
                                    <a:noAutofit/>
                                  </wps:bodyPr>
                                </wps:wsp>
                              </a:graphicData>
                            </a:graphic>
                          </wp:anchor>
                        </w:drawing>
                      </mc:Choice>
                      <mc:Fallback>
                        <w:pict>
                          <v:shape id="文本框 635" o:spid="_x0000_s1026" o:spt="202" type="#_x0000_t202" style="position:absolute;left:0pt;margin-left:66.35pt;margin-top:18.95pt;height:21.75pt;width:136.6pt;z-index:251687936;mso-width-relative:page;mso-height-relative:page;" filled="f" stroked="t" coordsize="21600,21600" o:gfxdata="UEsDBAoAAAAAAIdO4kAAAAAAAAAAAAAAAAAEAAAAZHJzL1BLAwQUAAAACACHTuJAtChVs9kAAAAJ&#10;AQAADwAAAGRycy9kb3ducmV2LnhtbE2PwU6DQBCG7ya+w2ZMvNldCpWKLD2YmGhi2lh7sLcBRiBl&#10;dwm7Lfj2jie9zZ/58s83+WY2vbjQ6DtnNUQLBYJs5erONhoOH893axA+oK2xd5Y0fJOHTXF9lWNW&#10;u8m+02UfGsEl1meooQ1hyKT0VUsG/cINZHn35UaDgePYyHrEictNL5dK3UuDneULLQ701FJ12p+N&#10;huNhKpPtdiXn3dsnhfjlFU/pUevbm0g9ggg0hz8YfvVZHQp2Kt3Z1l70nONlyqiGOH0AwUCiVjyU&#10;GtZRArLI5f8Pih9QSwMEFAAAAAgAh07iQDhgXbBZAgAAkwQAAA4AAABkcnMvZTJvRG9jLnhtbK1U&#10;S27bMBDdF+gdCO4b2Y4TO4LlII2RokD6AdIegKYoiSjJYUnaknuA5gZdddN9z5VzdEg6rpFusqgW&#10;AqmZefPmzYwWl4NWZCucl2AqOj4ZUSIMh1qatqKfP928mlPiAzM1U2BERXfC08vlyxeL3pZiAh2o&#10;WjiCIMaXva1oF4Iti8LzTmjmT8AKg8YGnGYBr64tasd6RNeqmIxG50UPrrYOuPAev66yke4R3XMA&#10;oWkkFyvgGy1MyKhOKBawJN9J6+kysW0awcOHpvEiEFVRrDSkNybB8zq+i+WCla1jtpN8T4E9h8KT&#10;mjSTBpMeoFYsMLJx8h8oLbkDD0044aCLXEhSBKsYj55oc9cxK1ItKLW3B9H9/4Pl77cfHZF1RU/H&#10;Y0oM09jyhx/3Dz9/P/z6Ts5Pz6JEvfUlet5Z9A3DaxhwcFK53t4C/+KJgeuOmVZcOQd9J1iNFMcx&#10;sjgKzTg+gqz7d1BjJrYJkICGxumoHypCEB3bszu0RwyB8JhydjqdT9DE0TaZnU8miVzBysdo63x4&#10;I0CTeKiow/YndLa99SGyYeWjS0xm4EYqlUZAGdJX9OIMIQnXFvXwps0lgpJ19IsR3rXra+XIlsV5&#10;Sk+qEi3HbjHJivku+9V4yoOmZcDdUVJXdH4crEwEF2le90yjblGqLFoY1sO+D2uod6iggzzLuMl4&#10;6MB9o6THOUbiXzfMCUrUW4NduBhPp3Hw02V6Nov6uWPL+tjCDEeoigZK8vE65GXZWCfbDjPlvhu4&#10;ws41MokaqWZW+37jrCat93sVl+H4nrz+/ku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0KFWz&#10;2QAAAAkBAAAPAAAAAAAAAAEAIAAAACIAAABkcnMvZG93bnJldi54bWxQSwECFAAUAAAACACHTuJA&#10;OGBdsFkCAACTBAAADgAAAAAAAAABACAAAAAoAQAAZHJzL2Uyb0RvYy54bWxQSwUGAAAAAAYABgBZ&#10;AQAA8wUAAAAA&#10;">
                            <v:fill on="f" focussize="0,0"/>
                            <v:stroke color="#000000" miterlimit="8" joinstyle="miter" dashstyle="dash"/>
                            <v:imagedata o:title=""/>
                            <o:lock v:ext="edit" aspectratio="f"/>
                            <v:textbox>
                              <w:txbxContent>
                                <w:p>
                                  <w:pPr>
                                    <w:spacing w:line="240" w:lineRule="auto"/>
                                    <w:ind w:firstLine="0" w:firstLineChars="0"/>
                                    <w:jc w:val="center"/>
                                    <w:rPr>
                                      <w:sz w:val="21"/>
                                      <w:szCs w:val="21"/>
                                    </w:rPr>
                                  </w:pPr>
                                  <w:r>
                                    <w:rPr>
                                      <w:rFonts w:hint="eastAsia"/>
                                      <w:sz w:val="21"/>
                                      <w:szCs w:val="21"/>
                                    </w:rPr>
                                    <w:t>金属边角料</w:t>
                                  </w:r>
                                  <w:r>
                                    <w:rPr>
                                      <w:sz w:val="21"/>
                                      <w:szCs w:val="21"/>
                                    </w:rPr>
                                    <w:t>S</w:t>
                                  </w:r>
                                  <w:r>
                                    <w:rPr>
                                      <w:rFonts w:hint="eastAsia"/>
                                      <w:sz w:val="21"/>
                                      <w:szCs w:val="21"/>
                                      <w:vertAlign w:val="subscript"/>
                                    </w:rPr>
                                    <w:t>2</w:t>
                                  </w:r>
                                  <w:r>
                                    <w:rPr>
                                      <w:sz w:val="21"/>
                                      <w:szCs w:val="21"/>
                                    </w:rPr>
                                    <w:t>、噪声N</w:t>
                                  </w:r>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991235</wp:posOffset>
                            </wp:positionH>
                            <wp:positionV relativeFrom="paragraph">
                              <wp:posOffset>69850</wp:posOffset>
                            </wp:positionV>
                            <wp:extent cx="136525" cy="114300"/>
                            <wp:effectExtent l="3175" t="3810" r="12700" b="15240"/>
                            <wp:wrapNone/>
                            <wp:docPr id="310" name="直线 640"/>
                            <wp:cNvGraphicFramePr/>
                            <a:graphic xmlns:a="http://schemas.openxmlformats.org/drawingml/2006/main">
                              <a:graphicData uri="http://schemas.microsoft.com/office/word/2010/wordprocessingShape">
                                <wps:wsp>
                                  <wps:cNvCnPr>
                                    <a:cxnSpLocks noChangeShapeType="1"/>
                                  </wps:cNvCnPr>
                                  <wps:spPr bwMode="auto">
                                    <a:xfrm>
                                      <a:off x="0" y="0"/>
                                      <a:ext cx="136525" cy="114300"/>
                                    </a:xfrm>
                                    <a:prstGeom prst="line">
                                      <a:avLst/>
                                    </a:prstGeom>
                                    <a:noFill/>
                                    <a:ln w="9525" cmpd="sng">
                                      <a:solidFill>
                                        <a:srgbClr val="000000"/>
                                      </a:solidFill>
                                      <a:prstDash val="dash"/>
                                      <a:round/>
                                      <a:headEnd type="none"/>
                                      <a:tailEnd type="triangle" w="med" len="med"/>
                                    </a:ln>
                                    <a:effectLst/>
                                  </wps:spPr>
                                  <wps:bodyPr/>
                                </wps:wsp>
                              </a:graphicData>
                            </a:graphic>
                          </wp:anchor>
                        </w:drawing>
                      </mc:Choice>
                      <mc:Fallback>
                        <w:pict>
                          <v:line id="直线 640" o:spid="_x0000_s1026" o:spt="20" style="position:absolute;left:0pt;margin-left:78.05pt;margin-top:5.5pt;height:9pt;width:10.75pt;z-index:251679744;mso-width-relative:page;mso-height-relative:page;" filled="f" stroked="t" coordsize="21600,21600" o:gfxdata="UEsDBAoAAAAAAIdO4kAAAAAAAAAAAAAAAAAEAAAAZHJzL1BLAwQUAAAACACHTuJA9ZUH/dgAAAAJ&#10;AQAADwAAAGRycy9kb3ducmV2LnhtbE2Pu07DQBBFeyT+YTVINIjsOigOGK8jxKOiSGIoKCf2xDZ4&#10;Zy3v5gFfz6SCbq7m6D7yxdH1ak9j6DxbSCYGFHHl644bC+9vL9e3oEJErrH3TBa+KcCiOD/LMav9&#10;gde0L2OjxIRDhhbaGIdM61C15DBM/EAsv60fHUaRY6PrEQ9i7no9NSbVDjuWhBYHemyp+ip3zkL6&#10;scSHbbmarYb1c3VT/jz5q9dPay8vEnMPKtIx/sFwqi/VoZBOG7/jOqhe9CxNBJUjkU0nYD5PQW0s&#10;TO8M6CLX/xcUv1BLAwQUAAAACACHTuJAUhIfuhcCAAAgBAAADgAAAGRycy9lMm9Eb2MueG1srVNL&#10;btswEN0X6B0I7htZzgetYDmLuOkmbQ0kPcCYpCyi/IFDW/ZZeo2uuulxco0OKdtJ000W1ULgkG/e&#10;zHsczq531rCtiqi9a3l9NuFMOeGlduuWf3u4ffeeM0zgJBjvVMv3Cvn1/O2b2RAaNfW9N1JFRiQO&#10;myG0vE8pNFWFolcW8MwH5eiw89FCojCuKxlhIHZrqulkclUNPsoQvVCItLsYD/mBMb6G0HedFmrh&#10;xcYql0bWqAwkkoS9DsjnpduuUyJ97TpUiZmWk9JU/lSE1qv8r+YzaNYRQq/FoQV4TQsvNFnQjoqe&#10;qBaQgG2i/ofKahE9+i6dCW+rUUhxhFTUkxfe3PcQVNFCVmM4mY7/j1Z82S4j07Ll5zV54sDSlT/+&#10;+Pn46ze7uij+DAEbgt24ZcwKxc7dhzsvviNz/qYHt1alz4d9oNQ6O1r9lZIDDFRlNXz2kjCwSb6Y&#10;teuizZRkA9uVO9mf7kTtEhO0WZ9fXU4vORN0VNcX55PSUwXNMTlETJ+UtywvWm60y5ZBA9s7TLkZ&#10;aI6QvO38rTamXLtxbGj5h5HeBvIA3brkojdaZlzOwLhe3ZjItpBnqHxFJJ08h+UiC8B+xElajcMV&#10;/cbJUq9XID86yVJxytHrGhEJtHnaT1GTp0bx3JxVkjOj6KHm1ajGuNyVKsN9kHi0OI89Nisv98uY&#10;wTmiwSkmHIY8T+bzuKCeHvb8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WVB/3YAAAACQEAAA8A&#10;AAAAAAAAAQAgAAAAIgAAAGRycy9kb3ducmV2LnhtbFBLAQIUABQAAAAIAIdO4kBSEh+6FwIAACAE&#10;AAAOAAAAAAAAAAEAIAAAACcBAABkcnMvZTJvRG9jLnhtbFBLBQYAAAAABgAGAFkBAACwBQAAAAA=&#10;">
                            <v:fill on="f" focussize="0,0"/>
                            <v:stroke color="#000000" joinstyle="round" dashstyle="dash" endarrow="block"/>
                            <v:imagedata o:title=""/>
                            <o:lock v:ext="edit" aspectratio="f"/>
                          </v:line>
                        </w:pict>
                      </mc:Fallback>
                    </mc:AlternateContent>
                  </w:r>
                </w:p>
                <w:p>
                  <w:pPr>
                    <w:pStyle w:val="19"/>
                  </w:pPr>
                </w:p>
                <w:p>
                  <w:pPr>
                    <w:ind w:firstLine="480"/>
                  </w:pPr>
                </w:p>
                <w:p>
                  <w:pPr>
                    <w:pStyle w:val="2"/>
                    <w:ind w:left="480" w:firstLine="260"/>
                  </w:pPr>
                  <w:r>
                    <w:rPr>
                      <w:sz w:val="13"/>
                      <w:szCs w:val="13"/>
                    </w:rPr>
                    <mc:AlternateContent>
                      <mc:Choice Requires="wps">
                        <w:drawing>
                          <wp:anchor distT="0" distB="0" distL="114300" distR="114300" simplePos="0" relativeHeight="251565056" behindDoc="1" locked="0" layoutInCell="1" allowOverlap="1">
                            <wp:simplePos x="0" y="0"/>
                            <wp:positionH relativeFrom="column">
                              <wp:posOffset>181610</wp:posOffset>
                            </wp:positionH>
                            <wp:positionV relativeFrom="paragraph">
                              <wp:posOffset>16510</wp:posOffset>
                            </wp:positionV>
                            <wp:extent cx="635" cy="467995"/>
                            <wp:effectExtent l="37465" t="0" r="38100" b="8255"/>
                            <wp:wrapNone/>
                            <wp:docPr id="309" name="直线 839"/>
                            <wp:cNvGraphicFramePr/>
                            <a:graphic xmlns:a="http://schemas.openxmlformats.org/drawingml/2006/main">
                              <a:graphicData uri="http://schemas.microsoft.com/office/word/2010/wordprocessingShape">
                                <wps:wsp>
                                  <wps:cNvCnPr>
                                    <a:cxnSpLocks noChangeShapeType="1"/>
                                  </wps:cNvCnPr>
                                  <wps:spPr bwMode="auto">
                                    <a:xfrm>
                                      <a:off x="0" y="0"/>
                                      <a:ext cx="635" cy="467995"/>
                                    </a:xfrm>
                                    <a:prstGeom prst="line">
                                      <a:avLst/>
                                    </a:prstGeom>
                                    <a:noFill/>
                                    <a:ln w="9525" cmpd="sng">
                                      <a:solidFill>
                                        <a:srgbClr val="000000"/>
                                      </a:solidFill>
                                      <a:round/>
                                      <a:headEnd type="none"/>
                                      <a:tailEnd type="triangle" w="med" len="med"/>
                                    </a:ln>
                                    <a:effectLst/>
                                  </wps:spPr>
                                  <wps:bodyPr/>
                                </wps:wsp>
                              </a:graphicData>
                            </a:graphic>
                          </wp:anchor>
                        </w:drawing>
                      </mc:Choice>
                      <mc:Fallback>
                        <w:pict>
                          <v:line id="直线 839" o:spid="_x0000_s1026" o:spt="20" style="position:absolute;left:0pt;margin-left:14.3pt;margin-top:1.3pt;height:36.85pt;width:0.05pt;z-index:-251751424;mso-width-relative:page;mso-height-relative:page;" filled="f" stroked="t" coordsize="21600,21600" o:gfxdata="UEsDBAoAAAAAAIdO4kAAAAAAAAAAAAAAAAAEAAAAZHJzL1BLAwQUAAAACACHTuJAbwpUU9YAAAAG&#10;AQAADwAAAGRycy9kb3ducmV2LnhtbE2OQUvDQBSE74L/YXmCN7tJhHSJ2fQg1Eur0lZEb9vsMwlm&#10;34bspo3/3uepnoZhhpmvXM2uFyccQ+dJQ7pIQCDV3nbUaHg7rO8UiBANWdN7Qg0/GGBVXV+VprD+&#10;TDs87WMjeIRCYTS0MQ6FlKFu0Zmw8AMSZ19+dCayHRtpR3PmcdfLLEly6UxH/NCaAR9brL/3k9Ow&#10;26436n0zzfX4+ZS+HF63zx9BaX17kyYPICLO8VKGP3xGh4qZjn4iG0SvIVM5N1lZOM7UEsRRwzK/&#10;B1mV8j9+9QtQSwMEFAAAAAgAh07iQI8h8dwLAgAABQQAAA4AAABkcnMvZTJvRG9jLnhtbK1TS3IT&#10;MRDdU8UdVNrjcRIc4qmMs7AJmwCuSjhAW+qZUaFfSbLHPgvXYMWG4+QatORPSNhkwSxUUs/rp36v&#10;W9c3W6PZBkNUzjb8bDTmDK1wUtmu4d8ebt9dcRYTWAnaWWz4DiO/mb19cz34Gs9d77TEwIjExnrw&#10;De9T8nVVRdGjgThyHi39bF0wkOgYukoGGIjd6Op8PL6sBhekD05gjBRd7H/yA2N4DaFrWyVw4cTa&#10;oE171oAaEkmKvfKRz0q1bYsifW3biInphpPSVFa6hParvFaza6i7AL5X4lACvKaEF5oMKEuXnqgW&#10;kICtg/qHyigRXHRtGglnqr2Q4gipOBu/8Oa+B49FC1kd/cn0+P9oxZfNMjAlG34xnnJmwVDLH3/8&#10;fPz1m11dTLM/g481weZ2GbJCsbX3/s6J75FZN+/BdljqfNh5Sj3LGdWzlHyInm5ZDZ+dJAyskytm&#10;bdtgMiXZwLalJ7tTT3CbmKDg5cWEM0Hx95cfptNJoYf6mOlDTJ/QGZY3DdfKZr+ghs1dTLkSqI+Q&#10;HLbuVmldeq4tGxo+nZxneuPJgGi7khudVjLjckYM3WquA9tAHqDyHUp4BgtubWXh7RHkRytZKnZY&#10;ekIZD3UCpZ/iKSgyTiPPRRiUnGmk15h3+6q1zUlYJvgg5ejjviMrJ3fLkME5TtNRxB4mOY/f3+eC&#10;enq9s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vClRT1gAAAAYBAAAPAAAAAAAAAAEAIAAAACIA&#10;AABkcnMvZG93bnJldi54bWxQSwECFAAUAAAACACHTuJAjyHx3AsCAAAFBAAADgAAAAAAAAABACAA&#10;AAAlAQAAZHJzL2Uyb0RvYy54bWxQSwUGAAAAAAYABgBZAQAAogUAAAAA&#10;">
                            <v:fill on="f" focussize="0,0"/>
                            <v:stroke color="#000000" joinstyle="round" endarrow="block"/>
                            <v:imagedata o:title=""/>
                            <o:lock v:ext="edit" aspectratio="f"/>
                          </v:line>
                        </w:pict>
                      </mc:Fallback>
                    </mc:AlternateContent>
                  </w:r>
                  <w:r>
                    <w:rPr>
                      <w:sz w:val="13"/>
                      <w:szCs w:val="13"/>
                    </w:rPr>
                    <mc:AlternateContent>
                      <mc:Choice Requires="wps">
                        <w:drawing>
                          <wp:anchor distT="0" distB="0" distL="114300" distR="114300" simplePos="0" relativeHeight="251564032" behindDoc="1" locked="0" layoutInCell="1" allowOverlap="1">
                            <wp:simplePos x="0" y="0"/>
                            <wp:positionH relativeFrom="column">
                              <wp:posOffset>257810</wp:posOffset>
                            </wp:positionH>
                            <wp:positionV relativeFrom="paragraph">
                              <wp:posOffset>17145</wp:posOffset>
                            </wp:positionV>
                            <wp:extent cx="5133340" cy="635"/>
                            <wp:effectExtent l="0" t="37465" r="10160" b="38100"/>
                            <wp:wrapNone/>
                            <wp:docPr id="308" name="直线 838"/>
                            <wp:cNvGraphicFramePr/>
                            <a:graphic xmlns:a="http://schemas.openxmlformats.org/drawingml/2006/main">
                              <a:graphicData uri="http://schemas.microsoft.com/office/word/2010/wordprocessingShape">
                                <wps:wsp>
                                  <wps:cNvCnPr>
                                    <a:cxnSpLocks noChangeShapeType="1"/>
                                  </wps:cNvCnPr>
                                  <wps:spPr bwMode="auto">
                                    <a:xfrm flipH="1">
                                      <a:off x="0" y="0"/>
                                      <a:ext cx="5133340" cy="635"/>
                                    </a:xfrm>
                                    <a:prstGeom prst="line">
                                      <a:avLst/>
                                    </a:prstGeom>
                                    <a:noFill/>
                                    <a:ln w="9525" cmpd="sng">
                                      <a:solidFill>
                                        <a:srgbClr val="000000"/>
                                      </a:solidFill>
                                      <a:round/>
                                      <a:headEnd type="none"/>
                                      <a:tailEnd type="triangle" w="med" len="med"/>
                                    </a:ln>
                                    <a:effectLst/>
                                  </wps:spPr>
                                  <wps:bodyPr/>
                                </wps:wsp>
                              </a:graphicData>
                            </a:graphic>
                          </wp:anchor>
                        </w:drawing>
                      </mc:Choice>
                      <mc:Fallback>
                        <w:pict>
                          <v:line id="直线 838" o:spid="_x0000_s1026" o:spt="20" style="position:absolute;left:0pt;flip:x;margin-left:20.3pt;margin-top:1.35pt;height:0.05pt;width:404.2pt;z-index:-251752448;mso-width-relative:page;mso-height-relative:page;" filled="f" stroked="t" coordsize="21600,21600" o:gfxdata="UEsDBAoAAAAAAIdO4kAAAAAAAAAAAAAAAAAEAAAAZHJzL1BLAwQUAAAACACHTuJAmP07SNYAAAAG&#10;AQAADwAAAGRycy9kb3ducmV2LnhtbE2PwU7DMBBE70j8g7VI3KidKpQ0xOkBgcQJQYuQuLnxkoTG&#10;62C7TeHr2Z7gOJrRzJtqdXSDOGCIvScN2UyBQGq87anV8Lp5uCpAxGTImsETavjGCKv6/KwypfUT&#10;veBhnVrBJRRLo6FLaSyljE2HzsSZH5HY+/DBmcQytNIGM3G5G+RcqYV0pide6MyIdx02u/XeaVhu&#10;pmv/HHZvedZ/vf/cf6bx8SlpfXmRqVsQCY/pLwwnfEaHmpm2fk82ikFDrhac1DC/AcF2kS/52pZ1&#10;AbKu5H/8+hdQSwMEFAAAAAgAh07iQJIRkV4TAgAAEAQAAA4AAABkcnMvZTJvRG9jLnhtbK1TS3IT&#10;MRDdU8UdVNrj8QenwpTHWdgEFgFclXAAWdJ4VEhqlSR77LNwDVZsOE6uQbdsbBI2WTCLKanV76nf&#10;69bsZu8s2+mYDPiGjwZDzrSXoIzfNPzrw+2ba85SFl4JC143/KATv5m/fjXrQ63H0IFVOjIk8anu&#10;Q8O7nENdVUl22ok0gKA9HrYQnci4jZtKRdEju7PVeDi8qnqIKkSQOiWMLo+H/MQYX0IIbWukXoLc&#10;Ou3zkTVqKzJKSp0Jic9LtW2rZf7StklnZhuOSnP54yW4XtO/ms9EvYkidEaeShAvKeGZJieMx0vP&#10;VEuRBdtG8w+VMzJCgjYPJLjqKKQ4gipGw2fe3Hci6KIFrU7hbHr6f7Ty824VmVENnwyx8V44bPnj&#10;9x+PP3+x68k1+dOHVGPawq8iKZR7fx/uQH5LzMOiE36jS50Ph4DQESGqJxDapIC3rPtPoDBHbDMU&#10;s/ZtdKy1JnwkIJGjIWxfunM4d0fvM5MYnI4mk8lbbJzEs6vJtNwkaiIhaIgpf9DgGC0abo0n60Qt&#10;dncpU1GXFAp7uDXWlvZbz/qGv5uOp8jtAnqR/KZgE1ijKI8QKW7WCxvZTtAsle9UwpO0CFuvCm+n&#10;hXrvFcvFGY+vifJFnYWxl3iOBj20mlMRTivOrMaHSatj1dYTSJdhPkn5Y+mxOWtQh1WkZIrjoBSx&#10;p6GmSfx7X7IuD3n+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j9O0jWAAAABgEAAA8AAAAAAAAA&#10;AQAgAAAAIgAAAGRycy9kb3ducmV2LnhtbFBLAQIUABQAAAAIAIdO4kCSEZFeEwIAABAEAAAOAAAA&#10;AAAAAAEAIAAAACUBAABkcnMvZTJvRG9jLnhtbFBLBQYAAAAABgAGAFkBAACqBQAAAAA=&#10;">
                            <v:fill on="f" focussize="0,0"/>
                            <v:stroke color="#000000" joinstyle="round" endarrow="block"/>
                            <v:imagedata o:title=""/>
                            <o:lock v:ext="edit" aspectratio="f"/>
                          </v:line>
                        </w:pict>
                      </mc:Fallback>
                    </mc:AlternateContent>
                  </w:r>
                </w:p>
                <w:p>
                  <w:pPr>
                    <w:ind w:firstLine="0" w:firstLineChars="0"/>
                  </w:pPr>
                  <w:r>
                    <mc:AlternateContent>
                      <mc:Choice Requires="wps">
                        <w:drawing>
                          <wp:anchor distT="0" distB="0" distL="114300" distR="114300" simplePos="0" relativeHeight="251685888" behindDoc="0" locked="0" layoutInCell="1" allowOverlap="1">
                            <wp:simplePos x="0" y="0"/>
                            <wp:positionH relativeFrom="column">
                              <wp:posOffset>4933950</wp:posOffset>
                            </wp:positionH>
                            <wp:positionV relativeFrom="paragraph">
                              <wp:posOffset>75565</wp:posOffset>
                            </wp:positionV>
                            <wp:extent cx="487680" cy="276225"/>
                            <wp:effectExtent l="0" t="0" r="0" b="635"/>
                            <wp:wrapNone/>
                            <wp:docPr id="307" name="文本框 655"/>
                            <wp:cNvGraphicFramePr/>
                            <a:graphic xmlns:a="http://schemas.openxmlformats.org/drawingml/2006/main">
                              <a:graphicData uri="http://schemas.microsoft.com/office/word/2010/wordprocessingShape">
                                <wps:wsp>
                                  <wps:cNvSpPr txBox="1">
                                    <a:spLocks noChangeArrowheads="1"/>
                                  </wps:cNvSpPr>
                                  <wps:spPr bwMode="auto">
                                    <a:xfrm>
                                      <a:off x="0" y="0"/>
                                      <a:ext cx="487680" cy="276225"/>
                                    </a:xfrm>
                                    <a:prstGeom prst="rect">
                                      <a:avLst/>
                                    </a:prstGeom>
                                    <a:noFill/>
                                    <a:ln>
                                      <a:noFill/>
                                    </a:ln>
                                  </wps:spPr>
                                  <wps:txbx>
                                    <w:txbxContent>
                                      <w:p>
                                        <w:pPr>
                                          <w:spacing w:line="240" w:lineRule="auto"/>
                                          <w:ind w:firstLine="0" w:firstLineChars="0"/>
                                          <w:jc w:val="center"/>
                                          <w:rPr>
                                            <w:sz w:val="21"/>
                                            <w:szCs w:val="21"/>
                                          </w:rPr>
                                        </w:pPr>
                                        <w:r>
                                          <w:rPr>
                                            <w:rFonts w:hint="eastAsia"/>
                                            <w:sz w:val="21"/>
                                            <w:szCs w:val="21"/>
                                          </w:rPr>
                                          <w:t>成品</w:t>
                                        </w:r>
                                      </w:p>
                                    </w:txbxContent>
                                  </wps:txbx>
                                  <wps:bodyPr rot="0" vert="horz" wrap="square" lIns="91440" tIns="45720" rIns="91440" bIns="45720" anchor="t" anchorCtr="0" upright="1">
                                    <a:noAutofit/>
                                  </wps:bodyPr>
                                </wps:wsp>
                              </a:graphicData>
                            </a:graphic>
                          </wp:anchor>
                        </w:drawing>
                      </mc:Choice>
                      <mc:Fallback>
                        <w:pict>
                          <v:shape id="文本框 655" o:spid="_x0000_s1026" o:spt="202" type="#_x0000_t202" style="position:absolute;left:0pt;margin-left:388.5pt;margin-top:5.95pt;height:21.75pt;width:38.4pt;z-index:251685888;mso-width-relative:page;mso-height-relative:page;" filled="f" stroked="f" coordsize="21600,21600" o:gfxdata="UEsDBAoAAAAAAIdO4kAAAAAAAAAAAAAAAAAEAAAAZHJzL1BLAwQUAAAACACHTuJAGxsmdtcAAAAJ&#10;AQAADwAAAGRycy9kb3ducmV2LnhtbE2Py07DMBBF90j9B2uQ2FE7pSFtGqcLEFsqykPqzo2nSUQ8&#10;jmK3CX/PdAXL0b26c06xnVwnLjiE1pOGZK5AIFXetlRr+Hh/uV+BCNGQNZ0n1PCDAbbl7KYwufUj&#10;veFlH2vBIxRyo6GJsc+lDFWDzoS575E4O/nBmcjnUEs7mJHHXScXSj1KZ1riD43p8anB6nt/dho+&#10;X0+Hr6Xa1c8u7Uc/KUluLbW+u03UBkTEKf6V4YrP6FAy09GfyQbRaciyjF0iB8kaBBdW6QO7HDWk&#10;6RJkWcj/BuUvUEsDBBQAAAAIAIdO4kBYGvrvGgIAABgEAAAOAAAAZHJzL2Uyb0RvYy54bWytU8uO&#10;0zAU3SPxD5b3NG3oi6jpaJhqENIAIw18gOs4jUXia67dJuUD4A9YsWE/39Xv4NrplDJsZsEmsn2v&#10;zz3n+GRx0TU12yl0GkzOR4MhZ8pIKLTZ5PzTx+sXc86cF6YQNRiV871y/GL5/NmitZlKoYK6UMgI&#10;xListTmvvLdZkjhZqUa4AVhlqFgCNsLTFjdJgaIl9KZO0uFwmrSAhUWQyjk6XfVFfkTEpwBCWWqp&#10;ViC3jTK+R0VVC0+SXKWt48vItiyV9B/K0inP6pyTUh+/NITW6/BNlguRbVDYSssjBfEUCo80NUIb&#10;GnqCWgkv2Bb1P1CNlggOSj+Q0CS9kOgIqRgNH3lzVwmrohay2tmT6e7/wcr3u1tkusj5y+GMMyMa&#10;evLDj++Hn/eHX9/YdDIJFrXWZdR5Z6nXd6+ho+BEuc7egPzsmIGrSpiNukSEtlKiIIqjcDM5u9rj&#10;uACybt9BQZPE1kME6kpsgn/kCCN0ep796XlU55mkw/F8Np1TRVIpnU3TNHJLRPZw2aLzbxQ0LCxy&#10;jvT6EVzsbpwPZET20BJmGbjWdR0TUJu/DqgxnETygW/P3Hfr7mjGGoo9yUDoA0W/Ey0qwK+ctRSm&#10;nLsvW4GKs/qtIStejcbjkL64GU9mKW3wvLI+rwgjCSrnnrN+eeX7xG4t6k1Fk3rzDVySfaWO0oLP&#10;PasjbwpMVHwMd0jk+T52/fmhl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xsmdtcAAAAJAQAA&#10;DwAAAAAAAAABACAAAAAiAAAAZHJzL2Rvd25yZXYueG1sUEsBAhQAFAAAAAgAh07iQFga+u8aAgAA&#10;GAQAAA4AAAAAAAAAAQAgAAAAJgEAAGRycy9lMm9Eb2MueG1sUEsFBgAAAAAGAAYAWQEAALIFAAAA&#10;AA==&#10;">
                            <v:fill on="f" focussize="0,0"/>
                            <v:stroke on="f"/>
                            <v:imagedata o:title=""/>
                            <o:lock v:ext="edit" aspectratio="f"/>
                            <v:textbox>
                              <w:txbxContent>
                                <w:p>
                                  <w:pPr>
                                    <w:spacing w:line="240" w:lineRule="auto"/>
                                    <w:ind w:firstLine="0" w:firstLineChars="0"/>
                                    <w:jc w:val="center"/>
                                    <w:rPr>
                                      <w:sz w:val="21"/>
                                      <w:szCs w:val="21"/>
                                    </w:rPr>
                                  </w:pPr>
                                  <w:r>
                                    <w:rPr>
                                      <w:rFonts w:hint="eastAsia"/>
                                      <w:sz w:val="21"/>
                                      <w:szCs w:val="21"/>
                                    </w:rPr>
                                    <w:t>成品</w:t>
                                  </w:r>
                                </w:p>
                              </w:txbxContent>
                            </v:textbox>
                          </v:shape>
                        </w:pict>
                      </mc:Fallback>
                    </mc:AlternateContent>
                  </w:r>
                  <w:r>
                    <mc:AlternateContent>
                      <mc:Choice Requires="wps">
                        <w:drawing>
                          <wp:anchor distT="0" distB="0" distL="114300" distR="114300" simplePos="0" relativeHeight="251546624" behindDoc="1" locked="0" layoutInCell="1" allowOverlap="1">
                            <wp:simplePos x="0" y="0"/>
                            <wp:positionH relativeFrom="column">
                              <wp:posOffset>4743450</wp:posOffset>
                            </wp:positionH>
                            <wp:positionV relativeFrom="paragraph">
                              <wp:posOffset>216535</wp:posOffset>
                            </wp:positionV>
                            <wp:extent cx="179705" cy="635"/>
                            <wp:effectExtent l="0" t="37465" r="10795" b="38100"/>
                            <wp:wrapNone/>
                            <wp:docPr id="306" name="直线 656"/>
                            <wp:cNvGraphicFramePr/>
                            <a:graphic xmlns:a="http://schemas.openxmlformats.org/drawingml/2006/main">
                              <a:graphicData uri="http://schemas.microsoft.com/office/word/2010/wordprocessingShape">
                                <wps:wsp>
                                  <wps:cNvCnPr>
                                    <a:cxnSpLocks noChangeShapeType="1"/>
                                  </wps:cNvCnPr>
                                  <wps:spPr bwMode="auto">
                                    <a:xfrm>
                                      <a:off x="0" y="0"/>
                                      <a:ext cx="179705" cy="635"/>
                                    </a:xfrm>
                                    <a:prstGeom prst="line">
                                      <a:avLst/>
                                    </a:prstGeom>
                                    <a:noFill/>
                                    <a:ln w="9525" cmpd="sng">
                                      <a:solidFill>
                                        <a:srgbClr val="000000"/>
                                      </a:solidFill>
                                      <a:round/>
                                      <a:headEnd type="none"/>
                                      <a:tailEnd type="triangle" w="med" len="med"/>
                                    </a:ln>
                                  </wps:spPr>
                                  <wps:bodyPr/>
                                </wps:wsp>
                              </a:graphicData>
                            </a:graphic>
                          </wp:anchor>
                        </w:drawing>
                      </mc:Choice>
                      <mc:Fallback>
                        <w:pict>
                          <v:line id="直线 656" o:spid="_x0000_s1026" o:spt="20" style="position:absolute;left:0pt;margin-left:373.5pt;margin-top:17.05pt;height:0.05pt;width:14.15pt;z-index:-251769856;mso-width-relative:page;mso-height-relative:page;" filled="f" stroked="t" coordsize="21600,21600" o:gfxdata="UEsDBAoAAAAAAIdO4kAAAAAAAAAAAAAAAAAEAAAAZHJzL1BLAwQUAAAACACHTuJA+m2mCtoAAAAJ&#10;AQAADwAAAGRycy9kb3ducmV2LnhtbE2PwW7CMBBE75X6D9ZW6q04AdpEIQ4HJLhAi4AKwc3E2yRq&#10;vI5sB9K/rzm1x9kZzb7J54Nu2RWtawwJiEcRMKTSqIYqAZ+H5UsKzHlJSraGUMAPOpgXjw+5zJS5&#10;0Q6ve1+xUEIukwJq77uMc1fWqKUbmQ4peF/GaumDtBVXVt5CuW75OIreuJYNhQ+17HBRY/m977WA&#10;3Wa5To/rfijteRV/HLab95NLhXh+iqMZMI+D/wvDHT+gQxGYLqYn5VgrIJkmYYsXMJnGwEIgSV4n&#10;wC73wxh4kfP/C4pfUEsDBBQAAAAIAIdO4kBaqGafBwIAAPcDAAAOAAAAZHJzL2Uyb0RvYy54bWyt&#10;U0tyGyEQ3acqd6DYRyPJJTme0sgLKc7GSVRl+wAtYDRUgKYAaaSz5BpZZZPj+BppkCzHzsaLzGIK&#10;+vN47zXMrvfWsJ0KUaNr+Ggw5Ew5gVK7TcMf7m8+fOQsJnASDDrV8IOK/Hr+/t2s97UaY4dGqsAI&#10;xMW69w3vUvJ1VUXRKQtxgF45SrYYLCTahk0lA/SEbk01Hg6nVY9B+oBCxUjR5THJT4jhLYDYtlqo&#10;JYqtVS4dUYMykEhS7LSPfF7Ytq0S6VvbRpWYaTgpTeVPh9B6nf/VfAb1JoDvtDhRgLdQeKXJgnZ0&#10;6BlqCQnYNuh/oKwWASO2aSDQVkchxRFSMRq+8uauA6+KFrI6+rPp8f/Biq+7VWBaNvxiOOXMgaWR&#10;P/74+fjrN5tOptmf3seayhZuFbJCsXd3/hbF98gcLjpwG1V43h88tY5yR/WiJW+ip1PW/ReUVAPb&#10;hMWsfRtshiQb2L7M5HCeidonJig4ury6HE44E5SaXkwKPNRPnT7E9FmhZXnRcKNd9gtq2N3GlJlA&#10;/VSSww5vtDFl5saxvuFXk3HGtp4MiG5TeiMaLXNd7ohhs16YwHaQL1D5ThRelAXcOllwOwXyk5Ms&#10;FTscPaFcD3UCbZ7jKWgyziieSVglOTOKXmNeHVkbd7IxO3ecwRrlYRVyOjtK96HIO93dfOH+3peq&#10;5/c6/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6baYK2gAAAAkBAAAPAAAAAAAAAAEAIAAAACIA&#10;AABkcnMvZG93bnJldi54bWxQSwECFAAUAAAACACHTuJAWqhmnwcCAAD3AwAADgAAAAAAAAABACAA&#10;AAApAQAAZHJzL2Uyb0RvYy54bWxQSwUGAAAAAAYABgBZAQAAo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544576" behindDoc="1" locked="0" layoutInCell="1" allowOverlap="1">
                            <wp:simplePos x="0" y="0"/>
                            <wp:positionH relativeFrom="column">
                              <wp:posOffset>4057650</wp:posOffset>
                            </wp:positionH>
                            <wp:positionV relativeFrom="paragraph">
                              <wp:posOffset>197485</wp:posOffset>
                            </wp:positionV>
                            <wp:extent cx="179705" cy="635"/>
                            <wp:effectExtent l="0" t="37465" r="10795" b="38100"/>
                            <wp:wrapNone/>
                            <wp:docPr id="305" name="直线 657"/>
                            <wp:cNvGraphicFramePr/>
                            <a:graphic xmlns:a="http://schemas.openxmlformats.org/drawingml/2006/main">
                              <a:graphicData uri="http://schemas.microsoft.com/office/word/2010/wordprocessingShape">
                                <wps:wsp>
                                  <wps:cNvCnPr>
                                    <a:cxnSpLocks noChangeShapeType="1"/>
                                  </wps:cNvCnPr>
                                  <wps:spPr bwMode="auto">
                                    <a:xfrm>
                                      <a:off x="0" y="0"/>
                                      <a:ext cx="179705" cy="635"/>
                                    </a:xfrm>
                                    <a:prstGeom prst="line">
                                      <a:avLst/>
                                    </a:prstGeom>
                                    <a:noFill/>
                                    <a:ln w="9525" cmpd="sng">
                                      <a:solidFill>
                                        <a:srgbClr val="000000"/>
                                      </a:solidFill>
                                      <a:round/>
                                      <a:headEnd type="none"/>
                                      <a:tailEnd type="triangle" w="med" len="med"/>
                                    </a:ln>
                                  </wps:spPr>
                                  <wps:bodyPr/>
                                </wps:wsp>
                              </a:graphicData>
                            </a:graphic>
                          </wp:anchor>
                        </w:drawing>
                      </mc:Choice>
                      <mc:Fallback>
                        <w:pict>
                          <v:line id="直线 657" o:spid="_x0000_s1026" o:spt="20" style="position:absolute;left:0pt;margin-left:319.5pt;margin-top:15.55pt;height:0.05pt;width:14.15pt;z-index:-251771904;mso-width-relative:page;mso-height-relative:page;" filled="f" stroked="t" coordsize="21600,21600" o:gfxdata="UEsDBAoAAAAAAIdO4kAAAAAAAAAAAAAAAAAEAAAAZHJzL1BLAwQUAAAACACHTuJAA1+HPdoAAAAJ&#10;AQAADwAAAGRycy9kb3ducmV2LnhtbE2PwU7DMBBE70j8g7VI3KjjRgohxOkBqVxaQG0Ram9uvCQR&#10;8TqynTb8Pe6pHGdnNPumXEymZyd0vrMkQcwSYEi11R01Ej53y4ccmA+KtOotoYRf9LCobm9KVWh7&#10;pg2etqFhsYR8oSS0IQwF575u0Sg/swNS9L6tMypE6RqunTrHctPzeZJk3KiO4odWDfjSYv2zHY2E&#10;zXq5yr9W41S7w6t4332s3/Y+l/L+TiTPwAJO4RqGC35EhyoyHe1I2rNeQpY+xS1BQioEsBjIsscU&#10;2PFymAOvSv5/QfUHUEsDBBQAAAAIAIdO4kANz/0hBgIAAPcDAAAOAAAAZHJzL2Uyb0RvYy54bWyt&#10;U0tyGyEQ3acqd6DYRyPJJSme0sgLKc7GSVxl+wAtYDRUgKYAaaSz5BpZZZPj+BppkCzHzsaLzGIK&#10;+vN47zXMr/bWsJ0KUaNr+Ggw5Ew5gVK7TcMf7q8/fOQsJnASDDrV8IOK/Grx/t2897UaY4dGqsAI&#10;xMW69w3vUvJ1VUXRKQtxgF45SrYYLCTahk0lA/SEbk01Hg6nVY9B+oBCxUjR1THJT4jhLYDYtlqo&#10;FYqtVS4dUYMykEhS7LSPfFHYtq0S6VvbRpWYaTgpTeVPh9B6nf/VYg71JoDvtDhRgLdQeKXJgnZ0&#10;6BlqBQnYNuh/oKwWASO2aSDQVkchxRFSMRq+8uauA6+KFrI6+rPp8f/Biq+728C0bPjFcMKZA0sj&#10;f/zx8/HXbzadzLI/vY81lS3dbcgKxd7d+RsU3yNzuOzAbVTheX/w1DrKHdWLlryJnk5Z919QUg1s&#10;Exaz9m2wGZJsYPsyk8N5JmqfmKDgaHY5y8wEpaYXkwIP9VOnDzF9VmhZXjTcaJf9ghp2NzFlJlA/&#10;leSww2ttTJm5caxv+OVknLGtJwOi25TeiEbLXJc7YtislyawHeQLVL4ThRdlAbdOFtxOgfzkJEvF&#10;DkdPKNdDnUCb53gKmowzimcSVknOjKLXmFdH1sadbMzOHWewRnm4DTmdHaX7UOSd7m6+cH/vS9Xz&#10;e138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Nfhz3aAAAACQEAAA8AAAAAAAAAAQAgAAAAIgAA&#10;AGRycy9kb3ducmV2LnhtbFBLAQIUABQAAAAIAIdO4kANz/0hBgIAAPcDAAAOAAAAAAAAAAEAIAAA&#10;ACk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4248150</wp:posOffset>
                            </wp:positionH>
                            <wp:positionV relativeFrom="paragraph">
                              <wp:posOffset>56515</wp:posOffset>
                            </wp:positionV>
                            <wp:extent cx="487680" cy="276225"/>
                            <wp:effectExtent l="9525" t="8890" r="7620" b="10160"/>
                            <wp:wrapNone/>
                            <wp:docPr id="304" name="文本框 658"/>
                            <wp:cNvGraphicFramePr/>
                            <a:graphic xmlns:a="http://schemas.openxmlformats.org/drawingml/2006/main">
                              <a:graphicData uri="http://schemas.microsoft.com/office/word/2010/wordprocessingShape">
                                <wps:wsp>
                                  <wps:cNvSpPr txBox="1">
                                    <a:spLocks noChangeArrowheads="1"/>
                                  </wps:cNvSpPr>
                                  <wps:spPr bwMode="auto">
                                    <a:xfrm>
                                      <a:off x="0" y="0"/>
                                      <a:ext cx="487680" cy="276225"/>
                                    </a:xfrm>
                                    <a:prstGeom prst="rect">
                                      <a:avLst/>
                                    </a:prstGeom>
                                    <a:noFill/>
                                    <a:ln w="9525" cmpd="sng">
                                      <a:solidFill>
                                        <a:srgbClr val="000000"/>
                                      </a:solidFill>
                                      <a:miter lim="800000"/>
                                    </a:ln>
                                  </wps:spPr>
                                  <wps:txbx>
                                    <w:txbxContent>
                                      <w:p>
                                        <w:pPr>
                                          <w:spacing w:line="240" w:lineRule="auto"/>
                                          <w:ind w:firstLine="0" w:firstLineChars="0"/>
                                          <w:jc w:val="center"/>
                                          <w:rPr>
                                            <w:sz w:val="21"/>
                                            <w:szCs w:val="21"/>
                                          </w:rPr>
                                        </w:pPr>
                                        <w:r>
                                          <w:rPr>
                                            <w:rFonts w:hint="eastAsia"/>
                                            <w:sz w:val="21"/>
                                            <w:szCs w:val="21"/>
                                          </w:rPr>
                                          <w:t>检验</w:t>
                                        </w:r>
                                      </w:p>
                                    </w:txbxContent>
                                  </wps:txbx>
                                  <wps:bodyPr rot="0" vert="horz" wrap="square" lIns="91440" tIns="45720" rIns="91440" bIns="45720" anchor="t" anchorCtr="0" upright="1">
                                    <a:noAutofit/>
                                  </wps:bodyPr>
                                </wps:wsp>
                              </a:graphicData>
                            </a:graphic>
                          </wp:anchor>
                        </w:drawing>
                      </mc:Choice>
                      <mc:Fallback>
                        <w:pict>
                          <v:shape id="文本框 658" o:spid="_x0000_s1026" o:spt="202" type="#_x0000_t202" style="position:absolute;left:0pt;margin-left:334.5pt;margin-top:4.45pt;height:21.75pt;width:38.4pt;z-index:251684864;mso-width-relative:page;mso-height-relative:page;" filled="f" stroked="t" coordsize="21600,21600" o:gfxdata="UEsDBAoAAAAAAIdO4kAAAAAAAAAAAAAAAAAEAAAAZHJzL1BLAwQUAAAACACHTuJAhVwSttcAAAAI&#10;AQAADwAAAGRycy9kb3ducmV2LnhtbE2PTVODMBCG7874HzLrjDcbSlsolNCD1bti1etCtsCUJAxJ&#10;P/TXu570uPPuvvs8xfZqBnGmyffOKpjPIhBkG6d72yrYvz0/rEH4gFbj4Cwp+CIP2/L2psBcu4t9&#10;pXMVWsEl1ueooAthzKX0TUcG/cyNZDk7uMlg4HFqpZ7wwuVmkHEUJdJgb/lDhyM9dtQcq5NhjPhz&#10;v9i9VJSmWC92T9/v2eFjUOr+bh5tQAS6hr9l+MXnGyiZqXYnq70YFCRJxi5BwToDwXm6XLFKrWAV&#10;L0GWhfwvUP4AUEsDBBQAAAAIAIdO4kAIX5KDRgIAAGwEAAAOAAAAZHJzL2Uyb0RvYy54bWytVM2O&#10;0zAQviPxDpbvNG3p30ZNV0urRUjLj7TwAK7jJBa2x9huk/IA8AacuHDnufY5GDvZpVoueyAHy+MZ&#10;f/PNN+OsLzutyFE4L8EUdDIaUyIMh1KauqCfPl6/WFHiAzMlU2BEQU/C08vN82fr1uZiCg2oUjiC&#10;IMbnrS1oE4LNs8zzRmjmR2CFQWcFTrOApquz0rEW0bXKpuPxImvBldYBF97j6a530gHRPQUQqkpy&#10;sQN+0MKEHtUJxQKW5BtpPd0ktlUleHhfVV4EogqKlYa0YhLc7+OabdYsrx2zjeQDBfYUCo9q0kwa&#10;TPoAtWOBkYOT/0BpyR14qMKIg876QpIiWMVk/Eib24ZZkWpBqb19EN3/P1j+7vjBEVkW9OV4Rolh&#10;Glt+9+P73c/fd7++kcV8FSVqrc8x8tZibOheQYeDk8r19gb4Z08MbBtmanHlHLSNYCVSnMSb2dnV&#10;HsdHkH37FkrMxA4BElBXOR31Q0UIomN7Tg/tEV0gHA9nq+VihR6OrulyMZ3OUwaW31+2zofXAjSJ&#10;m4I67H4CZ8cbHyIZlt+HxFwGrqVSaQKUIW1BL+YISbi2KIc3dV8hKFnGuHjDu3q/VY4cWRyn9A0U&#10;/HmYlgGfiJK6oKvzIGUGQaIGvRqh23eDwHsoTyiNg35I8YnipgH3lZIWBxQpfTkwJyhRbwzKezGZ&#10;zeJEJ2M2X07RcOee/bmHGY5QBQ2U9Ntt6F/BwTpZN5ipb6iBK2xJJZNcsXc9q4E3DmFScXgwccrP&#10;7RT19yex+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FXBK21wAAAAgBAAAPAAAAAAAAAAEAIAAA&#10;ACIAAABkcnMvZG93bnJldi54bWxQSwECFAAUAAAACACHTuJACF+Sg0YCAABsBAAADgAAAAAAAAAB&#10;ACAAAAAmAQAAZHJzL2Uyb0RvYy54bWxQSwUGAAAAAAYABgBZAQAA3gUAAAAA&#10;">
                            <v:fill on="f" focussize="0,0"/>
                            <v:stroke color="#000000" miterlimit="8" joinstyle="miter"/>
                            <v:imagedata o:title=""/>
                            <o:lock v:ext="edit" aspectratio="f"/>
                            <v:textbox>
                              <w:txbxContent>
                                <w:p>
                                  <w:pPr>
                                    <w:spacing w:line="240" w:lineRule="auto"/>
                                    <w:ind w:firstLine="0" w:firstLineChars="0"/>
                                    <w:jc w:val="center"/>
                                    <w:rPr>
                                      <w:sz w:val="21"/>
                                      <w:szCs w:val="21"/>
                                    </w:rPr>
                                  </w:pPr>
                                  <w:r>
                                    <w:rPr>
                                      <w:rFonts w:hint="eastAsia"/>
                                      <w:sz w:val="21"/>
                                      <w:szCs w:val="21"/>
                                    </w:rPr>
                                    <w:t>检验</w:t>
                                  </w:r>
                                </w:p>
                              </w:txbxContent>
                            </v:textbox>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3552825</wp:posOffset>
                            </wp:positionH>
                            <wp:positionV relativeFrom="paragraph">
                              <wp:posOffset>46990</wp:posOffset>
                            </wp:positionV>
                            <wp:extent cx="487680" cy="276225"/>
                            <wp:effectExtent l="9525" t="8890" r="7620" b="10160"/>
                            <wp:wrapNone/>
                            <wp:docPr id="303" name="文本框 659"/>
                            <wp:cNvGraphicFramePr/>
                            <a:graphic xmlns:a="http://schemas.openxmlformats.org/drawingml/2006/main">
                              <a:graphicData uri="http://schemas.microsoft.com/office/word/2010/wordprocessingShape">
                                <wps:wsp>
                                  <wps:cNvSpPr txBox="1">
                                    <a:spLocks noChangeArrowheads="1"/>
                                  </wps:cNvSpPr>
                                  <wps:spPr bwMode="auto">
                                    <a:xfrm>
                                      <a:off x="0" y="0"/>
                                      <a:ext cx="487680" cy="276225"/>
                                    </a:xfrm>
                                    <a:prstGeom prst="rect">
                                      <a:avLst/>
                                    </a:prstGeom>
                                    <a:noFill/>
                                    <a:ln w="9525" cmpd="sng">
                                      <a:solidFill>
                                        <a:srgbClr val="000000"/>
                                      </a:solidFill>
                                      <a:miter lim="800000"/>
                                    </a:ln>
                                  </wps:spPr>
                                  <wps:txbx>
                                    <w:txbxContent>
                                      <w:p>
                                        <w:pPr>
                                          <w:spacing w:line="240" w:lineRule="auto"/>
                                          <w:ind w:firstLine="0" w:firstLineChars="0"/>
                                          <w:jc w:val="center"/>
                                          <w:rPr>
                                            <w:sz w:val="21"/>
                                            <w:szCs w:val="21"/>
                                          </w:rPr>
                                        </w:pPr>
                                        <w:r>
                                          <w:rPr>
                                            <w:rFonts w:hint="eastAsia"/>
                                            <w:sz w:val="21"/>
                                            <w:szCs w:val="21"/>
                                          </w:rPr>
                                          <w:t>攻丝</w:t>
                                        </w:r>
                                      </w:p>
                                    </w:txbxContent>
                                  </wps:txbx>
                                  <wps:bodyPr rot="0" vert="horz" wrap="square" lIns="91440" tIns="45720" rIns="91440" bIns="45720" anchor="t" anchorCtr="0" upright="1">
                                    <a:noAutofit/>
                                  </wps:bodyPr>
                                </wps:wsp>
                              </a:graphicData>
                            </a:graphic>
                          </wp:anchor>
                        </w:drawing>
                      </mc:Choice>
                      <mc:Fallback>
                        <w:pict>
                          <v:shape id="文本框 659" o:spid="_x0000_s1026" o:spt="202" type="#_x0000_t202" style="position:absolute;left:0pt;margin-left:279.75pt;margin-top:3.7pt;height:21.75pt;width:38.4pt;z-index:251683840;mso-width-relative:page;mso-height-relative:page;" filled="f" stroked="t" coordsize="21600,21600" o:gfxdata="UEsDBAoAAAAAAIdO4kAAAAAAAAAAAAAAAAAEAAAAZHJzL1BLAwQUAAAACACHTuJAFqyR/NYAAAAI&#10;AQAADwAAAGRycy9kb3ducmV2LnhtbE2Py07DMBBF90j8gzVI7KjdhiRNGqcLCnsIBbZOPE0i/Ihi&#10;9wFfz7CC5ejcuXOm2l6sYSecw+idhOVCAEPXeT26XsL+9eluDSxE5bQy3qGELwywra+vKlVqf3Yv&#10;eGpiz6jEhVJJGGKcSs5DN6BVYeEndMQOfrYq0jj3XM/qTOXW8JUQGbdqdHRhUBM+DNh9NkdLGquP&#10;fbJ7bjDPVZvsHr/fisO7kfL2Zik2wCJe4l8YfvVpB2pyav3R6cCMhDQtUopKyO+BEc+SLAHWEhAF&#10;8Lri/x+ofwBQSwMEFAAAAAgAh07iQHs8zmlGAgAAbAQAAA4AAABkcnMvZTJvRG9jLnhtbK1US27b&#10;MBDdF+gdCO4b2Y6/guUgTZCiQPoB0h6ApiiJKMlhSdqSe4DmBl11033PlXN0SCmukW6yqBYEhzN8&#10;8+bNUOuLTiuyF85LMAUdn40oEYZDKU1d0M+fbl4tKfGBmZIpMKKgB+Hpxebli3VrczGBBlQpHEEQ&#10;4/PWFrQJweZZ5nkjNPNnYIVBZwVOs4Cmq7PSsRbRtcomo9E8a8GV1gEX3uPpde+kA6J7DiBUleTi&#10;GvhOCxN6VCcUC1iSb6T1dJPYVpXg4UNVeRGIKihWGtKKSXC/jWu2WbO8dsw2kg8U2HMoPKlJM2kw&#10;6RHqmgVGdk7+A6Uld+ChCmccdNYXkhTBKsajJ9rcNcyKVAtK7e1RdP//YPn7/UdHZFnQ89E5JYZp&#10;bPnDj/uHn78ffn0n89kqStRan2PkncXY0L2GDgcnlevtLfAvnhi4apipxaVz0DaClUhxHG9mJ1d7&#10;HB9Btu07KDET2wVIQF3ldNQPFSGIju05HNsjukA4Hk6Xi/kSPRxdk8V8MpmlDCx/vGydD28EaBI3&#10;BXXY/QTO9rc+RDIsfwyJuQzcSKXSBChD2oKuZghJuLYohzd1XyEoWca4eMO7enulHNmzOE7pGyj4&#10;0zAtAz4RJXVBl6dBygyCRA16NUK37QaBt1AeUBoH/ZDiE8VNA+4bJS0OKFL6umNOUKLeGpR3NZ5O&#10;40QnYzpbTNBwp57tqYcZjlAFDZT026vQv4KddbJuMFPfUAOX2JJKJrli73pWA28cwqTi8GDilJ/a&#10;KervT2Lz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askfzWAAAACAEAAA8AAAAAAAAAAQAgAAAA&#10;IgAAAGRycy9kb3ducmV2LnhtbFBLAQIUABQAAAAIAIdO4kB7PM5pRgIAAGwEAAAOAAAAAAAAAAEA&#10;IAAAACUBAABkcnMvZTJvRG9jLnhtbFBLBQYAAAAABgAGAFkBAADdBQAAAAA=&#10;">
                            <v:fill on="f" focussize="0,0"/>
                            <v:stroke color="#000000" miterlimit="8" joinstyle="miter"/>
                            <v:imagedata o:title=""/>
                            <o:lock v:ext="edit" aspectratio="f"/>
                            <v:textbox>
                              <w:txbxContent>
                                <w:p>
                                  <w:pPr>
                                    <w:spacing w:line="240" w:lineRule="auto"/>
                                    <w:ind w:firstLine="0" w:firstLineChars="0"/>
                                    <w:jc w:val="center"/>
                                    <w:rPr>
                                      <w:sz w:val="21"/>
                                      <w:szCs w:val="21"/>
                                    </w:rPr>
                                  </w:pPr>
                                  <w:r>
                                    <w:rPr>
                                      <w:rFonts w:hint="eastAsia"/>
                                      <w:sz w:val="21"/>
                                      <w:szCs w:val="21"/>
                                    </w:rPr>
                                    <w:t>攻丝</w:t>
                                  </w:r>
                                </w:p>
                              </w:txbxContent>
                            </v:textbox>
                          </v:shape>
                        </w:pict>
                      </mc:Fallback>
                    </mc:AlternateContent>
                  </w:r>
                  <w:r>
                    <mc:AlternateContent>
                      <mc:Choice Requires="wps">
                        <w:drawing>
                          <wp:anchor distT="0" distB="0" distL="114300" distR="114300" simplePos="0" relativeHeight="251543552" behindDoc="1" locked="0" layoutInCell="1" allowOverlap="1">
                            <wp:simplePos x="0" y="0"/>
                            <wp:positionH relativeFrom="column">
                              <wp:posOffset>3362325</wp:posOffset>
                            </wp:positionH>
                            <wp:positionV relativeFrom="paragraph">
                              <wp:posOffset>187960</wp:posOffset>
                            </wp:positionV>
                            <wp:extent cx="179705" cy="635"/>
                            <wp:effectExtent l="0" t="37465" r="10795" b="38100"/>
                            <wp:wrapNone/>
                            <wp:docPr id="302" name="直线 660"/>
                            <wp:cNvGraphicFramePr/>
                            <a:graphic xmlns:a="http://schemas.openxmlformats.org/drawingml/2006/main">
                              <a:graphicData uri="http://schemas.microsoft.com/office/word/2010/wordprocessingShape">
                                <wps:wsp>
                                  <wps:cNvCnPr>
                                    <a:cxnSpLocks noChangeShapeType="1"/>
                                  </wps:cNvCnPr>
                                  <wps:spPr bwMode="auto">
                                    <a:xfrm>
                                      <a:off x="0" y="0"/>
                                      <a:ext cx="179705" cy="635"/>
                                    </a:xfrm>
                                    <a:prstGeom prst="line">
                                      <a:avLst/>
                                    </a:prstGeom>
                                    <a:noFill/>
                                    <a:ln w="9525" cmpd="sng">
                                      <a:solidFill>
                                        <a:srgbClr val="000000"/>
                                      </a:solidFill>
                                      <a:round/>
                                      <a:headEnd type="none"/>
                                      <a:tailEnd type="triangle" w="med" len="med"/>
                                    </a:ln>
                                  </wps:spPr>
                                  <wps:bodyPr/>
                                </wps:wsp>
                              </a:graphicData>
                            </a:graphic>
                          </wp:anchor>
                        </w:drawing>
                      </mc:Choice>
                      <mc:Fallback>
                        <w:pict>
                          <v:line id="直线 660" o:spid="_x0000_s1026" o:spt="20" style="position:absolute;left:0pt;margin-left:264.75pt;margin-top:14.8pt;height:0.05pt;width:14.15pt;z-index:-251772928;mso-width-relative:page;mso-height-relative:page;" filled="f" stroked="t" coordsize="21600,21600" o:gfxdata="UEsDBAoAAAAAAIdO4kAAAAAAAAAAAAAAAAAEAAAAZHJzL1BLAwQUAAAACACHTuJAix7n2toAAAAJ&#10;AQAADwAAAGRycy9kb3ducmV2LnhtbE2PwU7DMAyG70i8Q2QkbixtpW5daboD0rhsgLYhBLesMW1F&#10;41RNupW3xzuNo+1Pv7+/WE22EyccfOtIQTyLQCBVzrRUK3g/rB8yED5oMrpzhAp+0cOqvL0pdG7c&#10;mXZ42odacAj5XCtoQuhzKX3VoNV+5nokvn27werA41BLM+gzh9tOJlE0l1a3xB8a3eNTg9XPfrQK&#10;dtv1JvvYjFM1fD3Hr4e37cunz5S6v4ujRxABp3CF4aLP6lCy09GNZLzoFKTJMmVUQbKcg2AgTRfc&#10;5XhZLECWhfzfoPwDUEsDBBQAAAAIAIdO4kCzmesxBgIAAPcDAAAOAAAAZHJzL2Uyb0RvYy54bWyt&#10;U0tyGjEQ3acqd1BpHwZwgeMpBi8gzsZJqLJ9gEbSMKpIapUkGDhLrpFVNjmOr5GWwDh2Nl5kFlPq&#10;31O/163Z9d4atlMhanQNHw2GnCknUGq3afjD/c2Hj5zFBE6CQacaflCRX8/fv5v1vlZj7NBIFRiB&#10;uFj3vuFdSr6uqig6ZSEO0CtHwRaDhURm2FQyQE/o1lTj4XBa9RikDyhUjORdHoP8hBjeAohtq4Va&#10;otha5dIRNSgDiSjFTvvI56XbtlUifWvbqBIzDSemqfzpEjqv87+az6DeBPCdFqcW4C0tvOJkQTu6&#10;9Ay1hARsG/Q/UFaLgBHbNBBoqyORogixGA1faXPXgVeFC0kd/Vn0+P9gxdfdKjAtG34xHHPmwNLI&#10;H3/8fPz1m02nRZ/ex5rSFm4VMkOxd3f+FsX3yBwuOnAbVfq8P3gqHWVFqxcl2Yiebln3X1BSDmwT&#10;FrH2bbAZkmRg+zKTw3kmap+YIOfo8upyOOFMUGh6MSnwUD9V+hDTZ4WW5UPDjXZZL6hhdxtT7gTq&#10;p5TsdnijjSkzN471Db+ajDO29SRAdJtSG9FomfNyRQyb9cIEtoO8QOU7tfAiLeDWyYLbKZCfnGSp&#10;yOHoCR13LIE2z/4UNAlnFM9NWCU5M4peYz4duzbuJGNWLm9zrNcoD6uQw9mifSj0TrubF+5vu2Q9&#10;v9f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se59raAAAACQEAAA8AAAAAAAAAAQAgAAAAIgAA&#10;AGRycy9kb3ducmV2LnhtbFBLAQIUABQAAAAIAIdO4kCzmesxBgIAAPcDAAAOAAAAAAAAAAEAIAAA&#10;ACk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2876550</wp:posOffset>
                            </wp:positionH>
                            <wp:positionV relativeFrom="paragraph">
                              <wp:posOffset>56515</wp:posOffset>
                            </wp:positionV>
                            <wp:extent cx="487680" cy="276225"/>
                            <wp:effectExtent l="9525" t="8890" r="7620" b="10160"/>
                            <wp:wrapNone/>
                            <wp:docPr id="301" name="文本框 661"/>
                            <wp:cNvGraphicFramePr/>
                            <a:graphic xmlns:a="http://schemas.openxmlformats.org/drawingml/2006/main">
                              <a:graphicData uri="http://schemas.microsoft.com/office/word/2010/wordprocessingShape">
                                <wps:wsp>
                                  <wps:cNvSpPr txBox="1">
                                    <a:spLocks noChangeArrowheads="1"/>
                                  </wps:cNvSpPr>
                                  <wps:spPr bwMode="auto">
                                    <a:xfrm>
                                      <a:off x="0" y="0"/>
                                      <a:ext cx="487680" cy="276225"/>
                                    </a:xfrm>
                                    <a:prstGeom prst="rect">
                                      <a:avLst/>
                                    </a:prstGeom>
                                    <a:noFill/>
                                    <a:ln w="9525" cmpd="sng">
                                      <a:solidFill>
                                        <a:srgbClr val="000000"/>
                                      </a:solidFill>
                                      <a:miter lim="800000"/>
                                    </a:ln>
                                  </wps:spPr>
                                  <wps:txbx>
                                    <w:txbxContent>
                                      <w:p>
                                        <w:pPr>
                                          <w:spacing w:line="240" w:lineRule="auto"/>
                                          <w:ind w:firstLine="0" w:firstLineChars="0"/>
                                          <w:jc w:val="center"/>
                                          <w:rPr>
                                            <w:sz w:val="21"/>
                                            <w:szCs w:val="21"/>
                                          </w:rPr>
                                        </w:pPr>
                                        <w:r>
                                          <w:rPr>
                                            <w:rFonts w:hint="eastAsia"/>
                                            <w:sz w:val="21"/>
                                            <w:szCs w:val="21"/>
                                          </w:rPr>
                                          <w:t>打孔</w:t>
                                        </w:r>
                                      </w:p>
                                    </w:txbxContent>
                                  </wps:txbx>
                                  <wps:bodyPr rot="0" vert="horz" wrap="square" lIns="91440" tIns="45720" rIns="91440" bIns="45720" anchor="t" anchorCtr="0" upright="1">
                                    <a:noAutofit/>
                                  </wps:bodyPr>
                                </wps:wsp>
                              </a:graphicData>
                            </a:graphic>
                          </wp:anchor>
                        </w:drawing>
                      </mc:Choice>
                      <mc:Fallback>
                        <w:pict>
                          <v:shape id="文本框 661" o:spid="_x0000_s1026" o:spt="202" type="#_x0000_t202" style="position:absolute;left:0pt;margin-left:226.5pt;margin-top:4.45pt;height:21.75pt;width:38.4pt;z-index:251682816;mso-width-relative:page;mso-height-relative:page;" filled="f" stroked="t" coordsize="21600,21600" o:gfxdata="UEsDBAoAAAAAAIdO4kAAAAAAAAAAAAAAAAAEAAAAZHJzL1BLAwQUAAAACACHTuJAtqryStYAAAAI&#10;AQAADwAAAGRycy9kb3ducmV2LnhtbE2PzU7DMBCE70i8g7VI3KjTpKVNiNMDhTuEAlcn3iYR9jqK&#10;3R94erYnuO1qZme/KTdnZ8URpzB4UjCfJSCQWm8G6hTs3p7v1iBC1GS09YQKvjHAprq+KnVh/Ile&#10;8VjHTnAIhUIr6GMcCylD26PTYeZHJNb2fnI68jp10kz6xOHOyjRJ7qXTA/GHXo/42GP7VR8cY6Sf&#10;u2z7UuNqpZts+/Tznu8/rFK3N/PkAUTEc/wzwwWfb6BipsYfyARhFSyWGXeJCtY5CNaXac5Vmsuw&#10;AFmV8n+B6hdQSwMEFAAAAAgAh07iQBukHPdGAgAAbAQAAA4AAABkcnMvZTJvRG9jLnhtbK1UzW4T&#10;MRC+I/EOlu90k5CmadRNVRIVIZUfqfAAjte7a2F7zNjJbnkAeANOXLjzXHkOxt60ROXSA3uwPJ7x&#10;N998M96Ly94atlMYNLiSj09GnCknodKuKfmnj9cv5pyFKFwlDDhV8jsV+OXy+bOLzi/UBFowlUJG&#10;IC4sOl/yNka/KIogW2VFOAGvHDlrQCsimdgUFYqO0K0pJqPRrOgAK48gVQh0uh6c/ICITwGEutZS&#10;rUFurXJxQEVlRKSSQqt94MvMtq6VjO/rOqjITMmp0phXSkL7TVqL5YVYNCh8q+WBgngKhUc1WaEd&#10;JX2AWoso2Bb1P1BWS4QAdTyRYIuhkKwIVTEePdLmthVe5VpI6uAfRA//D1a+231ApquSvxyNOXPC&#10;Usv3P77vf/7e//rGZrNxkqjzYUGRt55iY/8KehqcXG7wNyA/B+Zg1QrXqCtE6FolKqKYbxZHVwec&#10;kEA23VuoKJPYRshAfY026UeKMEKn9tw9tEf1kUk6nM7PZnPySHJNzmaTyWniVojF/WWPIb5WYFna&#10;lByp+xlc7G5CHELvQ1IuB9famDwBxrGu5OenBMmk9SRHcM1QIRhdpbh0I2CzWRlkO5HGKX8HCuE4&#10;zOpIT8RoW/L5cZBxRDcJkjQY1Ij9pj8IvIHqjqRBGIaUnihtWsCvnHU0oETpy1ag4sy8cSTv+Xg6&#10;TROdjenp2YQMPPZsjj3CSYIqeeRs2K7i8Aq2HnXTUqahoQ6uqCW1znIlqgOrA28awiz44cGkKT+2&#10;c9Tfn8Ty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aq8krWAAAACAEAAA8AAAAAAAAAAQAgAAAA&#10;IgAAAGRycy9kb3ducmV2LnhtbFBLAQIUABQAAAAIAIdO4kAbpBz3RgIAAGwEAAAOAAAAAAAAAAEA&#10;IAAAACUBAABkcnMvZTJvRG9jLnhtbFBLBQYAAAAABgAGAFkBAADdBQAAAAA=&#10;">
                            <v:fill on="f" focussize="0,0"/>
                            <v:stroke color="#000000" miterlimit="8" joinstyle="miter"/>
                            <v:imagedata o:title=""/>
                            <o:lock v:ext="edit" aspectratio="f"/>
                            <v:textbox>
                              <w:txbxContent>
                                <w:p>
                                  <w:pPr>
                                    <w:spacing w:line="240" w:lineRule="auto"/>
                                    <w:ind w:firstLine="0" w:firstLineChars="0"/>
                                    <w:jc w:val="center"/>
                                    <w:rPr>
                                      <w:sz w:val="21"/>
                                      <w:szCs w:val="21"/>
                                    </w:rPr>
                                  </w:pPr>
                                  <w:r>
                                    <w:rPr>
                                      <w:rFonts w:hint="eastAsia"/>
                                      <w:sz w:val="21"/>
                                      <w:szCs w:val="21"/>
                                    </w:rPr>
                                    <w:t>打孔</w:t>
                                  </w:r>
                                </w:p>
                              </w:txbxContent>
                            </v:textbox>
                          </v:shape>
                        </w:pict>
                      </mc:Fallback>
                    </mc:AlternateContent>
                  </w:r>
                  <w:r>
                    <mc:AlternateContent>
                      <mc:Choice Requires="wps">
                        <w:drawing>
                          <wp:anchor distT="0" distB="0" distL="114300" distR="114300" simplePos="0" relativeHeight="251538432" behindDoc="1" locked="0" layoutInCell="1" allowOverlap="1">
                            <wp:simplePos x="0" y="0"/>
                            <wp:positionH relativeFrom="column">
                              <wp:posOffset>2714625</wp:posOffset>
                            </wp:positionH>
                            <wp:positionV relativeFrom="paragraph">
                              <wp:posOffset>187960</wp:posOffset>
                            </wp:positionV>
                            <wp:extent cx="179705" cy="635"/>
                            <wp:effectExtent l="0" t="37465" r="10795" b="38100"/>
                            <wp:wrapNone/>
                            <wp:docPr id="300" name="直线 662"/>
                            <wp:cNvGraphicFramePr/>
                            <a:graphic xmlns:a="http://schemas.openxmlformats.org/drawingml/2006/main">
                              <a:graphicData uri="http://schemas.microsoft.com/office/word/2010/wordprocessingShape">
                                <wps:wsp>
                                  <wps:cNvCnPr>
                                    <a:cxnSpLocks noChangeShapeType="1"/>
                                  </wps:cNvCnPr>
                                  <wps:spPr bwMode="auto">
                                    <a:xfrm>
                                      <a:off x="0" y="0"/>
                                      <a:ext cx="179705" cy="635"/>
                                    </a:xfrm>
                                    <a:prstGeom prst="line">
                                      <a:avLst/>
                                    </a:prstGeom>
                                    <a:noFill/>
                                    <a:ln w="9525" cmpd="sng">
                                      <a:solidFill>
                                        <a:srgbClr val="000000"/>
                                      </a:solidFill>
                                      <a:round/>
                                      <a:headEnd type="none"/>
                                      <a:tailEnd type="triangle" w="med" len="med"/>
                                    </a:ln>
                                  </wps:spPr>
                                  <wps:bodyPr/>
                                </wps:wsp>
                              </a:graphicData>
                            </a:graphic>
                          </wp:anchor>
                        </w:drawing>
                      </mc:Choice>
                      <mc:Fallback>
                        <w:pict>
                          <v:line id="直线 662" o:spid="_x0000_s1026" o:spt="20" style="position:absolute;left:0pt;margin-left:213.75pt;margin-top:14.8pt;height:0.05pt;width:14.15pt;z-index:-251778048;mso-width-relative:page;mso-height-relative:page;" filled="f" stroked="t" coordsize="21600,21600" o:gfxdata="UEsDBAoAAAAAAIdO4kAAAAAAAAAAAAAAAAAEAAAAZHJzL1BLAwQUAAAACACHTuJAUaDl79oAAAAJ&#10;AQAADwAAAGRycy9kb3ducmV2LnhtbE2PwU7DMAyG70i8Q2QkbixttW6lNN0BaVw2QNsQglvWmLai&#10;caom3crb453gaPvT7+8vVpPtxAkH3zpSEM8iEEiVMy3VCt4O67sMhA+ajO4coYIf9LAqr68KnRt3&#10;ph2e9qEWHEI+1wqaEPpcSl81aLWfuR6Jb19usDrwONTSDPrM4baTSRQtpNUt8YdG9/jYYPW9H62C&#10;3Xa9yd4341QNn0/xy+F1+/zhM6Vub+LoAUTAKfzBcNFndSjZ6ehGMl50CubJMmVUQXK/AMHAPE25&#10;y/GyWIIsC/m/QfkLUEsDBBQAAAAIAIdO4kAaXgAZBwIAAPcDAAAOAAAAZHJzL2Uyb0RvYy54bWyt&#10;U0tyGyEQ3acqd6DYRyPJJTme0sgLKc7GSVRl+wAtYDRUgKYAaaSz5BpZZZPj+BppkCzHzsaLzGIK&#10;+vN47zXMrvfWsJ0KUaNr+Ggw5Ew5gVK7TcMf7m8+fOQsJnASDDrV8IOK/Hr+/t2s97UaY4dGqsAI&#10;xMW69w3vUvJ1VUXRKQtxgF45SrYYLCTahk0lA/SEbk01Hg6nVY9B+oBCxUjR5THJT4jhLYDYtlqo&#10;JYqtVS4dUYMykEhS7LSPfF7Ytq0S6VvbRpWYaTgpTeVPh9B6nf/VfAb1JoDvtDhRgLdQeKXJgnZ0&#10;6BlqCQnYNuh/oKwWASO2aSDQVkchxRFSMRq+8uauA6+KFrI6+rPp8f/Biq+7VWBaNvxiSJ44sDTy&#10;xx8/H3/9ZtPpOPvT+1hT2cKtQlYo9u7O36L4HpnDRQduowrP+4On1lHuqF605E30dMq6/4KSamCb&#10;sJi1b4PNkGQD25eZHM4zUfvEBAVHl1eXwwlnglLTi0mBh/qp04eYPiu0LC8abrTLfkENu9uYMhOo&#10;n0py2OGNNqbM3DjWN/xqMs7Y1pMB0W1Kb0SjZa7LHTFs1gsT2A7yBSrficKLsoBbJwtup0B+cpKl&#10;YoejJ5TroU6gzXM8BU3GGcUzCaskZ0bRa8yrI2vjTjZm544zWKM8rEJOZ0fpPhR5p7ubL9zf+1L1&#10;/F7n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RoOXv2gAAAAkBAAAPAAAAAAAAAAEAIAAAACIA&#10;AABkcnMvZG93bnJldi54bWxQSwECFAAUAAAACACHTuJAGl4AGQcCAAD3AwAADgAAAAAAAAABACAA&#10;AAApAQAAZHJzL2Uyb0RvYy54bWxQSwUGAAAAAAYABgBZAQAAo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533312" behindDoc="1" locked="0" layoutInCell="1" allowOverlap="1">
                            <wp:simplePos x="0" y="0"/>
                            <wp:positionH relativeFrom="column">
                              <wp:posOffset>1943100</wp:posOffset>
                            </wp:positionH>
                            <wp:positionV relativeFrom="paragraph">
                              <wp:posOffset>56515</wp:posOffset>
                            </wp:positionV>
                            <wp:extent cx="744220" cy="257175"/>
                            <wp:effectExtent l="9525" t="8890" r="8255" b="10160"/>
                            <wp:wrapNone/>
                            <wp:docPr id="298" name="文本框 663"/>
                            <wp:cNvGraphicFramePr/>
                            <a:graphic xmlns:a="http://schemas.openxmlformats.org/drawingml/2006/main">
                              <a:graphicData uri="http://schemas.microsoft.com/office/word/2010/wordprocessingShape">
                                <wps:wsp>
                                  <wps:cNvSpPr txBox="1">
                                    <a:spLocks noChangeArrowheads="1"/>
                                  </wps:cNvSpPr>
                                  <wps:spPr bwMode="auto">
                                    <a:xfrm>
                                      <a:off x="0" y="0"/>
                                      <a:ext cx="744220" cy="257175"/>
                                    </a:xfrm>
                                    <a:prstGeom prst="rect">
                                      <a:avLst/>
                                    </a:prstGeom>
                                    <a:noFill/>
                                    <a:ln w="9525" cmpd="sng">
                                      <a:solidFill>
                                        <a:srgbClr val="000000"/>
                                      </a:solidFill>
                                      <a:prstDash val="dashDot"/>
                                      <a:miter lim="800000"/>
                                    </a:ln>
                                  </wps:spPr>
                                  <wps:txbx>
                                    <w:txbxContent>
                                      <w:p>
                                        <w:pPr>
                                          <w:spacing w:line="240" w:lineRule="auto"/>
                                          <w:ind w:firstLine="0" w:firstLineChars="0"/>
                                          <w:jc w:val="center"/>
                                          <w:rPr>
                                            <w:sz w:val="21"/>
                                            <w:szCs w:val="21"/>
                                          </w:rPr>
                                        </w:pPr>
                                        <w:r>
                                          <w:rPr>
                                            <w:rFonts w:hint="eastAsia"/>
                                            <w:sz w:val="21"/>
                                            <w:szCs w:val="21"/>
                                          </w:rPr>
                                          <w:t>表面处理</w:t>
                                        </w:r>
                                      </w:p>
                                    </w:txbxContent>
                                  </wps:txbx>
                                  <wps:bodyPr rot="0" vert="horz" wrap="square" lIns="91440" tIns="45720" rIns="91440" bIns="45720" anchor="t" anchorCtr="0" upright="1">
                                    <a:noAutofit/>
                                  </wps:bodyPr>
                                </wps:wsp>
                              </a:graphicData>
                            </a:graphic>
                          </wp:anchor>
                        </w:drawing>
                      </mc:Choice>
                      <mc:Fallback>
                        <w:pict>
                          <v:shape id="文本框 663" o:spid="_x0000_s1026" o:spt="202" type="#_x0000_t202" style="position:absolute;left:0pt;margin-left:153pt;margin-top:4.45pt;height:20.25pt;width:58.6pt;z-index:-251783168;mso-width-relative:page;mso-height-relative:page;" filled="f" stroked="t" coordsize="21600,21600" o:gfxdata="UEsDBAoAAAAAAIdO4kAAAAAAAAAAAAAAAAAEAAAAZHJzL1BLAwQUAAAACACHTuJAIpKh6dcAAAAI&#10;AQAADwAAAGRycy9kb3ducmV2LnhtbE2PwU7DMBBE70j8g7VI3KiTtFRNiNMDEvRKC0Li5sabOCJe&#10;R7abFr6e5QS3Wc1q5k29vbhRzBji4ElBvshAILXeDNQreHt9utuAiEmT0aMnVPCFEbbN9VWtK+PP&#10;tMf5kHrBIRQrrcCmNFVSxtai03HhJyT2Oh+cTnyGXpqgzxzuRllk2Vo6PRA3WD3ho8X283ByCsL7&#10;Lr83z31pu537/ti3XTm/SKVub/LsAUTCS/p7hl98RoeGmY7+RCaKUcEyW/OWpGBTgmB/VSwLEEcW&#10;5QpkU8v/A5ofUEsDBBQAAAAIAIdO4kDMOpnNUwIAAIcEAAAOAAAAZHJzL2Uyb0RvYy54bWytVM1u&#10;2zAMvg/YOwi6L068/DRGnaJr0GFA9wN0ewBFlm1hkqhJSuzuAdY32GmX3fdcfY5RstsG3aWH+SBQ&#10;IvmR/Ej69KzXihyE8xJMSWeTKSXCcKikaUr65fPlqxNKfGCmYgqMKOmN8PRs8/LFaWcLkUMLqhKO&#10;IIjxRWdL2oZgiyzzvBWa+QlYYVBZg9Ms4NU1WeVYh+haZfl0usw6cJV1wIX3+LodlHREdM8BhLqW&#10;XGyB77UwYUB1QrGAJflWWk83Kdu6Fjx8rGsvAlElxUpDOjEIyrt4ZptTVjSO2VbyMQX2nBSe1KSZ&#10;NBj0AWrLAiN7J/+B0pI78FCHCQedDYUkRrCK2fQJN9ctsyLVglR7+0C6/3+w/MPhkyOyKmm+xsYb&#10;prHldz9v7379ufv9gyyXryNFnfUFWl5btA39G+hxcFK53l4B/+qJgYuWmUacOwddK1iFKc6iZ3bk&#10;OuD4CLLr3kOFkdg+QALqa6cjf8gIQXRsz81De0QfCMfH1Xye56jhqMoXq9lqkSKw4t7ZOh/eCtAk&#10;CiV12P0Ezg5XPsRkWHFvEmMZuJRKpQlQhnQlXS/yBcJri3R40wwVgpJVtIse3jW7C+XIgcVxSt+Y&#10;gj82i0G2zLeDXYXSFkI0ZIWWAbdHSV3Sk2N/ZUauIj0DUaHf9egTCdxBdYOsORjmF7cXhRbcd0o6&#10;nF3M9tueOUGJemeQ+fVsPo/Dni7zxSqS5o41u2MNMxyhShooGcSLMCzI3jrZtBhp6LWBc+xWLROT&#10;j1mNeeN8JoLHXYoLcHxPVo//j81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IpKh6dcAAAAIAQAA&#10;DwAAAAAAAAABACAAAAAiAAAAZHJzL2Rvd25yZXYueG1sUEsBAhQAFAAAAAgAh07iQMw6mc1TAgAA&#10;hwQAAA4AAAAAAAAAAQAgAAAAJgEAAGRycy9lMm9Eb2MueG1sUEsFBgAAAAAGAAYAWQEAAOsFAAAA&#10;AA==&#10;">
                            <v:fill on="f" focussize="0,0"/>
                            <v:stroke color="#000000" miterlimit="8" joinstyle="miter" dashstyle="dashDot"/>
                            <v:imagedata o:title=""/>
                            <o:lock v:ext="edit" aspectratio="f"/>
                            <v:textbox>
                              <w:txbxContent>
                                <w:p>
                                  <w:pPr>
                                    <w:spacing w:line="240" w:lineRule="auto"/>
                                    <w:ind w:firstLine="0" w:firstLineChars="0"/>
                                    <w:jc w:val="center"/>
                                    <w:rPr>
                                      <w:sz w:val="21"/>
                                      <w:szCs w:val="21"/>
                                    </w:rPr>
                                  </w:pPr>
                                  <w:r>
                                    <w:rPr>
                                      <w:rFonts w:hint="eastAsia"/>
                                      <w:sz w:val="21"/>
                                      <w:szCs w:val="21"/>
                                    </w:rPr>
                                    <w:t>表面处理</w:t>
                                  </w:r>
                                </w:p>
                              </w:txbxContent>
                            </v:textbox>
                          </v:shape>
                        </w:pict>
                      </mc:Fallback>
                    </mc:AlternateContent>
                  </w:r>
                  <w:r>
                    <mc:AlternateContent>
                      <mc:Choice Requires="wps">
                        <w:drawing>
                          <wp:anchor distT="0" distB="0" distL="114300" distR="114300" simplePos="0" relativeHeight="251539456" behindDoc="1" locked="0" layoutInCell="1" allowOverlap="1">
                            <wp:simplePos x="0" y="0"/>
                            <wp:positionH relativeFrom="column">
                              <wp:posOffset>1743075</wp:posOffset>
                            </wp:positionH>
                            <wp:positionV relativeFrom="paragraph">
                              <wp:posOffset>178435</wp:posOffset>
                            </wp:positionV>
                            <wp:extent cx="179705" cy="635"/>
                            <wp:effectExtent l="0" t="37465" r="10795" b="38100"/>
                            <wp:wrapNone/>
                            <wp:docPr id="297" name="直线 664"/>
                            <wp:cNvGraphicFramePr/>
                            <a:graphic xmlns:a="http://schemas.openxmlformats.org/drawingml/2006/main">
                              <a:graphicData uri="http://schemas.microsoft.com/office/word/2010/wordprocessingShape">
                                <wps:wsp>
                                  <wps:cNvCnPr>
                                    <a:cxnSpLocks noChangeShapeType="1"/>
                                  </wps:cNvCnPr>
                                  <wps:spPr bwMode="auto">
                                    <a:xfrm>
                                      <a:off x="0" y="0"/>
                                      <a:ext cx="179705" cy="635"/>
                                    </a:xfrm>
                                    <a:prstGeom prst="line">
                                      <a:avLst/>
                                    </a:prstGeom>
                                    <a:noFill/>
                                    <a:ln w="9525" cmpd="sng">
                                      <a:solidFill>
                                        <a:srgbClr val="000000"/>
                                      </a:solidFill>
                                      <a:round/>
                                      <a:headEnd type="none"/>
                                      <a:tailEnd type="triangle" w="med" len="med"/>
                                    </a:ln>
                                  </wps:spPr>
                                  <wps:bodyPr/>
                                </wps:wsp>
                              </a:graphicData>
                            </a:graphic>
                          </wp:anchor>
                        </w:drawing>
                      </mc:Choice>
                      <mc:Fallback>
                        <w:pict>
                          <v:line id="直线 664" o:spid="_x0000_s1026" o:spt="20" style="position:absolute;left:0pt;margin-left:137.25pt;margin-top:14.05pt;height:0.05pt;width:14.15pt;z-index:-251777024;mso-width-relative:page;mso-height-relative:page;" filled="f" stroked="t" coordsize="21600,21600" o:gfxdata="UEsDBAoAAAAAAIdO4kAAAAAAAAAAAAAAAAAEAAAAZHJzL1BLAwQUAAAACACHTuJAUXM4JdkAAAAJ&#10;AQAADwAAAGRycy9kb3ducmV2LnhtbE2PzU7DMBCE70i8g7VI3Kid8BeFOD0glUsLqC1C7c2NlyQi&#10;Xkex04a3Z3uC2+7OaPabYj65ThxxCK0nDclMgUCqvG2p1vCxXdxkIEI0ZE3nCTX8YIB5eXlRmNz6&#10;E63xuIm14BAKudHQxNjnUoaqQWfCzPdIrH35wZnI61BLO5gTh7tOpko9SGda4g+N6fG5wep7MzoN&#10;69VimX0ux6ka9i/J2/Z99boLmdbXV4l6AhFxin9mOOMzOpTMdPAj2SA6Denj3T1becgSEGy4VSl3&#10;OZwPKciykP8blL9QSwMEFAAAAAgAh07iQMBNV2EHAgAA9wMAAA4AAABkcnMvZTJvRG9jLnhtbK1T&#10;S3IbIRDdpyp3oNhHIymxHE155IUVZ+MkqrJzgBYwM1SApgBppLPkGlllk+P4Gm6QLMfOxovMYgr6&#10;83jvNVxc7qxhWxWiRtfwyWjMmXICpXZdw7/fXb/7yFlM4CQYdKrhexX55eLtm4vB12qKPRqpAiMQ&#10;F+vBN7xPyddVFUWvLMQReuUo2WKwkGgbukoGGAjdmmo6Hs+qAYP0AYWKkaLLQ5IfEcNrALFttVBL&#10;FBurXDqgBmUgkaTYax/5orBtWyXSt7aNKjHTcFKayp8OofU6/6vFBdRdAN9rcaQAr6HwQpMF7ejQ&#10;E9QSErBN0P9AWS0CRmzTSKCtDkKKI6RiMn7hzW0PXhUtZHX0J9Pj/4MVX7erwLRs+HR+zpkDSyO/&#10;//nr/vcfNpt9yP4MPtZUduVWISsUO3frb1D8iMzhVQ+uU4Xn3d5T6yR3VM9a8iZ6OmU9fEFJNbBJ&#10;WMzatcFmSLKB7cpM9qeZqF1igoKT8/n5+IwzQanZ+7MCD/Vjpw8xfVZoWV403GiX/YIatjcxZSZQ&#10;P5bksMNrbUyZuXFsaPj8bJqxrScDoutKb0SjZa7LHTF06ysT2BbyBSrfkcKzsoAbJwtur0B+cpKl&#10;YoejJ5TroU6gzVM8BU3GGcUzCaskZ0bRa8yrA2vjjjZm5w4zWKPcr0JOZ0fpPhR5x7ubL9zf+1L1&#10;9F4X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FzOCXZAAAACQEAAA8AAAAAAAAAAQAgAAAAIgAA&#10;AGRycy9kb3ducmV2LnhtbFBLAQIUABQAAAAIAIdO4kDATVdhBwIAAPcDAAAOAAAAAAAAAAEAIAAA&#10;ACg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534336" behindDoc="1" locked="0" layoutInCell="1" allowOverlap="1">
                            <wp:simplePos x="0" y="0"/>
                            <wp:positionH relativeFrom="column">
                              <wp:posOffset>1114425</wp:posOffset>
                            </wp:positionH>
                            <wp:positionV relativeFrom="paragraph">
                              <wp:posOffset>66040</wp:posOffset>
                            </wp:positionV>
                            <wp:extent cx="601980" cy="257175"/>
                            <wp:effectExtent l="9525" t="8890" r="7620" b="10160"/>
                            <wp:wrapNone/>
                            <wp:docPr id="296" name="文本框 665"/>
                            <wp:cNvGraphicFramePr/>
                            <a:graphic xmlns:a="http://schemas.openxmlformats.org/drawingml/2006/main">
                              <a:graphicData uri="http://schemas.microsoft.com/office/word/2010/wordprocessingShape">
                                <wps:wsp>
                                  <wps:cNvSpPr txBox="1">
                                    <a:spLocks noChangeArrowheads="1"/>
                                  </wps:cNvSpPr>
                                  <wps:spPr bwMode="auto">
                                    <a:xfrm>
                                      <a:off x="0" y="0"/>
                                      <a:ext cx="601980" cy="257175"/>
                                    </a:xfrm>
                                    <a:prstGeom prst="rect">
                                      <a:avLst/>
                                    </a:prstGeom>
                                    <a:noFill/>
                                    <a:ln w="9525" cmpd="sng">
                                      <a:solidFill>
                                        <a:srgbClr val="000000"/>
                                      </a:solidFill>
                                      <a:prstDash val="dashDot"/>
                                      <a:miter lim="800000"/>
                                    </a:ln>
                                  </wps:spPr>
                                  <wps:txbx>
                                    <w:txbxContent>
                                      <w:p>
                                        <w:pPr>
                                          <w:spacing w:line="240" w:lineRule="auto"/>
                                          <w:ind w:firstLine="0" w:firstLineChars="0"/>
                                          <w:jc w:val="center"/>
                                          <w:rPr>
                                            <w:sz w:val="21"/>
                                            <w:szCs w:val="21"/>
                                          </w:rPr>
                                        </w:pPr>
                                        <w:r>
                                          <w:rPr>
                                            <w:rFonts w:hint="eastAsia"/>
                                            <w:sz w:val="21"/>
                                            <w:szCs w:val="21"/>
                                          </w:rPr>
                                          <w:t>热处理</w:t>
                                        </w:r>
                                      </w:p>
                                    </w:txbxContent>
                                  </wps:txbx>
                                  <wps:bodyPr rot="0" vert="horz" wrap="square" lIns="91440" tIns="45720" rIns="91440" bIns="45720" anchor="t" anchorCtr="0" upright="1">
                                    <a:noAutofit/>
                                  </wps:bodyPr>
                                </wps:wsp>
                              </a:graphicData>
                            </a:graphic>
                          </wp:anchor>
                        </w:drawing>
                      </mc:Choice>
                      <mc:Fallback>
                        <w:pict>
                          <v:shape id="文本框 665" o:spid="_x0000_s1026" o:spt="202" type="#_x0000_t202" style="position:absolute;left:0pt;margin-left:87.75pt;margin-top:5.2pt;height:20.25pt;width:47.4pt;z-index:-251782144;mso-width-relative:page;mso-height-relative:page;" filled="f" stroked="t" coordsize="21600,21600" o:gfxdata="UEsDBAoAAAAAAIdO4kAAAAAAAAAAAAAAAAAEAAAAZHJzL1BLAwQUAAAACACHTuJAcxv8rtcAAAAJ&#10;AQAADwAAAGRycy9kb3ducmV2LnhtbE2PwU7DMAyG70i8Q2QkbizpoIyWpjsgwa5sICRuWeM2FY1T&#10;NVk3eHrMid38y59+f67WJz+IGafYB9KQLRQIpCbYnjoN72/PNw8gYjJkzRAINXxjhHV9eVGZ0oYj&#10;bXHepU5wCcXSaHApjaWUsXHoTVyEEYl3bZi8SRynTtrJHLncD3Kp1L30pie+4MyITw6br93Ba5g+&#10;NlluX7rCtRv/87lt2mJ+lVpfX2XqEUTCU/qH4U+f1aFmp304kI1i4LzKc0Z5UHcgGFiu1C2IvYZc&#10;FSDrSp5/UP8CUEsDBBQAAAAIAIdO4kD99tcXVAIAAIcEAAAOAAAAZHJzL2Uyb0RvYy54bWytVM1u&#10;2zAMvg/YOwi6r06CJmmMOEXXoMOA7gfo9gCKLNvCJFGTlNjZA2xv0NMuu++58hyjpLQLuksP80Gg&#10;RPIj+ZH08nLQiuyE8xJMRcdnI0qE4VBL01b086ebVxeU+MBMzRQYUdG98PRy9fLFsrelmEAHqhaO&#10;IIjxZW8r2oVgy6LwvBOa+TOwwqCyAadZwKtri9qxHtG1Kiaj0azowdXWARfe4+s6K+kR0T0HEJpG&#10;crEGvtXChIzqhGIBS/KdtJ6uUrZNI3j40DReBKIqipWGdGIQlDfxLFZLVraO2U7yYwrsOSk8qUkz&#10;aTDoI9SaBUa2Tv4DpSV34KEJZxx0kQtJjGAV49ETbu46ZkWqBan29pF0//9g+fvdR0dkXdHJYkaJ&#10;YRpbfrj/cfj5+/DrO5nNppGi3voSLe8s2obhNQw4OKlcb2+Bf/HEwHXHTCuunIO+E6zGFMfRszhx&#10;zTg+gmz6d1BjJLYNkICGxunIHzJCEB3bs39sjxgC4fg4G40XF6jhqJpM5+N5yq1g5YOzdT68EaBJ&#10;FCrqsPsJnO1ufYjJsPLBJMYycCOVShOgDOkruphOpgivLdLhTZsrBCXraBc9vGs318qRHYvjlL5U&#10;JGpOzWKQNfNdtqtRWkPIo6ZlwO1RUlf04tRfmSNXkZ5MVBg2w5H7DdR7ZM1Bnl/cXhQ6cN8o6XF2&#10;MduvW+YEJeqtQeYX4/PzOOzpcj6dT/DiTjWbUw0zHKEqGijJ4nXIC7K1TrYdRsq9NnCF3WpkYjK2&#10;NWd1zBvnMxF83KW4AKf3ZPX3/7H6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Mb/K7XAAAACQEA&#10;AA8AAAAAAAAAAQAgAAAAIgAAAGRycy9kb3ducmV2LnhtbFBLAQIUABQAAAAIAIdO4kD99tcXVAIA&#10;AIcEAAAOAAAAAAAAAAEAIAAAACYBAABkcnMvZTJvRG9jLnhtbFBLBQYAAAAABgAGAFkBAADsBQAA&#10;AAA=&#10;">
                            <v:fill on="f" focussize="0,0"/>
                            <v:stroke color="#000000" miterlimit="8" joinstyle="miter" dashstyle="dashDot"/>
                            <v:imagedata o:title=""/>
                            <o:lock v:ext="edit" aspectratio="f"/>
                            <v:textbox>
                              <w:txbxContent>
                                <w:p>
                                  <w:pPr>
                                    <w:spacing w:line="240" w:lineRule="auto"/>
                                    <w:ind w:firstLine="0" w:firstLineChars="0"/>
                                    <w:jc w:val="center"/>
                                    <w:rPr>
                                      <w:sz w:val="21"/>
                                      <w:szCs w:val="21"/>
                                    </w:rPr>
                                  </w:pPr>
                                  <w:r>
                                    <w:rPr>
                                      <w:rFonts w:hint="eastAsia"/>
                                      <w:sz w:val="21"/>
                                      <w:szCs w:val="21"/>
                                    </w:rPr>
                                    <w:t>热处理</w:t>
                                  </w:r>
                                </w:p>
                              </w:txbxContent>
                            </v:textbox>
                          </v:shape>
                        </w:pict>
                      </mc:Fallback>
                    </mc:AlternateContent>
                  </w:r>
                  <w:r>
                    <mc:AlternateContent>
                      <mc:Choice Requires="wps">
                        <w:drawing>
                          <wp:anchor distT="0" distB="0" distL="114300" distR="114300" simplePos="0" relativeHeight="251542528" behindDoc="1" locked="0" layoutInCell="1" allowOverlap="1">
                            <wp:simplePos x="0" y="0"/>
                            <wp:positionH relativeFrom="column">
                              <wp:posOffset>895350</wp:posOffset>
                            </wp:positionH>
                            <wp:positionV relativeFrom="paragraph">
                              <wp:posOffset>197485</wp:posOffset>
                            </wp:positionV>
                            <wp:extent cx="179705" cy="635"/>
                            <wp:effectExtent l="0" t="37465" r="10795" b="38100"/>
                            <wp:wrapNone/>
                            <wp:docPr id="295" name="直线 666"/>
                            <wp:cNvGraphicFramePr/>
                            <a:graphic xmlns:a="http://schemas.openxmlformats.org/drawingml/2006/main">
                              <a:graphicData uri="http://schemas.microsoft.com/office/word/2010/wordprocessingShape">
                                <wps:wsp>
                                  <wps:cNvCnPr>
                                    <a:cxnSpLocks noChangeShapeType="1"/>
                                  </wps:cNvCnPr>
                                  <wps:spPr bwMode="auto">
                                    <a:xfrm>
                                      <a:off x="0" y="0"/>
                                      <a:ext cx="179705" cy="635"/>
                                    </a:xfrm>
                                    <a:prstGeom prst="line">
                                      <a:avLst/>
                                    </a:prstGeom>
                                    <a:noFill/>
                                    <a:ln w="9525" cmpd="sng">
                                      <a:solidFill>
                                        <a:srgbClr val="000000"/>
                                      </a:solidFill>
                                      <a:round/>
                                      <a:headEnd type="none"/>
                                      <a:tailEnd type="triangle" w="med" len="med"/>
                                    </a:ln>
                                  </wps:spPr>
                                  <wps:bodyPr/>
                                </wps:wsp>
                              </a:graphicData>
                            </a:graphic>
                          </wp:anchor>
                        </w:drawing>
                      </mc:Choice>
                      <mc:Fallback>
                        <w:pict>
                          <v:line id="直线 666" o:spid="_x0000_s1026" o:spt="20" style="position:absolute;left:0pt;margin-left:70.5pt;margin-top:15.55pt;height:0.05pt;width:14.15pt;z-index:-251773952;mso-width-relative:page;mso-height-relative:page;" filled="f" stroked="t" coordsize="21600,21600" o:gfxdata="UEsDBAoAAAAAAIdO4kAAAAAAAAAAAAAAAAAEAAAAZHJzL1BLAwQUAAAACACHTuJA+LND/dkAAAAJ&#10;AQAADwAAAGRycy9kb3ducmV2LnhtbE2PzU7DMBCE70i8g7VI3KjjFlUhjdMDUrm0gPojBDc33iYR&#10;8TqynTa8Pc6pPc7saPabfDmYlp3R+caSBDFJgCGVVjdUSTjsV08pMB8UadVaQgl/6GFZ3N/lKtP2&#10;Qls870LFYgn5TEmoQ+gyzn1Zo1F+YjukeDtZZ1SI0lVcO3WJ5abl0ySZc6Maih9q1eFrjeXvrjcS&#10;tpvVOv1a90Ppft7Ex/5z8/7tUykfH0SyABZwCNcwjPgRHYrIdLQ9ac/aqJ9F3BIkzIQANgbmLzNg&#10;x9GYAi9yfrug+AdQSwMEFAAAAAgAh07iQGmKvEkGAgAA9wMAAA4AAABkcnMvZTJvRG9jLnhtbK1T&#10;S3IaMRDdpyp3UGkfBkiBwxSDFxBn4yRU2TlAI2kYVSS1ShIMnCXXyCqbHMfXSEtgHDsbLzKLKak/&#10;T++9lubXB2vYXoWo0TV8NBhyppxAqd224d/ub9594CwmcBIMOtXwo4r8evH2zbz3tRpjh0aqwAjE&#10;xbr3De9S8nVVRdEpC3GAXjlKthgsJNqGbSUD9IRuTTUeDqdVj0H6gELFSNHVKcnPiOE1gNi2WqgV&#10;ip1VLp1QgzKQSFLstI98Udi2rRLpa9tGlZhpOClN5U+H0HqT/9ViDvU2gO+0OFOA11B4ocmCdnTo&#10;BWoFCdgu6H+grBYBI7ZpINBWJyHFEVIxGr7w5q4Dr4oWsjr6i+nx/8GKL/t1YFo2fDybcObA0sgf&#10;fvx8+PWbTafT7E/vY01lS7cOWaE4uDt/i+J7ZA6XHbitKjzvj55aR7mjetaSN9HTKZv+M0qqgV3C&#10;YtahDTZDkg3sUGZyvMxEHRITFBxdza6GxExQavp+UuChfuz0IaZPCi3Li4Yb7bJfUMP+NqbMBOrH&#10;khx2eKONKTM3jvUNn03GGdt6MiC6bemNaLTMdbkjhu1maQLbQ75A5TtTeFYWcOdkwe0UyI9OslTs&#10;cPSEcj3UCbR5iqegyTijeCZhleTMKHqNeXVibdzZxuzcaQYblMd1yOnsKN2HIu98d/OF+3tfqp7e&#10;6+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ND/dkAAAAJAQAADwAAAAAAAAABACAAAAAiAAAA&#10;ZHJzL2Rvd25yZXYueG1sUEsBAhQAFAAAAAgAh07iQGmKvEkGAgAA9wMAAA4AAAAAAAAAAQAgAAAA&#10;KA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537408" behindDoc="1" locked="0" layoutInCell="1" allowOverlap="1">
                            <wp:simplePos x="0" y="0"/>
                            <wp:positionH relativeFrom="column">
                              <wp:posOffset>390525</wp:posOffset>
                            </wp:positionH>
                            <wp:positionV relativeFrom="paragraph">
                              <wp:posOffset>56515</wp:posOffset>
                            </wp:positionV>
                            <wp:extent cx="487680" cy="257175"/>
                            <wp:effectExtent l="9525" t="8890" r="7620" b="10160"/>
                            <wp:wrapNone/>
                            <wp:docPr id="294" name="文本框 667"/>
                            <wp:cNvGraphicFramePr/>
                            <a:graphic xmlns:a="http://schemas.openxmlformats.org/drawingml/2006/main">
                              <a:graphicData uri="http://schemas.microsoft.com/office/word/2010/wordprocessingShape">
                                <wps:wsp>
                                  <wps:cNvSpPr txBox="1">
                                    <a:spLocks noChangeArrowheads="1"/>
                                  </wps:cNvSpPr>
                                  <wps:spPr bwMode="auto">
                                    <a:xfrm>
                                      <a:off x="0" y="0"/>
                                      <a:ext cx="487680" cy="257175"/>
                                    </a:xfrm>
                                    <a:prstGeom prst="rect">
                                      <a:avLst/>
                                    </a:prstGeom>
                                    <a:noFill/>
                                    <a:ln w="9525" cmpd="sng">
                                      <a:solidFill>
                                        <a:srgbClr val="000000"/>
                                      </a:solidFill>
                                      <a:prstDash val="dashDot"/>
                                      <a:miter lim="800000"/>
                                    </a:ln>
                                  </wps:spPr>
                                  <wps:txbx>
                                    <w:txbxContent>
                                      <w:p>
                                        <w:pPr>
                                          <w:spacing w:line="240" w:lineRule="auto"/>
                                          <w:ind w:firstLine="0" w:firstLineChars="0"/>
                                          <w:jc w:val="center"/>
                                          <w:rPr>
                                            <w:sz w:val="21"/>
                                            <w:szCs w:val="21"/>
                                          </w:rPr>
                                        </w:pPr>
                                        <w:r>
                                          <w:rPr>
                                            <w:rFonts w:hint="eastAsia"/>
                                            <w:sz w:val="21"/>
                                            <w:szCs w:val="21"/>
                                          </w:rPr>
                                          <w:t>调质</w:t>
                                        </w:r>
                                      </w:p>
                                    </w:txbxContent>
                                  </wps:txbx>
                                  <wps:bodyPr rot="0" vert="horz" wrap="square" lIns="91440" tIns="45720" rIns="91440" bIns="45720" anchor="t" anchorCtr="0" upright="1">
                                    <a:noAutofit/>
                                  </wps:bodyPr>
                                </wps:wsp>
                              </a:graphicData>
                            </a:graphic>
                          </wp:anchor>
                        </w:drawing>
                      </mc:Choice>
                      <mc:Fallback>
                        <w:pict>
                          <v:shape id="文本框 667" o:spid="_x0000_s1026" o:spt="202" type="#_x0000_t202" style="position:absolute;left:0pt;margin-left:30.75pt;margin-top:4.45pt;height:20.25pt;width:38.4pt;z-index:-251779072;mso-width-relative:page;mso-height-relative:page;" filled="f" stroked="t" coordsize="21600,21600" o:gfxdata="UEsDBAoAAAAAAIdO4kAAAAAAAAAAAAAAAAAEAAAAZHJzL1BLAwQUAAAACACHTuJAYMWxtdYAAAAH&#10;AQAADwAAAGRycy9kb3ducmV2LnhtbE2OTU/DMBBE70j8B2srcaNO6IeSkE0PSNArbRESNzfexFHj&#10;dRS7aeHX457gOJrRm1durrYXE42+c4yQzhMQxLXTHbcIH4fXxwyED4q16h0Twjd52FT3d6UqtLvw&#10;jqZ9aEWEsC8UgglhKKT0tSGr/NwNxLFr3GhViHFspR7VJcJtL5+SZC2t6jg+GDXQi6H6tD9bhPFz&#10;m670W5ubZmt/vnZ1k0/vEvFhlibPIAJdw98YbvpRHarodHRn1l70COt0FZcIWQ7iVi+yBYgjwjJf&#10;gqxK+d+/+gVQSwMEFAAAAAgAh07iQF5dDa5TAgAAhwQAAA4AAABkcnMvZTJvRG9jLnhtbK1US47b&#10;MAzdF+gdBO0bJ0G+RpzBNMEUBaYfYNoDKLJsC5VEVVJiTw/Q3qCrbrrvuXKOUnImE0w3s6gXAiWS&#10;j+Qj6dVVpxU5COclmIKOBkNKhOFQSlMX9POnm1cLSnxgpmQKjCjovfD0av3yxaq1uRhDA6oUjiCI&#10;8XlrC9qEYPMs87wRmvkBWGFQWYHTLODV1VnpWIvoWmXj4XCWteBK64AL7/F12yvpCdE9BxCqSnKx&#10;Bb7XwoQe1QnFApbkG2k9Xadsq0rw8KGqvAhEFRQrDenEICjv4pmtVyyvHbON5KcU2HNSeFKTZtJg&#10;0DPUlgVG9k7+A6Uld+ChCgMOOusLSYxgFaPhE27uGmZFqgWp9vZMuv9/sPz94aMjsizoeDmhxDCN&#10;LT/+/HH89ef4+zuZzeaRotb6HC3vLNqG7jV0ODipXG9vgX/xxMCmYaYW185B2whWYoqj6JlduPY4&#10;PoLs2ndQYiS2D5CAusrpyB8yQhAd23N/bo/oAuH4OFnMZwvUcFSNp/PRfJoisPzB2Tof3gjQJAoF&#10;ddj9BM4Otz7EZFj+YBJjGbiRSqUJUIa0BV1Ox1OE1xbp8KbuKwQly2gXPbyrdxvlyIHFcUrfKQV/&#10;aRaDbJlversSpS2EaMhyLQNuj5K6oItLf2VOXEV6eqJCt+vQJxK4g/IeWXPQzy9uLwoNuG+UtDi7&#10;mO3XPXOCEvXWIPPL0WQShz1dJtP5GC/uUrO71DDDEaqggZJe3IR+QfbWybrBSH2vDVxjtyqZmHzM&#10;6pQ3zmci+LRLcQEu78nq8f+x/g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gxbG11gAAAAcBAAAP&#10;AAAAAAAAAAEAIAAAACIAAABkcnMvZG93bnJldi54bWxQSwECFAAUAAAACACHTuJAXl0NrlMCAACH&#10;BAAADgAAAAAAAAABACAAAAAlAQAAZHJzL2Uyb0RvYy54bWxQSwUGAAAAAAYABgBZAQAA6gUAAAAA&#10;">
                            <v:fill on="f" focussize="0,0"/>
                            <v:stroke color="#000000" miterlimit="8" joinstyle="miter" dashstyle="dashDot"/>
                            <v:imagedata o:title=""/>
                            <o:lock v:ext="edit" aspectratio="f"/>
                            <v:textbox>
                              <w:txbxContent>
                                <w:p>
                                  <w:pPr>
                                    <w:spacing w:line="240" w:lineRule="auto"/>
                                    <w:ind w:firstLine="0" w:firstLineChars="0"/>
                                    <w:jc w:val="center"/>
                                    <w:rPr>
                                      <w:sz w:val="21"/>
                                      <w:szCs w:val="21"/>
                                    </w:rPr>
                                  </w:pPr>
                                  <w:r>
                                    <w:rPr>
                                      <w:rFonts w:hint="eastAsia"/>
                                      <w:sz w:val="21"/>
                                      <w:szCs w:val="21"/>
                                    </w:rPr>
                                    <w:t>调质</w:t>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209550</wp:posOffset>
                            </wp:positionH>
                            <wp:positionV relativeFrom="paragraph">
                              <wp:posOffset>178435</wp:posOffset>
                            </wp:positionV>
                            <wp:extent cx="179705" cy="635"/>
                            <wp:effectExtent l="0" t="37465" r="10795" b="38100"/>
                            <wp:wrapNone/>
                            <wp:docPr id="293" name="直线 668"/>
                            <wp:cNvGraphicFramePr/>
                            <a:graphic xmlns:a="http://schemas.openxmlformats.org/drawingml/2006/main">
                              <a:graphicData uri="http://schemas.microsoft.com/office/word/2010/wordprocessingShape">
                                <wps:wsp>
                                  <wps:cNvCnPr>
                                    <a:cxnSpLocks noChangeShapeType="1"/>
                                  </wps:cNvCnPr>
                                  <wps:spPr bwMode="auto">
                                    <a:xfrm>
                                      <a:off x="0" y="0"/>
                                      <a:ext cx="179705" cy="635"/>
                                    </a:xfrm>
                                    <a:prstGeom prst="line">
                                      <a:avLst/>
                                    </a:prstGeom>
                                    <a:noFill/>
                                    <a:ln w="9525" cmpd="sng">
                                      <a:solidFill>
                                        <a:srgbClr val="000000"/>
                                      </a:solidFill>
                                      <a:round/>
                                      <a:headEnd type="none"/>
                                      <a:tailEnd type="triangle" w="med" len="med"/>
                                    </a:ln>
                                  </wps:spPr>
                                  <wps:bodyPr/>
                                </wps:wsp>
                              </a:graphicData>
                            </a:graphic>
                          </wp:anchor>
                        </w:drawing>
                      </mc:Choice>
                      <mc:Fallback>
                        <w:pict>
                          <v:line id="直线 668" o:spid="_x0000_s1026" o:spt="20" style="position:absolute;left:0pt;margin-left:16.5pt;margin-top:14.05pt;height:0.05pt;width:14.15pt;z-index:251681792;mso-width-relative:page;mso-height-relative:page;" filled="f" stroked="t" coordsize="21600,21600" o:gfxdata="UEsDBAoAAAAAAIdO4kAAAAAAAAAAAAAAAAAEAAAAZHJzL1BLAwQUAAAACACHTuJAB6v8KtcAAAAH&#10;AQAADwAAAGRycy9kb3ducmV2LnhtbE2PzWrDMBCE74W+g9hCb40sG4JxLedQSC5JWvJDaG+KtbVN&#10;rZWR5MR9+yqn5jjMMPNNuZhMzy7ofGdJgpglwJBqqztqJBwPy5ccmA+KtOotoYRf9LCoHh9KVWh7&#10;pR1e9qFhsYR8oSS0IQwF575u0Sg/swNS9L6tMypE6RqunbrGctPzNEnm3KiO4kKrBnxrsf7Zj0bC&#10;brNc56f1ONXuayXeDx+b7afPpXx+EskrsIBT+A/DDT+iQxWZznYk7VkvIcvilSAhzQWw6M9FBux8&#10;0ynwquT3/NUfUEsDBBQAAAAIAIdO4kD7xAZVBwIAAPcDAAAOAAAAZHJzL2Uyb0RvYy54bWytU0ty&#10;GyEQ3acqd6DYRyPJJdma0sgLKc7GSVxl5wAtYDRUgKYAaaSz5BpZZZPj+BppkCzHzsaLzGIK+vN4&#10;7zXMr/fWsJ0KUaNr+Ggw5Ew5gVK7TcO/Pdx8uOIsJnASDDrV8IOK/Hrx/t2897UaY4dGqsAIxMW6&#10;9w3vUvJ1VUXRKQtxgF45SrYYLCTahk0lA/SEbk01Hg6nVY9B+oBCxUjR1THJT4jhLYDYtlqoFYqt&#10;VS4dUYMykEhS7LSPfFHYtq0S6WvbRpWYaTgpTeVPh9B6nf/VYg71JoDvtDhRgLdQeKXJgnZ06Blq&#10;BQnYNuh/oKwWASO2aSDQVkchxRFSMRq+8ua+A6+KFrI6+rPp8f/Bii+7u8C0bPh4dsGZA0sjf/zx&#10;8/HXbzadXmV/eh9rKlu6u5AVir2797covkfmcNmB26jC8+HgqXWUO6oXLXkTPZ2y7j+jpBrYJixm&#10;7dtgMyTZwPZlJofzTNQ+MUHB0eXscjjhTFBqejEp8FA/dfoQ0yeFluVFw4122S+oYXcbU2YC9VNJ&#10;Dju80caUmRvH+obPJuOMbT0ZEN2m9EY0Wua63BHDZr00ge0gX6DynSi8KAu4dbLgdgrkRydZKnY4&#10;ekK5HuoE2jzHU9BknFE8k7BKcmYUvca8OrI27mRjdu44gzXKw13I6ewo3Yci73R384X7e1+qnt/r&#10;4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Hq/wq1wAAAAcBAAAPAAAAAAAAAAEAIAAAACIAAABk&#10;cnMvZG93bnJldi54bWxQSwECFAAUAAAACACHTuJA+8QGVQcCAAD3AwAADgAAAAAAAAABACAAAAAm&#10;AQAAZHJzL2Uyb0RvYy54bWxQSwUGAAAAAAYABgBZAQAAnwUAAAAA&#10;">
                            <v:fill on="f" focussize="0,0"/>
                            <v:stroke color="#000000" joinstyle="round" endarrow="block"/>
                            <v:imagedata o:title=""/>
                            <o:lock v:ext="edit" aspectratio="f"/>
                          </v:line>
                        </w:pict>
                      </mc:Fallback>
                    </mc:AlternateContent>
                  </w:r>
                </w:p>
                <w:p>
                  <w:pPr>
                    <w:ind w:firstLine="0" w:firstLineChars="0"/>
                  </w:pPr>
                  <w:r>
                    <mc:AlternateContent>
                      <mc:Choice Requires="wps">
                        <w:drawing>
                          <wp:anchor distT="0" distB="0" distL="114300" distR="114300" simplePos="0" relativeHeight="251674624" behindDoc="0" locked="0" layoutInCell="1" allowOverlap="1">
                            <wp:simplePos x="0" y="0"/>
                            <wp:positionH relativeFrom="column">
                              <wp:posOffset>2880995</wp:posOffset>
                            </wp:positionH>
                            <wp:positionV relativeFrom="paragraph">
                              <wp:posOffset>201295</wp:posOffset>
                            </wp:positionV>
                            <wp:extent cx="1170940" cy="285115"/>
                            <wp:effectExtent l="13970" t="10795" r="5715" b="8890"/>
                            <wp:wrapNone/>
                            <wp:docPr id="292" name="文本框 672"/>
                            <wp:cNvGraphicFramePr/>
                            <a:graphic xmlns:a="http://schemas.openxmlformats.org/drawingml/2006/main">
                              <a:graphicData uri="http://schemas.microsoft.com/office/word/2010/wordprocessingShape">
                                <wps:wsp>
                                  <wps:cNvSpPr txBox="1">
                                    <a:spLocks noChangeArrowheads="1"/>
                                  </wps:cNvSpPr>
                                  <wps:spPr bwMode="auto">
                                    <a:xfrm>
                                      <a:off x="0" y="0"/>
                                      <a:ext cx="1170940" cy="285115"/>
                                    </a:xfrm>
                                    <a:prstGeom prst="rect">
                                      <a:avLst/>
                                    </a:prstGeom>
                                    <a:noFill/>
                                    <a:ln w="9525" cmpd="sng">
                                      <a:solidFill>
                                        <a:srgbClr val="000000"/>
                                      </a:solidFill>
                                      <a:prstDash val="dash"/>
                                      <a:miter lim="800000"/>
                                    </a:ln>
                                    <a:effectLst/>
                                  </wps:spPr>
                                  <wps:txbx>
                                    <w:txbxContent>
                                      <w:p>
                                        <w:pPr>
                                          <w:spacing w:line="240" w:lineRule="auto"/>
                                          <w:ind w:firstLine="0" w:firstLineChars="0"/>
                                          <w:jc w:val="center"/>
                                          <w:rPr>
                                            <w:sz w:val="21"/>
                                            <w:szCs w:val="21"/>
                                          </w:rPr>
                                        </w:pPr>
                                        <w:r>
                                          <w:rPr>
                                            <w:rFonts w:hint="eastAsia"/>
                                            <w:sz w:val="21"/>
                                            <w:szCs w:val="21"/>
                                          </w:rPr>
                                          <w:t>金属边角料</w:t>
                                        </w:r>
                                        <w:r>
                                          <w:rPr>
                                            <w:sz w:val="21"/>
                                            <w:szCs w:val="21"/>
                                          </w:rPr>
                                          <w:t>S</w:t>
                                        </w:r>
                                        <w:r>
                                          <w:rPr>
                                            <w:rFonts w:hint="eastAsia"/>
                                            <w:sz w:val="21"/>
                                            <w:szCs w:val="21"/>
                                            <w:vertAlign w:val="subscript"/>
                                          </w:rPr>
                                          <w:t>2</w:t>
                                        </w:r>
                                      </w:p>
                                    </w:txbxContent>
                                  </wps:txbx>
                                  <wps:bodyPr rot="0" vert="horz" wrap="square" lIns="91440" tIns="45720" rIns="91440" bIns="45720" anchor="t" anchorCtr="0" upright="1">
                                    <a:noAutofit/>
                                  </wps:bodyPr>
                                </wps:wsp>
                              </a:graphicData>
                            </a:graphic>
                          </wp:anchor>
                        </w:drawing>
                      </mc:Choice>
                      <mc:Fallback>
                        <w:pict>
                          <v:shape id="文本框 672" o:spid="_x0000_s1026" o:spt="202" type="#_x0000_t202" style="position:absolute;left:0pt;margin-left:226.85pt;margin-top:15.85pt;height:22.45pt;width:92.2pt;z-index:251674624;mso-width-relative:page;mso-height-relative:page;" filled="f" stroked="t" coordsize="21600,21600" o:gfxdata="UEsDBAoAAAAAAIdO4kAAAAAAAAAAAAAAAAAEAAAAZHJzL1BLAwQUAAAACACHTuJASvIqHdoAAAAJ&#10;AQAADwAAAGRycy9kb3ducmV2LnhtbE2PwUrDQBCG74LvsIzgzW5i2qSk2fQgCApSsfZgb5PsNAnN&#10;zobstolv73rS0zDMxz/fX2xn04srja6zrCBeRCCIa6s7bhQcPp8f1iCcR9bYWyYF3+RgW97eFJhr&#10;O/EHXfe+ESGEXY4KWu+HXEpXt2TQLexAHG4nOxr0YR0bqUecQrjp5WMUpdJgx+FDiwM9tVSf9xej&#10;4HiYquVut5Lz+9sX+eTlFc/ZUan7uzjagPA0+z8YfvWDOpTBqbIX1k70CparJAuogiQOMwBpso5B&#10;VAqyNAVZFvJ/g/IHUEsDBBQAAAAIAIdO4kDOXvfDVwIAAJMEAAAOAAAAZHJzL2Uyb0RvYy54bWyt&#10;VM1u2zAMvg/YOwi6L46NpkmMOkXXoMOA7gfo9gCKLNvCJFGTlNjZA2xvsNMuu++58hyj5LQNuksP&#10;80GgRPIj+ZH0xeWgFdkJ5yWYiuaTKSXCcKilaSv6+dPNqwUlPjBTMwVGVHQvPL1cvXxx0dtSFNCB&#10;qoUjCGJ82duKdiHYMss874RmfgJWGFQ24DQLeHVtVjvWI7pWWTGdnmc9uNo64MJ7fF2PSnpEdM8B&#10;hKaRXKyBb7UwYUR1QrGAJflOWk9XKdumETx8aBovAlEVxUpDOjEIypt4ZqsLVraO2U7yYwrsOSk8&#10;qUkzaTDoA9SaBUa2Tv4DpSV34KEJEw46GwtJjGAV+fQJN3cdsyLVglR7+0C6/3+w/P3uoyOyrmix&#10;LCgxTGPLDz9/HH79Ofz+Ts7nRaSot75EyzuLtmF4DQMOTirX21vgXzwxcN0x04or56DvBKsxxTx6&#10;ZieuI46PIJv+HdQYiW0DJKChcTryh4wQRMf27B/aI4ZAeAyZz6fLM1Rx1BWLWZ7PUghW3ntb58Mb&#10;AZpEoaIO25/Q2e7Wh5gNK+9NYjADN1KpNALKkL6iy1kxQ3htkQ9v2rFEULKOdtHDu3ZzrRzZsThP&#10;6Tum4E/NYpA1891oV6MUrVipZcDdUVJXdHHqrEzUijSvx0wjb5GqkbQwbAZEiI8bqPfIoINxlnGT&#10;UejAfaOkxznGxL9umROUqLcGu7DMzyJlIV3OZvMCL+5UsznVMMMRqqKBklG8DuOybK2TbYeRxr4b&#10;uMLONTKR+pjVsd84q4nr417FZTi9J6vHf8nq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ryKh3a&#10;AAAACQEAAA8AAAAAAAAAAQAgAAAAIgAAAGRycy9kb3ducmV2LnhtbFBLAQIUABQAAAAIAIdO4kDO&#10;XvfDVwIAAJMEAAAOAAAAAAAAAAEAIAAAACkBAABkcnMvZTJvRG9jLnhtbFBLBQYAAAAABgAGAFkB&#10;AADyBQAAAAA=&#10;">
                            <v:fill on="f" focussize="0,0"/>
                            <v:stroke color="#000000" miterlimit="8" joinstyle="miter" dashstyle="dash"/>
                            <v:imagedata o:title=""/>
                            <o:lock v:ext="edit" aspectratio="f"/>
                            <v:textbox>
                              <w:txbxContent>
                                <w:p>
                                  <w:pPr>
                                    <w:spacing w:line="240" w:lineRule="auto"/>
                                    <w:ind w:firstLine="0" w:firstLineChars="0"/>
                                    <w:jc w:val="center"/>
                                    <w:rPr>
                                      <w:sz w:val="21"/>
                                      <w:szCs w:val="21"/>
                                    </w:rPr>
                                  </w:pPr>
                                  <w:r>
                                    <w:rPr>
                                      <w:rFonts w:hint="eastAsia"/>
                                      <w:sz w:val="21"/>
                                      <w:szCs w:val="21"/>
                                    </w:rPr>
                                    <w:t>金属边角料</w:t>
                                  </w:r>
                                  <w:r>
                                    <w:rPr>
                                      <w:sz w:val="21"/>
                                      <w:szCs w:val="21"/>
                                    </w:rPr>
                                    <w:t>S</w:t>
                                  </w:r>
                                  <w:r>
                                    <w:rPr>
                                      <w:rFonts w:hint="eastAsia"/>
                                      <w:sz w:val="21"/>
                                      <w:szCs w:val="21"/>
                                      <w:vertAlign w:val="subscript"/>
                                    </w:rPr>
                                    <w:t>2</w:t>
                                  </w:r>
                                </w:p>
                              </w:txbxContent>
                            </v:textbox>
                          </v:shap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4243070</wp:posOffset>
                            </wp:positionH>
                            <wp:positionV relativeFrom="paragraph">
                              <wp:posOffset>220345</wp:posOffset>
                            </wp:positionV>
                            <wp:extent cx="685165" cy="285115"/>
                            <wp:effectExtent l="13970" t="10795" r="5715" b="8890"/>
                            <wp:wrapNone/>
                            <wp:docPr id="291" name="文本框 669"/>
                            <wp:cNvGraphicFramePr/>
                            <a:graphic xmlns:a="http://schemas.openxmlformats.org/drawingml/2006/main">
                              <a:graphicData uri="http://schemas.microsoft.com/office/word/2010/wordprocessingShape">
                                <wps:wsp>
                                  <wps:cNvSpPr txBox="1">
                                    <a:spLocks noChangeArrowheads="1"/>
                                  </wps:cNvSpPr>
                                  <wps:spPr bwMode="auto">
                                    <a:xfrm>
                                      <a:off x="0" y="0"/>
                                      <a:ext cx="685165" cy="285115"/>
                                    </a:xfrm>
                                    <a:prstGeom prst="rect">
                                      <a:avLst/>
                                    </a:prstGeom>
                                    <a:noFill/>
                                    <a:ln w="9525" cmpd="sng">
                                      <a:solidFill>
                                        <a:srgbClr val="000000"/>
                                      </a:solidFill>
                                      <a:prstDash val="dash"/>
                                      <a:miter lim="800000"/>
                                    </a:ln>
                                  </wps:spPr>
                                  <wps:txbx>
                                    <w:txbxContent>
                                      <w:p>
                                        <w:pPr>
                                          <w:spacing w:line="240" w:lineRule="auto"/>
                                          <w:ind w:firstLine="0" w:firstLineChars="0"/>
                                          <w:jc w:val="center"/>
                                          <w:rPr>
                                            <w:sz w:val="21"/>
                                            <w:szCs w:val="21"/>
                                          </w:rPr>
                                        </w:pPr>
                                        <w:r>
                                          <w:rPr>
                                            <w:rFonts w:hint="eastAsia"/>
                                            <w:sz w:val="21"/>
                                            <w:szCs w:val="21"/>
                                          </w:rPr>
                                          <w:t>次品</w:t>
                                        </w:r>
                                        <w:r>
                                          <w:rPr>
                                            <w:sz w:val="21"/>
                                            <w:szCs w:val="21"/>
                                          </w:rPr>
                                          <w:t>S</w:t>
                                        </w:r>
                                        <w:r>
                                          <w:rPr>
                                            <w:rFonts w:hint="eastAsia"/>
                                            <w:sz w:val="21"/>
                                            <w:szCs w:val="21"/>
                                            <w:vertAlign w:val="subscript"/>
                                          </w:rPr>
                                          <w:t>3</w:t>
                                        </w:r>
                                      </w:p>
                                    </w:txbxContent>
                                  </wps:txbx>
                                  <wps:bodyPr rot="0" vert="horz" wrap="square" lIns="91440" tIns="45720" rIns="91440" bIns="45720" anchor="t" anchorCtr="0" upright="1">
                                    <a:noAutofit/>
                                  </wps:bodyPr>
                                </wps:wsp>
                              </a:graphicData>
                            </a:graphic>
                          </wp:anchor>
                        </w:drawing>
                      </mc:Choice>
                      <mc:Fallback>
                        <w:pict>
                          <v:shape id="文本框 669" o:spid="_x0000_s1026" o:spt="202" type="#_x0000_t202" style="position:absolute;left:0pt;margin-left:334.1pt;margin-top:17.35pt;height:22.45pt;width:53.95pt;z-index:251689984;mso-width-relative:page;mso-height-relative:page;" filled="f" stroked="t" coordsize="21600,21600" o:gfxdata="UEsDBAoAAAAAAIdO4kAAAAAAAAAAAAAAAAAEAAAAZHJzL1BLAwQUAAAACACHTuJAE+gGH9oAAAAJ&#10;AQAADwAAAGRycy9kb3ducmV2LnhtbE2PwU7DMAyG70i8Q2QkbiztNtqta7oDEhJIaBNjB3ZzG9NW&#10;a5Kqydby9pgT3Gz50+/vz7eT6cSVBt86qyCeRSDIVk63tlZw/Hh+WIHwAa3GzllS8E0etsXtTY6Z&#10;dqN9p+sh1IJDrM9QQRNCn0npq4YM+pnryfLtyw0GA69DLfWAI4ebTs6jKJEGW8sfGuzpqaHqfLgY&#10;BafjWC53u0c57d8+KSxeXvGcnpS6v4ujDYhAU/iD4Vef1aFgp9JdrPaiU5AkqzmjChbLFAQDaZrE&#10;IEoe1gnIIpf/GxQ/UEsDBBQAAAAIAIdO4kBB0ijjUAIAAIQEAAAOAAAAZHJzL2Uyb0RvYy54bWyt&#10;VEtu2zAQ3RfoHQjuG1mG7caC5SCNkaJA+gHSHoCmKIkoyWFJ2lJ6gPYGWXXTfc/lc3RIKY6RbrKo&#10;FsJQM/PmzZuhVhe9VmQvnJdgSpqfTSgRhkMlTVPSL5+vX51T4gMzFVNgREnvhKcX65cvVp0txBRa&#10;UJVwBEGMLzpb0jYEW2SZ563QzJ+BFQadNTjNAh5dk1WOdYiuVTadTBZZB66yDrjwHr9uBicdEd1z&#10;AKGuJRcb4DstTBhQnVAsYEu+ldbTdWJb14KHj3XtRSCqpNhpSG8sgvY2vrP1ihWNY7aVfKTAnkPh&#10;SU+aSYNFj1AbFhjZOfkPlJbcgYc6nHHQ2dBIUgS7yCdPtLltmRWpF5Ta26Po/v/B8g/7T47IqqTT&#10;ZU6JYRpHfrj/efj15/D7B1ksllGizvoCI28txob+DfS4OKldb2+Af/XEwFXLTCMunYOuFaxCinnM&#10;zE5SBxwfQbbde6iwEtsFSEB97XTUDxUhiI7juTuOR/SBcPy4OJ/nizklHF1TtPN5qsCKh2TrfHgr&#10;QJNolNTh9BM429/4EMmw4iEk1jJwLZVKG6AM6Uq6nE8jvLYohzfN0CEoWcW4mOFds71SjuxZXKf0&#10;jBT8aVgssmG+HeIqtGIUK7QMeHWU1CU9P01WZhQqajOoFPptjzlRvS1UdyiZg2F58eqi0YL7TkmH&#10;i4tUv+2YE5SodwZlX+azWdz0dJjNX0/x4E4921MPMxyhShooGcyrMNyOnXWyabHSMGgDlziqWiYZ&#10;H1mNvHE5k7rjRYrbf3pOUY8/j/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E+gGH9oAAAAJAQAA&#10;DwAAAAAAAAABACAAAAAiAAAAZHJzL2Rvd25yZXYueG1sUEsBAhQAFAAAAAgAh07iQEHSKONQAgAA&#10;hAQAAA4AAAAAAAAAAQAgAAAAKQEAAGRycy9lMm9Eb2MueG1sUEsFBgAAAAAGAAYAWQEAAOsFAAAA&#10;AA==&#10;">
                            <v:fill on="f" focussize="0,0"/>
                            <v:stroke color="#000000" miterlimit="8" joinstyle="miter" dashstyle="dash"/>
                            <v:imagedata o:title=""/>
                            <o:lock v:ext="edit" aspectratio="f"/>
                            <v:textbox>
                              <w:txbxContent>
                                <w:p>
                                  <w:pPr>
                                    <w:spacing w:line="240" w:lineRule="auto"/>
                                    <w:ind w:firstLine="0" w:firstLineChars="0"/>
                                    <w:jc w:val="center"/>
                                    <w:rPr>
                                      <w:sz w:val="21"/>
                                      <w:szCs w:val="21"/>
                                    </w:rPr>
                                  </w:pPr>
                                  <w:r>
                                    <w:rPr>
                                      <w:rFonts w:hint="eastAsia"/>
                                      <w:sz w:val="21"/>
                                      <w:szCs w:val="21"/>
                                    </w:rPr>
                                    <w:t>次品</w:t>
                                  </w:r>
                                  <w:r>
                                    <w:rPr>
                                      <w:sz w:val="21"/>
                                      <w:szCs w:val="21"/>
                                    </w:rPr>
                                    <w:t>S</w:t>
                                  </w:r>
                                  <w:r>
                                    <w:rPr>
                                      <w:rFonts w:hint="eastAsia"/>
                                      <w:sz w:val="21"/>
                                      <w:szCs w:val="21"/>
                                      <w:vertAlign w:val="subscript"/>
                                    </w:rPr>
                                    <w:t>3</w:t>
                                  </w:r>
                                </w:p>
                              </w:txbxContent>
                            </v:textbox>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4443095</wp:posOffset>
                            </wp:positionH>
                            <wp:positionV relativeFrom="paragraph">
                              <wp:posOffset>108585</wp:posOffset>
                            </wp:positionV>
                            <wp:extent cx="181610" cy="93345"/>
                            <wp:effectExtent l="1905" t="4445" r="6985" b="16510"/>
                            <wp:wrapNone/>
                            <wp:docPr id="290" name="直线 670"/>
                            <wp:cNvGraphicFramePr/>
                            <a:graphic xmlns:a="http://schemas.openxmlformats.org/drawingml/2006/main">
                              <a:graphicData uri="http://schemas.microsoft.com/office/word/2010/wordprocessingShape">
                                <wps:wsp>
                                  <wps:cNvCnPr>
                                    <a:cxnSpLocks noChangeShapeType="1"/>
                                  </wps:cNvCnPr>
                                  <wps:spPr bwMode="auto">
                                    <a:xfrm>
                                      <a:off x="0" y="0"/>
                                      <a:ext cx="181610" cy="93345"/>
                                    </a:xfrm>
                                    <a:prstGeom prst="line">
                                      <a:avLst/>
                                    </a:prstGeom>
                                    <a:noFill/>
                                    <a:ln w="9525" cmpd="sng">
                                      <a:solidFill>
                                        <a:srgbClr val="000000"/>
                                      </a:solidFill>
                                      <a:prstDash val="dash"/>
                                      <a:round/>
                                      <a:headEnd type="none"/>
                                      <a:tailEnd type="triangle" w="med" len="med"/>
                                    </a:ln>
                                  </wps:spPr>
                                  <wps:bodyPr/>
                                </wps:wsp>
                              </a:graphicData>
                            </a:graphic>
                          </wp:anchor>
                        </w:drawing>
                      </mc:Choice>
                      <mc:Fallback>
                        <w:pict>
                          <v:line id="直线 670" o:spid="_x0000_s1026" o:spt="20" style="position:absolute;left:0pt;margin-left:349.85pt;margin-top:8.55pt;height:7.35pt;width:14.3pt;z-index:251688960;mso-width-relative:page;mso-height-relative:page;" filled="f" stroked="t" coordsize="21600,21600" o:gfxdata="UEsDBAoAAAAAAIdO4kAAAAAAAAAAAAAAAAAEAAAAZHJzL1BLAwQUAAAACACHTuJAk3ak+doAAAAJ&#10;AQAADwAAAGRycy9kb3ducmV2LnhtbE2Pu07DQBBFeyT+YTVINIisHYvYMV5HiEdFQWIoKCf2xDZ4&#10;Zy3v5gFfz1BBObpX554pVic7qANNvndsIJ5FoIhr1/TcGnh7fbrOQPmA3ODgmAx8kYdVeX5WYN64&#10;I2/oUIVWCYR9jga6EMZca193ZNHP3Egs2c5NFoOcU6ubCY8Ct4OeR9FCW+xZFjoc6b6j+rPaWwOL&#10;9xe821Xrm/W4eayT6vvBXT1/GHN5EUe3oAKdwl8ZfvVFHUpx2ro9N14NwlguU6lKkMagpJDOswTU&#10;1kASZ6DLQv//oPwBUEsDBBQAAAAIAIdO4kBxQzw6EQIAABEEAAAOAAAAZHJzL2Uyb0RvYy54bWyt&#10;U0tyEzEQ3VPFHVTak/E42CRTGWcREzYBXJVwgLak8ajQr9Syxz4L12DFhuPkGrQ0TkLCJgtmMaX+&#10;ve731Lq43FvDdiqi9q7l9cmEM+WEl9ptWv7t7vrdGWeYwEkw3qmWHxTyy8XbNxdDaNTU995IFRmB&#10;OGyG0PI+pdBUFYpeWcATH5SjYOejhURm3FQywkDo1lTTyWReDT7KEL1QiORdjkF+RIyvAfRdp4Va&#10;erG1yqURNSoDiShhrwPyRZm265RIX7sOVWKm5cQ0lT81ofM6/6vFBTSbCKHX4jgCvGaEF5wsaEdN&#10;H6GWkIBto/4HymoRPfounQhvq5FIUYRY1JMX2tz2EFThQlJjeBQd/x+s+LJbRaZly6fnpIkDS1d+&#10;/+Pn/a/fbP6h6DMEbCjtyq1iZij27jbcePEdmfNXPbiNKnPeHQKV1lnR6llJNjBQl/Xw2UvKgW3y&#10;Rax9F22GJBnYvtzJ4fFO1D4xQc76rJ7XNJmg0Pnp6ftZaQDNQ22ImD4pb1k+tNxolxWDBnY3mPIs&#10;0DykZLfz19qYcuvGsYEwZ9MZodtAEqDblFr0RsuclyswbtZXJrId5BUq33GEZ2m5yRKwH/Mkncbd&#10;in7rZOnXK5AfnWSpCOXocY0ZCbR58qeoSVKjeB7OKsmZUfRO82lkY9xR4Kxp3nNs1l4eVjGHs0Wb&#10;Umgftzqv4t92yXp6yY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k3ak+doAAAAJAQAADwAAAAAA&#10;AAABACAAAAAiAAAAZHJzL2Rvd25yZXYueG1sUEsBAhQAFAAAAAgAh07iQHFDPDoRAgAAEQQAAA4A&#10;AAAAAAAAAQAgAAAAKQEAAGRycy9lMm9Eb2MueG1sUEsFBgAAAAAGAAYAWQEAAKwFAAAAAA==&#10;">
                            <v:fill on="f" focussize="0,0"/>
                            <v:stroke color="#000000" joinstyle="round" dashstyle="dash" endarrow="block"/>
                            <v:imagedata o:title=""/>
                            <o:lock v:ext="edit" aspectratio="f"/>
                          </v:lin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3709670</wp:posOffset>
                            </wp:positionH>
                            <wp:positionV relativeFrom="paragraph">
                              <wp:posOffset>89535</wp:posOffset>
                            </wp:positionV>
                            <wp:extent cx="181610" cy="93345"/>
                            <wp:effectExtent l="1905" t="4445" r="6985" b="16510"/>
                            <wp:wrapNone/>
                            <wp:docPr id="289" name="直线 671"/>
                            <wp:cNvGraphicFramePr/>
                            <a:graphic xmlns:a="http://schemas.openxmlformats.org/drawingml/2006/main">
                              <a:graphicData uri="http://schemas.microsoft.com/office/word/2010/wordprocessingShape">
                                <wps:wsp>
                                  <wps:cNvCnPr>
                                    <a:cxnSpLocks noChangeShapeType="1"/>
                                  </wps:cNvCnPr>
                                  <wps:spPr bwMode="auto">
                                    <a:xfrm>
                                      <a:off x="0" y="0"/>
                                      <a:ext cx="181610" cy="93345"/>
                                    </a:xfrm>
                                    <a:prstGeom prst="line">
                                      <a:avLst/>
                                    </a:prstGeom>
                                    <a:noFill/>
                                    <a:ln w="9525" cmpd="sng">
                                      <a:solidFill>
                                        <a:srgbClr val="000000"/>
                                      </a:solidFill>
                                      <a:prstDash val="dash"/>
                                      <a:round/>
                                      <a:headEnd type="none"/>
                                      <a:tailEnd type="triangle" w="med" len="med"/>
                                    </a:ln>
                                  </wps:spPr>
                                  <wps:bodyPr/>
                                </wps:wsp>
                              </a:graphicData>
                            </a:graphic>
                          </wp:anchor>
                        </w:drawing>
                      </mc:Choice>
                      <mc:Fallback>
                        <w:pict>
                          <v:line id="直线 671" o:spid="_x0000_s1026" o:spt="20" style="position:absolute;left:0pt;margin-left:292.1pt;margin-top:7.05pt;height:7.35pt;width:14.3pt;z-index:251686912;mso-width-relative:page;mso-height-relative:page;" filled="f" stroked="t" coordsize="21600,21600" o:gfxdata="UEsDBAoAAAAAAIdO4kAAAAAAAAAAAAAAAAAEAAAAZHJzL1BLAwQUAAAACACHTuJAqMtoONoAAAAJ&#10;AQAADwAAAGRycy9kb3ducmV2LnhtbE2Pu07DQBBFeyT+YTVINIisbRLLMl5HiEeVgsRQUE7siW3w&#10;zlrezYN8PUMF5ege3Tm3WJ7soA40+d6xgXgWgSKuXdNza+D97eU2A+UDcoODYzLwTR6W5eVFgXnj&#10;jryhQxVaJSXsczTQhTDmWvu6I4t+5kZiyXZushjknFrdTHiUcjvoJIpSbbFn+dDhSI8d1V/V3hpI&#10;P17xYVetF+tx81zfVecnd7P6NOb6Ko7uQQU6hT8YfvVFHUpx2ro9N14NBhbZPBFUgnkMSoA0TmTL&#10;1kCSZaDLQv9fUP4AUEsDBBQAAAAIAIdO4kACWVzdEQIAABEEAAAOAAAAZHJzL2Uyb0RvYy54bWyt&#10;U0ty2zAM3Xemd+BwX8tyatfRWM7CbrpJW88kPQBNUhKn/A1BW/ZZeo2uuulxco2ClO006SaLaqEh&#10;gYcH4AFc3ByMJnsZQDlb03I0pkRa7oSybU2/Pdy+m1MCkVnBtLOypkcJ9Gb59s2i95WcuM5pIQNB&#10;EgtV72vaxeirogDeScNg5Ly06GxcMCziNbSFCKxHdqOLyXg8K3oXhA+OSwC0rgcnPTGG1xC6plFc&#10;rh3fGWnjwBqkZhFbgk55oMtcbdNIHr82DchIdE2x05j/mATP2/QvlgtWtYH5TvFTCew1JbzoyTBl&#10;MemFas0iI7ug/qEyigcHrokj7kwxNJIVwS7K8Qtt7jvmZe4FpQZ/ER3+Hy3/st8EokRNJ/NrSiwz&#10;OPLHHz8ff/0msw9l0qf3UCFsZTchdcgP9t7fOf4diHWrjtlW5jofjh5Dc0TxLCRdwGOWbf/ZCcSw&#10;XXRZrEMTTKJEGcghz+R4mYk8RMLRWM7LWYnT4ui6vrp6P00lFaw6x/oA8ZN0hqRDTbWySTFWsf0d&#10;xAF6hiSzdbdK6zx1bUmPnNPJFNmNRwnAtjkWnFYi4VIEhHa70oHsWVqh/J1KeAZLSdYMugEn8DTs&#10;VnA7K3K+TjLx0QoSs1AWH9eAiEzpJ3sMCiXVkqbijBSUaInvNJ2GbrTF/s+aDtPZOnHchOROdtyU&#10;rNBpq9Mq/n3PqKeXvPw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MtoONoAAAAJAQAADwAAAAAA&#10;AAABACAAAAAiAAAAZHJzL2Rvd25yZXYueG1sUEsBAhQAFAAAAAgAh07iQAJZXN0RAgAAEQQAAA4A&#10;AAAAAAAAAQAgAAAAKQEAAGRycy9lMm9Eb2MueG1sUEsFBgAAAAAGAAYAWQEAAKwFAAAAAA==&#10;">
                            <v:fill on="f" focussize="0,0"/>
                            <v:stroke color="#000000" joinstyle="round" dashstyle="dash" endarrow="block"/>
                            <v:imagedata o:title=""/>
                            <o:lock v:ext="edit" aspectratio="f"/>
                          </v:lin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3090545</wp:posOffset>
                            </wp:positionH>
                            <wp:positionV relativeFrom="paragraph">
                              <wp:posOffset>99060</wp:posOffset>
                            </wp:positionV>
                            <wp:extent cx="181610" cy="93345"/>
                            <wp:effectExtent l="1905" t="4445" r="6985" b="16510"/>
                            <wp:wrapNone/>
                            <wp:docPr id="288" name="直线 673"/>
                            <wp:cNvGraphicFramePr/>
                            <a:graphic xmlns:a="http://schemas.openxmlformats.org/drawingml/2006/main">
                              <a:graphicData uri="http://schemas.microsoft.com/office/word/2010/wordprocessingShape">
                                <wps:wsp>
                                  <wps:cNvCnPr>
                                    <a:cxnSpLocks noChangeShapeType="1"/>
                                  </wps:cNvCnPr>
                                  <wps:spPr bwMode="auto">
                                    <a:xfrm>
                                      <a:off x="0" y="0"/>
                                      <a:ext cx="181610" cy="93345"/>
                                    </a:xfrm>
                                    <a:prstGeom prst="line">
                                      <a:avLst/>
                                    </a:prstGeom>
                                    <a:noFill/>
                                    <a:ln w="9525" cmpd="sng">
                                      <a:solidFill>
                                        <a:srgbClr val="000000"/>
                                      </a:solidFill>
                                      <a:prstDash val="dash"/>
                                      <a:round/>
                                      <a:headEnd type="none"/>
                                      <a:tailEnd type="triangle" w="med" len="med"/>
                                    </a:ln>
                                  </wps:spPr>
                                  <wps:bodyPr/>
                                </wps:wsp>
                              </a:graphicData>
                            </a:graphic>
                          </wp:anchor>
                        </w:drawing>
                      </mc:Choice>
                      <mc:Fallback>
                        <w:pict>
                          <v:line id="直线 673" o:spid="_x0000_s1026" o:spt="20" style="position:absolute;left:0pt;margin-left:243.35pt;margin-top:7.8pt;height:7.35pt;width:14.3pt;z-index:251675648;mso-width-relative:page;mso-height-relative:page;" filled="f" stroked="t" coordsize="21600,21600" o:gfxdata="UEsDBAoAAAAAAIdO4kAAAAAAAAAAAAAAAAAEAAAAZHJzL1BLAwQUAAAACACHTuJAipjMCtoAAAAJ&#10;AQAADwAAAGRycy9kb3ducmV2LnhtbE2Py07DMBBF90j8gzVIbBC1Q0hahTgV4rFiQRu6YOnG0yQQ&#10;j6PYfcDXM6xgObpH954plyc3iANOofekIZkpEEiNtz21GjZvz9cLECEasmbwhBq+MMCyOj8rTWH9&#10;kdZ4qGMruIRCYTR0MY6FlKHp0Jkw8yMSZzs/ORP5nFppJ3PkcjfIG6Vy6UxPvNCZER86bD7rvdOQ&#10;v7+a+129ylbj+qlJ6+9Hf/XyofXlRaLuQEQ8xT8YfvVZHSp22vo92SAGDbeLfM4oB1kOgoEsyVIQ&#10;Ww2pSkFWpfz/QfUDUEsDBBQAAAAIAIdO4kCA98oxEwIAABEEAAAOAAAAZHJzL2Uyb0RvYy54bWyt&#10;U0tu2zAQ3RfoHQjua1l27bqC5Szsppu0NZD0AGOSkojyB5K27LP0Gl110+PkGhlSjtOkmyyqhTAk&#10;37yZ94ZcXh21Igfhg7SmpuVoTIkwzHJp2pp+v7t+t6AkRDAclDWipicR6NXq7Ztl7yoxsZ1VXHiC&#10;JCZUvatpF6OriiKwTmgII+uEwcPGeg0Rl74tuIce2bUqJuPxvOit585bJkLA3c1wSM+M/jWEtmkk&#10;ExvL9lqYOLB6oSCipNBJF+gqd9s0gsVvTRNEJKqmqDTmPxbBeJf+xWoJVevBdZKdW4DXtPBCkwZp&#10;sOiFagMRyN7Lf6i0ZN4G28QRs7oYhGRHUEU5fuHNbQdOZC1odXAX08P/o2VfD1tPJK/pZIGDN6Bx&#10;5Pc/f93//kPmH6bJn96FCmFrs/VJITuaW3dj2Y9AjF13YFqR+7w7OUwtU0bxLCUtgsMqu/6L5YiB&#10;fbTZrGPjdaJEG8gxz+R0mYk4RsJws1yU8xKnxfDo43T6fpYLQPWY63yIn4XVJAU1VdIkx6CCw02I&#10;qReoHiFp29hrqVSeujKkR87ZZIbs2qEFwbQ5N1glecKljODb3Vp5coB0hfJ3buEZLBXZQOgGHMco&#10;oaDydm94jjoB/JPhJGajDD6uARFBqqf96CVaqgRNzWnBKVEC32mKBjXKnA1Ong7T2Vl+2vp0nLzG&#10;m5Jln291uop/rzPq6SWvH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KmMwK2gAAAAkBAAAPAAAA&#10;AAAAAAEAIAAAACIAAABkcnMvZG93bnJldi54bWxQSwECFAAUAAAACACHTuJAgPfKMRMCAAARBAAA&#10;DgAAAAAAAAABACAAAAApAQAAZHJzL2Uyb0RvYy54bWxQSwUGAAAAAAYABgBZAQAArgUAAAAA&#10;">
                            <v:fill on="f" focussize="0,0"/>
                            <v:stroke color="#000000" joinstyle="round" dashstyle="dash" endarrow="block"/>
                            <v:imagedata o:title=""/>
                            <o:lock v:ext="edit" aspectratio="f"/>
                          </v:line>
                        </w:pict>
                      </mc:Fallback>
                    </mc:AlternateContent>
                  </w:r>
                </w:p>
                <w:p>
                  <w:pPr>
                    <w:pStyle w:val="2"/>
                    <w:ind w:left="480" w:firstLine="400"/>
                  </w:pPr>
                </w:p>
                <w:p>
                  <w:pPr>
                    <w:pStyle w:val="2"/>
                    <w:ind w:left="480" w:firstLine="400"/>
                  </w:pPr>
                  <w:r>
                    <mc:AlternateContent>
                      <mc:Choice Requires="wps">
                        <w:drawing>
                          <wp:anchor distT="0" distB="0" distL="114300" distR="114300" simplePos="0" relativeHeight="251545600" behindDoc="1" locked="0" layoutInCell="1" allowOverlap="1">
                            <wp:simplePos x="0" y="0"/>
                            <wp:positionH relativeFrom="column">
                              <wp:posOffset>266700</wp:posOffset>
                            </wp:positionH>
                            <wp:positionV relativeFrom="paragraph">
                              <wp:posOffset>226060</wp:posOffset>
                            </wp:positionV>
                            <wp:extent cx="392430" cy="247650"/>
                            <wp:effectExtent l="9525" t="6985" r="7620" b="12065"/>
                            <wp:wrapNone/>
                            <wp:docPr id="285" name="文本框 674"/>
                            <wp:cNvGraphicFramePr/>
                            <a:graphic xmlns:a="http://schemas.openxmlformats.org/drawingml/2006/main">
                              <a:graphicData uri="http://schemas.microsoft.com/office/word/2010/wordprocessingShape">
                                <wps:wsp>
                                  <wps:cNvSpPr txBox="1">
                                    <a:spLocks noChangeArrowheads="1"/>
                                  </wps:cNvSpPr>
                                  <wps:spPr bwMode="auto">
                                    <a:xfrm>
                                      <a:off x="0" y="0"/>
                                      <a:ext cx="392430" cy="247650"/>
                                    </a:xfrm>
                                    <a:prstGeom prst="rect">
                                      <a:avLst/>
                                    </a:prstGeom>
                                    <a:noFill/>
                                    <a:ln w="9525" cmpd="sng">
                                      <a:solidFill>
                                        <a:srgbClr val="000000"/>
                                      </a:solidFill>
                                      <a:prstDash val="dashDot"/>
                                      <a:miter lim="800000"/>
                                    </a:ln>
                                  </wps:spPr>
                                  <wps:txbx>
                                    <w:txbxContent>
                                      <w:p>
                                        <w:pPr>
                                          <w:ind w:firstLine="480"/>
                                        </w:pPr>
                                      </w:p>
                                    </w:txbxContent>
                                  </wps:txbx>
                                  <wps:bodyPr rot="0" vert="horz" wrap="square" lIns="91440" tIns="45720" rIns="91440" bIns="45720" anchor="t" anchorCtr="0" upright="1">
                                    <a:noAutofit/>
                                  </wps:bodyPr>
                                </wps:wsp>
                              </a:graphicData>
                            </a:graphic>
                          </wp:anchor>
                        </w:drawing>
                      </mc:Choice>
                      <mc:Fallback>
                        <w:pict>
                          <v:shape id="文本框 674" o:spid="_x0000_s1026" o:spt="202" type="#_x0000_t202" style="position:absolute;left:0pt;margin-left:21pt;margin-top:17.8pt;height:19.5pt;width:30.9pt;z-index:-251770880;mso-width-relative:page;mso-height-relative:page;" filled="f" stroked="t" coordsize="21600,21600" o:gfxdata="UEsDBAoAAAAAAIdO4kAAAAAAAAAAAAAAAAAEAAAAZHJzL1BLAwQUAAAACACHTuJA7YqNT9cAAAAI&#10;AQAADwAAAGRycy9kb3ducmV2LnhtbE2Py07DMBBF90j8gzVI7KidPgINmXSBBN3SgpDYufHkIeJx&#10;ZLtp4etxV7Ac3dG955Sbsx3ERD70jhGymQJBXDvTc4vw/vZ89wAiRM1GD44J4ZsCbKrrq1IXxp14&#10;R9M+tiKVcCg0QhfjWEgZ6o6sDjM3Eqescd7qmE7fSuP1KZXbQc6VyqXVPaeFTo/01FH9tT9aBP+x&#10;zVbmpV13zdb+fO7qZj29SsTbm0w9goh0jn/PcMFP6FAlpoM7sgliQFjOk0pEWKxyEJdcLZLKAeF+&#10;mYOsSvlfoPoFUEsDBBQAAAAIAIdO4kCL3eHrVAIAAIcEAAAOAAAAZHJzL2Uyb0RvYy54bWytVM1u&#10;2zAMvg/YOwi6r07cpD9GnaJL0GFA9wN0ewBFlm1hkqhJSuzuAdY32GmX3fdceY5RUtoF3aWH+SBQ&#10;IvmR/Ej64nLUimyF8xJMTadHE0qE4dBI09X086frV2eU+MBMwxQYUdM74enl4uWLi8FWooQeVCMc&#10;QRDjq8HWtA/BVkXheS8080dghUFlC06zgFfXFY1jA6JrVZSTyUkxgGusAy68x9dVVtI9onsOILSt&#10;5GIFfKOFCRnVCcUCluR7aT1dpGzbVvDwoW29CETVFCsN6cQgKK/jWSwuWNU5ZnvJ9ymw56TwpCbN&#10;pMGgj1ArFhjZOPkPlJbcgYc2HHHQRS4kMYJVTCdPuLntmRWpFqTa20fS/f+D5e+3Hx2RTU3Lszkl&#10;hmls+e7H/e7n792v7+TkdBYpGqyv0PLWom0YX8OIg5PK9fYG+BdPDCx7Zjpx5RwMvWANpjiNnsWB&#10;a8bxEWQ9vIMGI7FNgAQ0tk5H/pARgujYnrvH9ogxEI6Px+fl7Bg1HFXl7PRkntpXsOrB2Tof3gjQ&#10;JAo1ddj9BM62Nz7EZFj1YBJjGbiWSqUJUIYMNT2fl8gB1xbp8KbLFYKSTbSLHt5166VyZMviOKUv&#10;FYmaQ7MYZMV8n+0alFYQ8qhpGXB7lNQ1PTv0V2bPVaQnExXG9bjnfg3NHbLmIM8vbi8KPbhvlAw4&#10;u5jt1w1zghL11iDz59PZLA57uszmpyVe3KFmfahhhiNUTQMlWVyGvCAb62TXY6TcawNX2K1WJiZj&#10;W3NW+7xxPhPB+12KC3B4T1Z//x+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2KjU/XAAAACAEA&#10;AA8AAAAAAAAAAQAgAAAAIgAAAGRycy9kb3ducmV2LnhtbFBLAQIUABQAAAAIAIdO4kCL3eHrVAIA&#10;AIcEAAAOAAAAAAAAAAEAIAAAACYBAABkcnMvZTJvRG9jLnhtbFBLBQYAAAAABgAGAFkBAADsBQAA&#10;AAA=&#10;">
                            <v:fill on="f" focussize="0,0"/>
                            <v:stroke color="#000000" miterlimit="8" joinstyle="miter" dashstyle="dashDot"/>
                            <v:imagedata o:title=""/>
                            <o:lock v:ext="edit" aspectratio="f"/>
                            <v:textbox>
                              <w:txbxContent>
                                <w:p>
                                  <w:pPr>
                                    <w:ind w:firstLine="480"/>
                                  </w:pPr>
                                </w:p>
                              </w:txbxContent>
                            </v:textbox>
                          </v:shape>
                        </w:pict>
                      </mc:Fallback>
                    </mc:AlternateContent>
                  </w:r>
                </w:p>
                <w:p>
                  <w:pPr>
                    <w:pStyle w:val="2"/>
                    <w:ind w:left="0" w:leftChars="0" w:firstLine="0" w:firstLineChars="0"/>
                  </w:pPr>
                  <w:r>
                    <w:t>注：       内为外协工艺。</w:t>
                  </w:r>
                </w:p>
              </w:tc>
            </w:tr>
          </w:tbl>
          <w:p>
            <w:pPr>
              <w:pStyle w:val="71"/>
              <w:spacing w:afterLines="0"/>
            </w:pPr>
            <w:r>
              <w:t>图5-1 精密配件生产工艺流程及产污环节图</w:t>
            </w:r>
          </w:p>
          <w:p>
            <w:pPr>
              <w:ind w:firstLine="480"/>
            </w:pPr>
            <w:r>
              <w:t>工艺流程说明：</w:t>
            </w:r>
          </w:p>
          <w:p>
            <w:pPr>
              <w:ind w:firstLine="480"/>
            </w:pPr>
            <w:r>
              <w:rPr>
                <w:rFonts w:hint="eastAsia"/>
              </w:rPr>
              <w:t>下料：将外购钢材、铝材按照设计尺寸进行切割，用压机压制出合适的厚薄度，得到基本轮廓，根据企业提供资料，压机中的液压油定期补充损耗，不更换。</w:t>
            </w:r>
          </w:p>
          <w:p>
            <w:pPr>
              <w:ind w:firstLine="480"/>
            </w:pPr>
            <w:r>
              <w:rPr>
                <w:rFonts w:hint="eastAsia"/>
              </w:rPr>
              <w:t>粗车、普铣：将切割后的钢材、铝材利用车床、铣床进行粗车、普铣，去除大部分的毛坯余量。</w:t>
            </w:r>
          </w:p>
          <w:p>
            <w:pPr>
              <w:ind w:firstLine="480"/>
            </w:pPr>
            <w:r>
              <w:rPr>
                <w:rFonts w:hint="eastAsia"/>
              </w:rPr>
              <w:t>粗磨、精磨：</w:t>
            </w:r>
            <w:r>
              <w:rPr>
                <w:szCs w:val="24"/>
              </w:rPr>
              <w:t>对机械零件表面进行加工粗磨</w:t>
            </w:r>
            <w:r>
              <w:rPr>
                <w:rFonts w:hint="eastAsia"/>
                <w:szCs w:val="24"/>
              </w:rPr>
              <w:t>、精磨</w:t>
            </w:r>
            <w:r>
              <w:rPr>
                <w:szCs w:val="24"/>
              </w:rPr>
              <w:t>，使其表面光洁，粗磨</w:t>
            </w:r>
            <w:r>
              <w:rPr>
                <w:rFonts w:hint="eastAsia"/>
                <w:szCs w:val="24"/>
              </w:rPr>
              <w:t>、精磨</w:t>
            </w:r>
            <w:r>
              <w:rPr>
                <w:szCs w:val="24"/>
              </w:rPr>
              <w:t>工艺</w:t>
            </w:r>
            <w:r>
              <w:rPr>
                <w:rFonts w:hint="eastAsia"/>
                <w:szCs w:val="24"/>
              </w:rPr>
              <w:t>均</w:t>
            </w:r>
            <w:r>
              <w:rPr>
                <w:szCs w:val="24"/>
              </w:rPr>
              <w:t>为水打磨，打磨过程中无粉尘产生</w:t>
            </w:r>
            <w:r>
              <w:rPr>
                <w:rFonts w:hint="eastAsia"/>
                <w:szCs w:val="24"/>
              </w:rPr>
              <w:t>，打磨废水经沉淀后上清液循环使用，不外排，沉淀后的金属沉渣定期打捞作金属边角料处理</w:t>
            </w:r>
            <w:r>
              <w:rPr>
                <w:szCs w:val="24"/>
              </w:rPr>
              <w:t>；</w:t>
            </w:r>
          </w:p>
          <w:p>
            <w:pPr>
              <w:ind w:firstLine="480"/>
            </w:pPr>
            <w:r>
              <w:rPr>
                <w:rFonts w:hint="eastAsia"/>
              </w:rPr>
              <w:t>精车：将打磨后的机械零件进行精车，得到成品尺寸。</w:t>
            </w:r>
          </w:p>
          <w:p>
            <w:pPr>
              <w:ind w:firstLine="480"/>
            </w:pPr>
            <w:r>
              <w:t>线切割</w:t>
            </w:r>
            <w:r>
              <w:rPr>
                <w:rFonts w:hint="eastAsia"/>
              </w:rPr>
              <w:t>、</w:t>
            </w:r>
            <w:r>
              <w:t>放电</w:t>
            </w:r>
            <w:r>
              <w:rPr>
                <w:rFonts w:hint="eastAsia"/>
              </w:rPr>
              <w:t>、</w:t>
            </w:r>
            <w:r>
              <w:t>调质</w:t>
            </w:r>
            <w:r>
              <w:rPr>
                <w:rFonts w:hint="eastAsia"/>
              </w:rPr>
              <w:t>、热处理、表面处理：将部分机械零件外送进行</w:t>
            </w:r>
            <w:r>
              <w:t>线切割</w:t>
            </w:r>
            <w:r>
              <w:rPr>
                <w:rFonts w:hint="eastAsia"/>
              </w:rPr>
              <w:t>、</w:t>
            </w:r>
            <w:r>
              <w:t>放电</w:t>
            </w:r>
            <w:r>
              <w:rPr>
                <w:rFonts w:hint="eastAsia"/>
              </w:rPr>
              <w:t>、</w:t>
            </w:r>
            <w:r>
              <w:t>调质</w:t>
            </w:r>
            <w:r>
              <w:rPr>
                <w:rFonts w:hint="eastAsia"/>
              </w:rPr>
              <w:t>、热处理、表面处理等处理，增强其强度、韧性、塑性等性能，同时优化其美观性。该部分企业均委托外单位进行外协加工。</w:t>
            </w:r>
          </w:p>
          <w:p>
            <w:pPr>
              <w:ind w:firstLine="480"/>
            </w:pPr>
            <w:r>
              <w:rPr>
                <w:rFonts w:hint="eastAsia"/>
              </w:rPr>
              <w:t>打孔：利用钻床对部分机械零件钻孔洞。</w:t>
            </w:r>
          </w:p>
          <w:p>
            <w:pPr>
              <w:ind w:firstLine="480"/>
            </w:pPr>
            <w:r>
              <w:rPr>
                <w:rFonts w:hint="eastAsia"/>
              </w:rPr>
              <w:t>攻丝：利用攻丝机将打孔后机械零件加工出内螺纹，便于后期组装。</w:t>
            </w:r>
          </w:p>
          <w:p>
            <w:pPr>
              <w:ind w:firstLine="480"/>
            </w:pPr>
            <w:r>
              <w:rPr>
                <w:rFonts w:hint="eastAsia"/>
              </w:rPr>
              <w:t>检验：</w:t>
            </w:r>
            <w:r>
              <w:t>检验合格后即为成品精密配件。</w:t>
            </w:r>
          </w:p>
          <w:p>
            <w:pPr>
              <w:ind w:firstLine="480"/>
            </w:pPr>
            <w:r>
              <w:t>2、</w:t>
            </w:r>
            <w:r>
              <w:rPr>
                <w:rFonts w:hint="eastAsia"/>
              </w:rPr>
              <w:t>后倾离心</w:t>
            </w:r>
            <w:r>
              <w:t>风机生产工艺流程如下：</w:t>
            </w:r>
          </w:p>
          <w:tbl>
            <w:tblPr>
              <w:tblStyle w:val="34"/>
              <w:tblW w:w="0" w:type="auto"/>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660"/>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PrEx>
              <w:trPr>
                <w:trHeight w:val="1876" w:hRule="atLeast"/>
              </w:trPr>
              <w:tc>
                <w:tcPr>
                  <w:tcW w:w="8660" w:type="dxa"/>
                </w:tcPr>
                <w:p>
                  <w:pPr>
                    <w:pStyle w:val="71"/>
                    <w:spacing w:afterLines="0"/>
                  </w:pPr>
                  <w:r>
                    <mc:AlternateContent>
                      <mc:Choice Requires="wps">
                        <w:drawing>
                          <wp:anchor distT="0" distB="0" distL="114300" distR="114300" simplePos="0" relativeHeight="251646976" behindDoc="0" locked="0" layoutInCell="1" allowOverlap="1">
                            <wp:simplePos x="0" y="0"/>
                            <wp:positionH relativeFrom="column">
                              <wp:posOffset>2517775</wp:posOffset>
                            </wp:positionH>
                            <wp:positionV relativeFrom="paragraph">
                              <wp:posOffset>24765</wp:posOffset>
                            </wp:positionV>
                            <wp:extent cx="1007110" cy="429260"/>
                            <wp:effectExtent l="12700" t="5715" r="8890" b="12700"/>
                            <wp:wrapNone/>
                            <wp:docPr id="281" name="文本框 546"/>
                            <wp:cNvGraphicFramePr/>
                            <a:graphic xmlns:a="http://schemas.openxmlformats.org/drawingml/2006/main">
                              <a:graphicData uri="http://schemas.microsoft.com/office/word/2010/wordprocessingShape">
                                <wps:wsp>
                                  <wps:cNvSpPr txBox="1">
                                    <a:spLocks noChangeArrowheads="1"/>
                                  </wps:cNvSpPr>
                                  <wps:spPr bwMode="auto">
                                    <a:xfrm>
                                      <a:off x="0" y="0"/>
                                      <a:ext cx="1007110" cy="429260"/>
                                    </a:xfrm>
                                    <a:prstGeom prst="rect">
                                      <a:avLst/>
                                    </a:prstGeom>
                                    <a:noFill/>
                                    <a:ln w="9525" cmpd="sng">
                                      <a:solidFill>
                                        <a:srgbClr val="000000"/>
                                      </a:solidFill>
                                      <a:prstDash val="dash"/>
                                      <a:miter lim="800000"/>
                                    </a:ln>
                                    <a:effectLst/>
                                  </wps:spPr>
                                  <wps:txbx>
                                    <w:txbxContent>
                                      <w:p>
                                        <w:pPr>
                                          <w:spacing w:line="240" w:lineRule="auto"/>
                                          <w:ind w:firstLine="0" w:firstLineChars="0"/>
                                          <w:jc w:val="center"/>
                                          <w:rPr>
                                            <w:sz w:val="21"/>
                                            <w:szCs w:val="21"/>
                                          </w:rPr>
                                        </w:pPr>
                                        <w:r>
                                          <w:rPr>
                                            <w:rFonts w:hint="eastAsia"/>
                                            <w:sz w:val="21"/>
                                            <w:szCs w:val="21"/>
                                          </w:rPr>
                                          <w:t>焊接烟尘</w:t>
                                        </w:r>
                                        <w:r>
                                          <w:rPr>
                                            <w:sz w:val="21"/>
                                            <w:szCs w:val="21"/>
                                          </w:rPr>
                                          <w:t>G</w:t>
                                        </w:r>
                                        <w:r>
                                          <w:rPr>
                                            <w:rFonts w:hint="eastAsia"/>
                                            <w:sz w:val="21"/>
                                            <w:szCs w:val="21"/>
                                            <w:vertAlign w:val="subscript"/>
                                          </w:rPr>
                                          <w:t>1</w:t>
                                        </w:r>
                                        <w:r>
                                          <w:rPr>
                                            <w:sz w:val="21"/>
                                            <w:szCs w:val="21"/>
                                          </w:rPr>
                                          <w:t>、噪声N</w:t>
                                        </w:r>
                                      </w:p>
                                    </w:txbxContent>
                                  </wps:txbx>
                                  <wps:bodyPr rot="0" vert="horz" wrap="square" lIns="91440" tIns="45720" rIns="91440" bIns="45720" anchor="t" anchorCtr="0" upright="1">
                                    <a:noAutofit/>
                                  </wps:bodyPr>
                                </wps:wsp>
                              </a:graphicData>
                            </a:graphic>
                          </wp:anchor>
                        </w:drawing>
                      </mc:Choice>
                      <mc:Fallback>
                        <w:pict>
                          <v:shape id="文本框 546" o:spid="_x0000_s1026" o:spt="202" type="#_x0000_t202" style="position:absolute;left:0pt;margin-left:198.25pt;margin-top:1.95pt;height:33.8pt;width:79.3pt;z-index:251646976;mso-width-relative:page;mso-height-relative:page;" filled="f" stroked="t" coordsize="21600,21600" o:gfxdata="UEsDBAoAAAAAAIdO4kAAAAAAAAAAAAAAAAAEAAAAZHJzL1BLAwQUAAAACACHTuJA8ZGb/9kAAAAI&#10;AQAADwAAAGRycy9kb3ducmV2LnhtbE2PwU7DMBBE70j8g7VI3KgTitsS4vSAhAQSKqL00N428ZJE&#10;jddR7Dbh73FPcJvVjGbe5uvJduJMg28da0hnCQjiypmWaw27r5e7FQgfkA12jknDD3lYF9dXOWbG&#10;jfxJ522oRSxhn6GGJoQ+k9JXDVn0M9cTR+/bDRZDPIdamgHHWG47eZ8kC2mx5bjQYE/PDVXH7clq&#10;OOzG8mGzUXL6eN9TmL++4XF50Pr2Jk2eQASawl8YLvgRHYrIVLoTGy86DfPHhYrRiwARfaVUCqLU&#10;sEwVyCKX/x8ofgFQSwMEFAAAAAgAh07iQFZpxjVZAgAAkwQAAA4AAABkcnMvZTJvRG9jLnhtbK1U&#10;S27bMBDdF+gdCO4bWYKdxELkII2RokD6AdIegKYoiSjJYUnaUnqA9gZZddN9z5VzdEg6qZFusqgW&#10;AqmZeTPz3ozOzietyE44L8E0tDyaUSIMh1aavqGfP129OqXEB2ZapsCIht4KT89XL1+cjbYWFQyg&#10;WuEIghhfj7ahQwi2LgrPB6GZPwIrDBo7cJoFvLq+aB0bEV2roprNjosRXGsdcOE9fl1nI90juucA&#10;QtdJLtbAt1qYkFGdUCxgS36Q1tNVqrbrBA8fus6LQFRDsdOQ3pgEz5v4LlZnrO4ds4Pk+xLYc0p4&#10;0pNm0mDSR6g1C4xsnfwHSkvuwEMXjjjoIjeSGMEuytkTbm4GZkXqBan29pF0//9g+fvdR0dk29Dq&#10;tKTEMI2S39/9uP/5+/7Xd7KYH0eKRutr9Lyx6Bum1zDh4KR2vb0G/sUTA5cDM724cA7GQbAWSyxj&#10;ZHEQmnF8BNmM76DFTGwbIAFNndORP2SEIDrKc/soj5gC4THlbHZSlmjiaJtXy+o46Vew+iHaOh/e&#10;CNAkHhrqUP6EznbXPsRqWP3gEpMZuJJKpRFQhowNXS6qBcJri3x40+cWQck2+sUI7/rNpXJkx+I8&#10;pSd1iZZDt5hkzfyQ/Vo85UHTMuDuKKkbenoYrEwEF2le95VG3iJVmbQwbaa9Dhtob5FBB3mWcZPx&#10;MID7RsmIc4yFf90yJyhRbw2qsCzn8zj46TJfnFR4cYeWzaGFGY5QDQ2U5ONlyMuytU72A2bKuhu4&#10;QOU6mUiNpeaq9nrjrCau93sVl+Hwnrz+/kt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xkZv/&#10;2QAAAAgBAAAPAAAAAAAAAAEAIAAAACIAAABkcnMvZG93bnJldi54bWxQSwECFAAUAAAACACHTuJA&#10;VmnGNVkCAACTBAAADgAAAAAAAAABACAAAAAoAQAAZHJzL2Uyb0RvYy54bWxQSwUGAAAAAAYABgBZ&#10;AQAA8wUAAAAA&#10;">
                            <v:fill on="f" focussize="0,0"/>
                            <v:stroke color="#000000" miterlimit="8" joinstyle="miter" dashstyle="dash"/>
                            <v:imagedata o:title=""/>
                            <o:lock v:ext="edit" aspectratio="f"/>
                            <v:textbox>
                              <w:txbxContent>
                                <w:p>
                                  <w:pPr>
                                    <w:spacing w:line="240" w:lineRule="auto"/>
                                    <w:ind w:firstLine="0" w:firstLineChars="0"/>
                                    <w:jc w:val="center"/>
                                    <w:rPr>
                                      <w:sz w:val="21"/>
                                      <w:szCs w:val="21"/>
                                    </w:rPr>
                                  </w:pPr>
                                  <w:r>
                                    <w:rPr>
                                      <w:rFonts w:hint="eastAsia"/>
                                      <w:sz w:val="21"/>
                                      <w:szCs w:val="21"/>
                                    </w:rPr>
                                    <w:t>焊接烟尘</w:t>
                                  </w:r>
                                  <w:r>
                                    <w:rPr>
                                      <w:sz w:val="21"/>
                                      <w:szCs w:val="21"/>
                                    </w:rPr>
                                    <w:t>G</w:t>
                                  </w:r>
                                  <w:r>
                                    <w:rPr>
                                      <w:rFonts w:hint="eastAsia"/>
                                      <w:sz w:val="21"/>
                                      <w:szCs w:val="21"/>
                                      <w:vertAlign w:val="subscript"/>
                                    </w:rPr>
                                    <w:t>1</w:t>
                                  </w:r>
                                  <w:r>
                                    <w:rPr>
                                      <w:sz w:val="21"/>
                                      <w:szCs w:val="21"/>
                                    </w:rPr>
                                    <w:t>、噪声N</w:t>
                                  </w:r>
                                </w:p>
                              </w:txbxContent>
                            </v:textbox>
                          </v:shape>
                        </w:pict>
                      </mc:Fallback>
                    </mc:AlternateContent>
                  </w:r>
                </w:p>
                <w:p>
                  <w:pPr>
                    <w:pStyle w:val="71"/>
                    <w:spacing w:afterLines="0"/>
                  </w:pPr>
                  <w:r>
                    <mc:AlternateContent>
                      <mc:Choice Requires="wps">
                        <w:drawing>
                          <wp:anchor distT="0" distB="0" distL="114300" distR="114300" simplePos="0" relativeHeight="251771904" behindDoc="0" locked="0" layoutInCell="1" allowOverlap="1">
                            <wp:simplePos x="0" y="0"/>
                            <wp:positionH relativeFrom="column">
                              <wp:posOffset>803910</wp:posOffset>
                            </wp:positionH>
                            <wp:positionV relativeFrom="paragraph">
                              <wp:posOffset>30480</wp:posOffset>
                            </wp:positionV>
                            <wp:extent cx="1190625" cy="285115"/>
                            <wp:effectExtent l="13335" t="11430" r="5715" b="8255"/>
                            <wp:wrapNone/>
                            <wp:docPr id="279" name="文本框 826"/>
                            <wp:cNvGraphicFramePr/>
                            <a:graphic xmlns:a="http://schemas.openxmlformats.org/drawingml/2006/main">
                              <a:graphicData uri="http://schemas.microsoft.com/office/word/2010/wordprocessingShape">
                                <wps:wsp>
                                  <wps:cNvSpPr txBox="1">
                                    <a:spLocks noChangeArrowheads="1"/>
                                  </wps:cNvSpPr>
                                  <wps:spPr bwMode="auto">
                                    <a:xfrm>
                                      <a:off x="0" y="0"/>
                                      <a:ext cx="1190625" cy="285115"/>
                                    </a:xfrm>
                                    <a:prstGeom prst="rect">
                                      <a:avLst/>
                                    </a:prstGeom>
                                    <a:noFill/>
                                    <a:ln w="9525" cmpd="sng">
                                      <a:solidFill>
                                        <a:srgbClr val="000000"/>
                                      </a:solidFill>
                                      <a:prstDash val="dash"/>
                                      <a:miter lim="800000"/>
                                    </a:ln>
                                  </wps:spPr>
                                  <wps:txbx>
                                    <w:txbxContent>
                                      <w:p>
                                        <w:pPr>
                                          <w:pStyle w:val="47"/>
                                        </w:pPr>
                                        <w:r>
                                          <w:rPr>
                                            <w:rFonts w:hint="eastAsia"/>
                                          </w:rPr>
                                          <w:t>一般包装材料S</w:t>
                                        </w:r>
                                        <w:r>
                                          <w:rPr>
                                            <w:rFonts w:hint="eastAsia"/>
                                            <w:vertAlign w:val="subscript"/>
                                          </w:rPr>
                                          <w:t>1</w:t>
                                        </w:r>
                                      </w:p>
                                    </w:txbxContent>
                                  </wps:txbx>
                                  <wps:bodyPr rot="0" vert="horz" wrap="square" lIns="91440" tIns="45720" rIns="91440" bIns="45720" anchor="t" anchorCtr="0" upright="1">
                                    <a:noAutofit/>
                                  </wps:bodyPr>
                                </wps:wsp>
                              </a:graphicData>
                            </a:graphic>
                          </wp:anchor>
                        </w:drawing>
                      </mc:Choice>
                      <mc:Fallback>
                        <w:pict>
                          <v:shape id="文本框 826" o:spid="_x0000_s1026" o:spt="202" type="#_x0000_t202" style="position:absolute;left:0pt;margin-left:63.3pt;margin-top:2.4pt;height:22.45pt;width:93.75pt;z-index:251771904;mso-width-relative:page;mso-height-relative:page;" filled="f" stroked="t" coordsize="21600,21600" o:gfxdata="UEsDBAoAAAAAAIdO4kAAAAAAAAAAAAAAAAAEAAAAZHJzL1BLAwQUAAAACACHTuJA/qi7BtcAAAAI&#10;AQAADwAAAGRycy9kb3ducmV2LnhtbE2PT0+DQBDF7yZ+h82YeLMLLVJFlh5MTDQxNdYe7G2AEUjZ&#10;WcJuC357x5Mef3kv70++mW2vzjT6zrGBeBGBIq5c3XFjYP/xdHMHygfkGnvHZOCbPGyKy4scs9pN&#10;/E7nXWiUhLDP0EAbwpBp7auWLPqFG4hF+3KjxSA4NroecZJw2+tlFKXaYsfS0OJAjy1Vx93JGjjs&#10;pzLZbm/1/Pb6SWH1/ILH9cGY66s4egAVaA5/ZvidL9OhkE2lO3HtVS+8TFOxGkjkgeirOIlBlcL3&#10;a9BFrv8fKH4AUEsDBBQAAAAIAIdO4kBHQxYKUQIAAIUEAAAOAAAAZHJzL2Uyb0RvYy54bWytVEtu&#10;2zAQ3RfoHQjuG1lC7NiC5SCNkaJA+gHSHoCmKIkoyWFJ2pJ7gPYGXXXTfc/lc3RIOYmRbrKoFsJQ&#10;M/PmzZuhlpeDVmQnnJdgKpqfTSgRhkMtTVvRz59uXs0p8YGZmikwoqJ74enl6uWLZW9LUUAHqhaO&#10;IIjxZW8r2oVgyyzzvBOa+TOwwqCzAadZwKNrs9qxHtG1yorJZJb14GrrgAvv8et6dNIjonsOIDSN&#10;5GINfKuFCSOqE4oFbMl30nq6SmybRvDwoWm8CERVFDsN6Y1F0N7Ed7ZasrJ1zHaSHymw51B40pNm&#10;0mDRB6g1C4xsnfwHSkvuwEMTzjjobGwkKYJd5JMn2tx1zIrUC0rt7YPo/v/B8ve7j47IuqLFxYIS&#10;wzSO/PDzx+HXn8Pv72RezKJEvfUlRt5ZjA3DaxhwcVK73t4C/+KJgeuOmVZcOQd9J1iNFPOYmZ2k&#10;jjg+gmz6d1BjJbYNkICGxumoHypCEB3Hs38YjxgC4bFkvpjMiiklHH3FfJrn01SClffZ1vnwRoAm&#10;0aiow/EndLa79SGyYeV9SCxm4EYqlVZAGdJXdDFN8NqiHt60Y4ugZB3jYoZ37eZaObJjcZ/Sc6Tg&#10;T8NikTXz3RhXoxWjWKllwLujpK7o/DRZmaNSUZxRpjBsBsyJ8m2g3qNmDsbtxbuLRgfuGyU9bi5S&#10;/bplTlCi3hrUfZGfn8dVT4fz6UWBB3fq2Zx6mOEIVdFAyWheh/F6bK2TbYeVxkkbuMJZNTLJ+Mjq&#10;yBu3M6l7vElx/U/PKerx77H6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6ouwbXAAAACAEAAA8A&#10;AAAAAAAAAQAgAAAAIgAAAGRycy9kb3ducmV2LnhtbFBLAQIUABQAAAAIAIdO4kBHQxYKUQIAAIUE&#10;AAAOAAAAAAAAAAEAIAAAACYBAABkcnMvZTJvRG9jLnhtbFBLBQYAAAAABgAGAFkBAADpBQAAAAA=&#10;">
                            <v:fill on="f" focussize="0,0"/>
                            <v:stroke color="#000000" miterlimit="8" joinstyle="miter" dashstyle="dash"/>
                            <v:imagedata o:title=""/>
                            <o:lock v:ext="edit" aspectratio="f"/>
                            <v:textbox>
                              <w:txbxContent>
                                <w:p>
                                  <w:pPr>
                                    <w:pStyle w:val="47"/>
                                  </w:pPr>
                                  <w:r>
                                    <w:rPr>
                                      <w:rFonts w:hint="eastAsia"/>
                                    </w:rPr>
                                    <w:t>一般包装材料S</w:t>
                                  </w:r>
                                  <w:r>
                                    <w:rPr>
                                      <w:rFonts w:hint="eastAsia"/>
                                      <w:vertAlign w:val="subscript"/>
                                    </w:rPr>
                                    <w:t>1</w:t>
                                  </w:r>
                                </w:p>
                              </w:txbxContent>
                            </v:textbox>
                          </v:shape>
                        </w:pict>
                      </mc:Fallback>
                    </mc:AlternateContent>
                  </w:r>
                  <w:r>
                    <mc:AlternateContent>
                      <mc:Choice Requires="wps">
                        <w:drawing>
                          <wp:anchor distT="0" distB="0" distL="114300" distR="114300" simplePos="0" relativeHeight="251649024" behindDoc="0" locked="0" layoutInCell="1" allowOverlap="1">
                            <wp:simplePos x="0" y="0"/>
                            <wp:positionH relativeFrom="column">
                              <wp:posOffset>3623945</wp:posOffset>
                            </wp:positionH>
                            <wp:positionV relativeFrom="paragraph">
                              <wp:posOffset>34290</wp:posOffset>
                            </wp:positionV>
                            <wp:extent cx="673100" cy="257175"/>
                            <wp:effectExtent l="13970" t="5715" r="8255" b="13335"/>
                            <wp:wrapNone/>
                            <wp:docPr id="275" name="文本框 548"/>
                            <wp:cNvGraphicFramePr/>
                            <a:graphic xmlns:a="http://schemas.openxmlformats.org/drawingml/2006/main">
                              <a:graphicData uri="http://schemas.microsoft.com/office/word/2010/wordprocessingShape">
                                <wps:wsp>
                                  <wps:cNvSpPr txBox="1">
                                    <a:spLocks noChangeArrowheads="1"/>
                                  </wps:cNvSpPr>
                                  <wps:spPr bwMode="auto">
                                    <a:xfrm>
                                      <a:off x="0" y="0"/>
                                      <a:ext cx="673100" cy="257175"/>
                                    </a:xfrm>
                                    <a:prstGeom prst="rect">
                                      <a:avLst/>
                                    </a:prstGeom>
                                    <a:noFill/>
                                    <a:ln w="9525" cmpd="sng">
                                      <a:solidFill>
                                        <a:srgbClr val="000000"/>
                                      </a:solidFill>
                                      <a:prstDash val="dash"/>
                                      <a:miter lim="800000"/>
                                    </a:ln>
                                    <a:effectLst/>
                                  </wps:spPr>
                                  <wps:txbx>
                                    <w:txbxContent>
                                      <w:p>
                                        <w:pPr>
                                          <w:spacing w:line="240" w:lineRule="auto"/>
                                          <w:ind w:firstLine="0" w:firstLineChars="0"/>
                                          <w:jc w:val="center"/>
                                          <w:rPr>
                                            <w:sz w:val="21"/>
                                            <w:szCs w:val="21"/>
                                          </w:rPr>
                                        </w:pPr>
                                        <w:r>
                                          <w:rPr>
                                            <w:rFonts w:hint="eastAsia"/>
                                            <w:sz w:val="21"/>
                                            <w:szCs w:val="21"/>
                                          </w:rPr>
                                          <w:t>次品</w:t>
                                        </w:r>
                                        <w:r>
                                          <w:rPr>
                                            <w:sz w:val="21"/>
                                            <w:szCs w:val="21"/>
                                          </w:rPr>
                                          <w:t>S</w:t>
                                        </w:r>
                                        <w:r>
                                          <w:rPr>
                                            <w:rFonts w:hint="eastAsia"/>
                                            <w:sz w:val="21"/>
                                            <w:szCs w:val="21"/>
                                            <w:vertAlign w:val="subscript"/>
                                          </w:rPr>
                                          <w:t>3</w:t>
                                        </w:r>
                                      </w:p>
                                    </w:txbxContent>
                                  </wps:txbx>
                                  <wps:bodyPr rot="0" vert="horz" wrap="square" lIns="91440" tIns="45720" rIns="91440" bIns="45720" anchor="t" anchorCtr="0" upright="1">
                                    <a:noAutofit/>
                                  </wps:bodyPr>
                                </wps:wsp>
                              </a:graphicData>
                            </a:graphic>
                          </wp:anchor>
                        </w:drawing>
                      </mc:Choice>
                      <mc:Fallback>
                        <w:pict>
                          <v:shape id="文本框 548" o:spid="_x0000_s1026" o:spt="202" type="#_x0000_t202" style="position:absolute;left:0pt;margin-left:285.35pt;margin-top:2.7pt;height:20.25pt;width:53pt;z-index:251649024;mso-width-relative:page;mso-height-relative:page;" filled="f" stroked="t" coordsize="21600,21600" o:gfxdata="UEsDBAoAAAAAAIdO4kAAAAAAAAAAAAAAAAAEAAAAZHJzL1BLAwQUAAAACACHTuJAbOmptdkAAAAI&#10;AQAADwAAAGRycy9kb3ducmV2LnhtbE2PzU7DMBCE70i8g7VI3KhdyE8b4vSAhAQSakXpgd42yZJE&#10;je0odpvw9iwnuO1oRrPf5JvZ9OJCo++c1bBcKBBkK1d3ttFw+Hi+W4HwAW2NvbOk4Zs8bIrrqxyz&#10;2k32nS770AgusT5DDW0IQyalr1oy6BduIMvelxsNBpZjI+sRJy43vbxXKpEGO8sfWhzoqaXqtD8b&#10;DcfDVEbbbSzn3dsnhYeXVzylR61vb5bqEUSgOfyF4Ref0aFgptKdbe1FryFOVcpRPiIQ7CdpwrrU&#10;EMVrkEUu/w8ofgBQSwMEFAAAAAgAh07iQDU4Z0RXAgAAkgQAAA4AAABkcnMvZTJvRG9jLnhtbK1U&#10;zW7bMAy+D9g7CLqvTrKkaY06Rdegw4D9Ad0eQJFlW5gkapQSu3uA7Q122mX3PVefY5SctkF36WE5&#10;GJT46SP5kczZ+WAN2ykMGlzFp0cTzpSTUGvXVvzzp6sXJ5yFKFwtDDhV8RsV+Pnq+bOz3pdqBh2Y&#10;WiEjEhfK3le8i9GXRRFkp6wIR+CVI2cDaEWkI7ZFjaIndmuK2WRyXPSAtUeQKgS6XY9OvmfEpxBC&#10;02ip1iC3Vrk4sqIyIlJJodM+8FXOtmmUjB+aJqjITMWp0pi/FITsTfoWqzNRtih8p+U+BfGUFB7V&#10;ZIV2FPSeai2iYFvU/1BZLRECNPFIgi3GQrIiVMV08kib6054lWshqYO/Fz38P1r5fvcRma4rPlsu&#10;OHPCUstvf/64/fXn9vd3tpifJIl6H0pCXnvCxuEVDDQ4udzg34L8EpiDy064Vl0gQt8pUVOK0/Sy&#10;OHg68oREsunfQU2RxDZCJhoatEk/UoQRO7Xn5r49aohM0uXx8uV0Qh5JrtliOaWEUwRR3j32GOJr&#10;BZYlo+JI3c/kYvc2xBF6B0mxHFxpY+helMaxvuKnixlpIK0nOYJrxwrB6DrhEixgu7k0yHYijVP+&#10;7VMIh7AUZC1CN+JqshJKlFZHWh2jbcVPDh8bl7wqj+s+0yRbUmrULA6bgRjS5QbqGxIQYRxlWmQy&#10;OsBvnPU0xpT4161AxZl546gJp9P5PM19PswXyxkd8NCzOfQIJ4mq4pGz0byM465sPeq2o0hj2x1c&#10;UOManUV9yGrfbhrV3Jb9WqVdODxn1MNfyeo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bOmptdkA&#10;AAAIAQAADwAAAAAAAAABACAAAAAiAAAAZHJzL2Rvd25yZXYueG1sUEsBAhQAFAAAAAgAh07iQDU4&#10;Z0RXAgAAkgQAAA4AAAAAAAAAAQAgAAAAKAEAAGRycy9lMm9Eb2MueG1sUEsFBgAAAAAGAAYAWQEA&#10;APEFAAAAAA==&#10;">
                            <v:fill on="f" focussize="0,0"/>
                            <v:stroke color="#000000" miterlimit="8" joinstyle="miter" dashstyle="dash"/>
                            <v:imagedata o:title=""/>
                            <o:lock v:ext="edit" aspectratio="f"/>
                            <v:textbox>
                              <w:txbxContent>
                                <w:p>
                                  <w:pPr>
                                    <w:spacing w:line="240" w:lineRule="auto"/>
                                    <w:ind w:firstLine="0" w:firstLineChars="0"/>
                                    <w:jc w:val="center"/>
                                    <w:rPr>
                                      <w:sz w:val="21"/>
                                      <w:szCs w:val="21"/>
                                    </w:rPr>
                                  </w:pPr>
                                  <w:r>
                                    <w:rPr>
                                      <w:rFonts w:hint="eastAsia"/>
                                      <w:sz w:val="21"/>
                                      <w:szCs w:val="21"/>
                                    </w:rPr>
                                    <w:t>次品</w:t>
                                  </w:r>
                                  <w:r>
                                    <w:rPr>
                                      <w:sz w:val="21"/>
                                      <w:szCs w:val="21"/>
                                    </w:rPr>
                                    <w:t>S</w:t>
                                  </w:r>
                                  <w:r>
                                    <w:rPr>
                                      <w:rFonts w:hint="eastAsia"/>
                                      <w:sz w:val="21"/>
                                      <w:szCs w:val="21"/>
                                      <w:vertAlign w:val="subscript"/>
                                    </w:rPr>
                                    <w:t>3</w:t>
                                  </w:r>
                                </w:p>
                              </w:txbxContent>
                            </v:textbox>
                          </v:shape>
                        </w:pict>
                      </mc:Fallback>
                    </mc:AlternateContent>
                  </w:r>
                </w:p>
                <w:p>
                  <w:pPr>
                    <w:pStyle w:val="71"/>
                    <w:spacing w:afterLines="0"/>
                  </w:pPr>
                </w:p>
                <w:p>
                  <w:pPr>
                    <w:pStyle w:val="71"/>
                    <w:spacing w:afterLines="0"/>
                  </w:pPr>
                  <w:r>
                    <mc:AlternateContent>
                      <mc:Choice Requires="wps">
                        <w:drawing>
                          <wp:anchor distT="0" distB="0" distL="114300" distR="114300" simplePos="0" relativeHeight="251770880" behindDoc="0" locked="0" layoutInCell="1" allowOverlap="1">
                            <wp:simplePos x="0" y="0"/>
                            <wp:positionH relativeFrom="column">
                              <wp:posOffset>1484630</wp:posOffset>
                            </wp:positionH>
                            <wp:positionV relativeFrom="paragraph">
                              <wp:posOffset>29845</wp:posOffset>
                            </wp:positionV>
                            <wp:extent cx="128905" cy="123825"/>
                            <wp:effectExtent l="3175" t="0" r="1270" b="9525"/>
                            <wp:wrapNone/>
                            <wp:docPr id="274" name="直线 827"/>
                            <wp:cNvGraphicFramePr/>
                            <a:graphic xmlns:a="http://schemas.openxmlformats.org/drawingml/2006/main">
                              <a:graphicData uri="http://schemas.microsoft.com/office/word/2010/wordprocessingShape">
                                <wps:wsp>
                                  <wps:cNvCnPr>
                                    <a:cxnSpLocks noChangeShapeType="1"/>
                                  </wps:cNvCnPr>
                                  <wps:spPr bwMode="auto">
                                    <a:xfrm flipV="1">
                                      <a:off x="0" y="0"/>
                                      <a:ext cx="128905" cy="123825"/>
                                    </a:xfrm>
                                    <a:prstGeom prst="line">
                                      <a:avLst/>
                                    </a:prstGeom>
                                    <a:noFill/>
                                    <a:ln w="9525" cmpd="sng">
                                      <a:solidFill>
                                        <a:srgbClr val="000000"/>
                                      </a:solidFill>
                                      <a:prstDash val="dash"/>
                                      <a:round/>
                                      <a:headEnd type="none"/>
                                      <a:tailEnd type="triangle" w="med" len="med"/>
                                    </a:ln>
                                  </wps:spPr>
                                  <wps:bodyPr/>
                                </wps:wsp>
                              </a:graphicData>
                            </a:graphic>
                          </wp:anchor>
                        </w:drawing>
                      </mc:Choice>
                      <mc:Fallback>
                        <w:pict>
                          <v:line id="直线 827" o:spid="_x0000_s1026" o:spt="20" style="position:absolute;left:0pt;flip:y;margin-left:116.9pt;margin-top:2.35pt;height:9.75pt;width:10.15pt;z-index:251770880;mso-width-relative:page;mso-height-relative:page;" filled="f" stroked="t" coordsize="21600,21600" o:gfxdata="UEsDBAoAAAAAAIdO4kAAAAAAAAAAAAAAAAAEAAAAZHJzL1BLAwQUAAAACACHTuJAbZPv/dYAAAAI&#10;AQAADwAAAGRycy9kb3ducmV2LnhtbE2Py07DMBBF90j8gzVI7KidNDwa4nRRCQmxo0Vi68bTJKo9&#10;Drb7gK9nWNHdjO7VmTPN8uydOGJMYyANxUyBQOqCHanX8LF5uXsCkbIha1wg1PCNCZbt9VVjahtO&#10;9I7Hde4FQyjVRsOQ81RLmboBvUmzMCFxtgvRm8xr7KWN5sRw72Sp1IP0ZiS+MJgJVwN2+/XBa6jU&#10;189q89aPC/eKi4SRdvv8qfXtTaGeQWQ85/8y/OmzOrTstA0Hskk4DeV8zuqZYY8gOC/vqwLEloeq&#10;BNk28vKB9hdQSwMEFAAAAAgAh07iQDOK98oZAgAAHAQAAA4AAABkcnMvZTJvRG9jLnhtbK1TS3IT&#10;MRDdU8UdVNqTsQdCnKmMs7AJmwCpSmDfljQeFfqVJHvss3ANVmw4Tq5Bt8Zlk7DJgllMtaTXr/s9&#10;ta6ud9awrYpJe9fy6dmEM+WEl9qtW/714ebNjLOUwUkw3qmW71Xi1/PXr66G0Kja995IFRmSuNQM&#10;oeV9zqGpqiR6ZSGd+aAcHnY+Wsi4jOtKRhiQ3ZqqnkzeV4OPMkQvVEq4uxwP+YExvoTQd50WaunF&#10;xiqXR9aoDGSUlHodEp+XbrtOifyl65LKzLQclebyxyIYr+hfza+gWUcIvRaHFuAlLTzTZEE7LHqk&#10;WkIGton6HyqrRfTJd/lMeFuNQoojqGI6eebNfQ9BFS1odQpH09P/oxWft3eRadny+uIdZw4sXvnj&#10;j5+Pv36zWX1B/gwhNQhbuLtICsXO3YdbL74n5vyiB7dWpc+HfcDUKWVUT1JokQJWWQ2fvEQMbLIv&#10;Zu26aFlndPhGiUSOhrBduZ398XbULjOBm9N6djk550zg0bR+O6vPSy1oiIaSQ0z5o/KWUdByox2Z&#10;Bw1sb1Omtk4Q2nb+RhtTBsA4NrT88hwpmbAB3UhuXXKTN1oSjjJSXK8WJrIt0DSV79DCExiVX0Lq&#10;R5zEiFDQRL9xskS9AvnBSZaLZw7f2YjIoM1pP0eN7hrFqTmrJGdG4ZOlaFRj3MFrsne8qJWX+7tI&#10;x2Q7Dk2RfRhwmsq/1wV1etTz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2T7/3WAAAACAEAAA8A&#10;AAAAAAAAAQAgAAAAIgAAAGRycy9kb3ducmV2LnhtbFBLAQIUABQAAAAIAIdO4kAzivfKGQIAABwE&#10;AAAOAAAAAAAAAAEAIAAAACUBAABkcnMvZTJvRG9jLnhtbFBLBQYAAAAABgAGAFkBAACwBQAAAAA=&#10;">
                            <v:fill on="f" focussize="0,0"/>
                            <v:stroke color="#000000" joinstyle="round" dashstyle="dash" endarrow="block"/>
                            <v:imagedata o:title=""/>
                            <o:lock v:ext="edit" aspectratio="f"/>
                          </v:line>
                        </w:pict>
                      </mc:Fallback>
                    </mc:AlternateContent>
                  </w:r>
                  <w:r>
                    <mc:AlternateContent>
                      <mc:Choice Requires="wps">
                        <w:drawing>
                          <wp:anchor distT="0" distB="0" distL="114300" distR="114300" simplePos="0" relativeHeight="251623424" behindDoc="0" locked="0" layoutInCell="1" allowOverlap="1">
                            <wp:simplePos x="0" y="0"/>
                            <wp:positionH relativeFrom="column">
                              <wp:posOffset>2857500</wp:posOffset>
                            </wp:positionH>
                            <wp:positionV relativeFrom="paragraph">
                              <wp:posOffset>26035</wp:posOffset>
                            </wp:positionV>
                            <wp:extent cx="194945" cy="141605"/>
                            <wp:effectExtent l="2540" t="0" r="12065" b="10795"/>
                            <wp:wrapNone/>
                            <wp:docPr id="273" name="直线 394"/>
                            <wp:cNvGraphicFramePr/>
                            <a:graphic xmlns:a="http://schemas.openxmlformats.org/drawingml/2006/main">
                              <a:graphicData uri="http://schemas.microsoft.com/office/word/2010/wordprocessingShape">
                                <wps:wsp>
                                  <wps:cNvCnPr>
                                    <a:cxnSpLocks noChangeShapeType="1"/>
                                  </wps:cNvCnPr>
                                  <wps:spPr bwMode="auto">
                                    <a:xfrm flipV="1">
                                      <a:off x="0" y="0"/>
                                      <a:ext cx="194945" cy="141605"/>
                                    </a:xfrm>
                                    <a:prstGeom prst="line">
                                      <a:avLst/>
                                    </a:prstGeom>
                                    <a:noFill/>
                                    <a:ln w="9525" cmpd="sng">
                                      <a:solidFill>
                                        <a:srgbClr val="000000"/>
                                      </a:solidFill>
                                      <a:prstDash val="dash"/>
                                      <a:round/>
                                      <a:headEnd type="none"/>
                                      <a:tailEnd type="triangle" w="med" len="med"/>
                                    </a:ln>
                                  </wps:spPr>
                                  <wps:bodyPr/>
                                </wps:wsp>
                              </a:graphicData>
                            </a:graphic>
                          </wp:anchor>
                        </w:drawing>
                      </mc:Choice>
                      <mc:Fallback>
                        <w:pict>
                          <v:line id="直线 394" o:spid="_x0000_s1026" o:spt="20" style="position:absolute;left:0pt;flip:y;margin-left:225pt;margin-top:2.05pt;height:11.15pt;width:15.35pt;z-index:251623424;mso-width-relative:page;mso-height-relative:page;" filled="f" stroked="t" coordsize="21600,21600" o:gfxdata="UEsDBAoAAAAAAIdO4kAAAAAAAAAAAAAAAAAEAAAAZHJzL1BLAwQUAAAACACHTuJAZtNiRdYAAAAI&#10;AQAADwAAAGRycy9kb3ducmV2LnhtbE2PTU/DMAyG70j8h8iTuLGkUxlb13SHSUiIG9skrlnjtdUS&#10;pyTZB/x6zAlutl7r8fPW65t34oIxDYE0FFMFAqkNdqBOw3738rgAkbIha1wg1PCFCdbN/V1tKhuu&#10;9I6Xbe4EQyhVRkOf81hJmdoevUnTMCJxdgzRm8xr7KSN5spw7+RMqbn0ZiD+0JsRNz22p+3ZayjV&#10;5/dm99YNS/eKy4SRjqf8ofXDpFArEBlv+e8YfvVZHRp2OoQz2SQcM54Ud8k8FCA4LxfqGcRBw2xe&#10;gmxq+b9A8wNQSwMEFAAAAAgAh07iQAiASzIaAgAAHAQAAA4AAABkcnMvZTJvRG9jLnhtbK1TS27b&#10;MBDdF+gdCO5rWY6d1oLlLOymm7Q1kLR7mqQkovyBpC37LL1GV930OLlGZijDbtJNFtVCGJJv3sx7&#10;HC5uDkaTvQxROVvTcjSmRFruhLJtTb893L77QElMzAqmnZU1PcpIb5Zv3yx6X8mJ65wWMhAgsbHq&#10;fU27lHxVFJF30rA4cl5aOGxcMCzBMrSFCKwHdqOLyXh8XfQuCB8clzHC7no4pCfG8BpC1zSKy7Xj&#10;OyNtGliD1CyBpNgpH+kyd9s0kqevTRNlIrqmoDTlPxSBeIv/YrlgVRuY7xQ/tcBe08ILTYYpC0XP&#10;VGuWGNkF9Q+VUTy46Jo04s4Ug5DsCKgoxy+8ue+Yl1kLWB392fT4/2j5l/0mECVqOnl/RYllBq78&#10;8eevx99/yNV8iv70PlYAW9lNQIX8YO/9neM/IrFu1THbytznw9FDaokZxbMUXEQPVbb9ZycAw3bJ&#10;ZbMOTTCk0cp/x0QkB0PIId/O8Xw78pAIh81yPp1PZ5RwOCqn5fV4lmuxCmkw2YeYPklnCAY11cqi&#10;eaxi+7uYsK0LBLetu1Va5wHQlvQ1nc8mSG88uBFtm3Oj00ogDjNiaLcrHcie4TTl79TCMxiWX7PY&#10;DTgBEaJYFdzOihx1komPVpCUPbPwzgZEYkpf9lNQ4K6WFJszUlCiJTxZjAY12p68RnuHi9o6cdwE&#10;PEbbYWiy7NOA41T+vc6oy6NeP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m02JF1gAAAAgBAAAP&#10;AAAAAAAAAAEAIAAAACIAAABkcnMvZG93bnJldi54bWxQSwECFAAUAAAACACHTuJACIBLMhoCAAAc&#10;BAAADgAAAAAAAAABACAAAAAlAQAAZHJzL2Uyb0RvYy54bWxQSwUGAAAAAAYABgBZAQAAsQUAAAAA&#10;">
                            <v:fill on="f" focussize="0,0"/>
                            <v:stroke color="#000000" joinstyle="round" dashstyle="dash" endarrow="block"/>
                            <v:imagedata o:title=""/>
                            <o:lock v:ext="edit" aspectratio="f"/>
                          </v:line>
                        </w:pict>
                      </mc:Fallback>
                    </mc:AlternateContent>
                  </w:r>
                  <w:r>
                    <mc:AlternateContent>
                      <mc:Choice Requires="wps">
                        <w:drawing>
                          <wp:anchor distT="0" distB="0" distL="114300" distR="114300" simplePos="0" relativeHeight="251648000" behindDoc="0" locked="0" layoutInCell="1" allowOverlap="1">
                            <wp:simplePos x="0" y="0"/>
                            <wp:positionH relativeFrom="column">
                              <wp:posOffset>3648075</wp:posOffset>
                            </wp:positionH>
                            <wp:positionV relativeFrom="paragraph">
                              <wp:posOffset>6985</wp:posOffset>
                            </wp:positionV>
                            <wp:extent cx="194945" cy="141605"/>
                            <wp:effectExtent l="2540" t="0" r="12065" b="10795"/>
                            <wp:wrapNone/>
                            <wp:docPr id="272" name="直线 547"/>
                            <wp:cNvGraphicFramePr/>
                            <a:graphic xmlns:a="http://schemas.openxmlformats.org/drawingml/2006/main">
                              <a:graphicData uri="http://schemas.microsoft.com/office/word/2010/wordprocessingShape">
                                <wps:wsp>
                                  <wps:cNvCnPr>
                                    <a:cxnSpLocks noChangeShapeType="1"/>
                                  </wps:cNvCnPr>
                                  <wps:spPr bwMode="auto">
                                    <a:xfrm flipV="1">
                                      <a:off x="0" y="0"/>
                                      <a:ext cx="194945" cy="141605"/>
                                    </a:xfrm>
                                    <a:prstGeom prst="line">
                                      <a:avLst/>
                                    </a:prstGeom>
                                    <a:noFill/>
                                    <a:ln w="9525" cmpd="sng">
                                      <a:solidFill>
                                        <a:srgbClr val="000000"/>
                                      </a:solidFill>
                                      <a:prstDash val="dash"/>
                                      <a:round/>
                                      <a:headEnd type="none"/>
                                      <a:tailEnd type="triangle" w="med" len="med"/>
                                    </a:ln>
                                  </wps:spPr>
                                  <wps:bodyPr/>
                                </wps:wsp>
                              </a:graphicData>
                            </a:graphic>
                          </wp:anchor>
                        </w:drawing>
                      </mc:Choice>
                      <mc:Fallback>
                        <w:pict>
                          <v:line id="直线 547" o:spid="_x0000_s1026" o:spt="20" style="position:absolute;left:0pt;flip:y;margin-left:287.25pt;margin-top:0.55pt;height:11.15pt;width:15.35pt;z-index:251648000;mso-width-relative:page;mso-height-relative:page;" filled="f" stroked="t" coordsize="21600,21600" o:gfxdata="UEsDBAoAAAAAAIdO4kAAAAAAAAAAAAAAAAAEAAAAZHJzL1BLAwQUAAAACACHTuJAkj/gldYAAAAI&#10;AQAADwAAAGRycy9kb3ducmV2LnhtbE2Py07DMBBF90j8gzVI7KidkJQ2jdNFJSTEjhaJrRtPk6jx&#10;ONjuA76eYQXL0bm690y9vrpRnDHEwZOGbKZAILXeDtRpeN89PyxAxGTImtETavjCCOvm9qY2lfUX&#10;esPzNnWCSyhWRkOf0lRJGdsenYkzPyExO/jgTOIzdNIGc+FyN8pcqbl0ZiBe6M2Emx7b4/bkNBTq&#10;83uze+2G5fiCy4iBDsf0ofX9XaZWIBJe018YfvVZHRp22vsT2ShGDeVTUXKUQQaC+VyVOYi9hvyx&#10;ANnU8v8DzQ9QSwMEFAAAAAgAh07iQKWswLAZAgAAHAQAAA4AAABkcnMvZTJvRG9jLnhtbK1TS27b&#10;MBDdF+gdCO4bWYad1ELkLOKmm7QNkLT7MUlZRPkDSVv2WXqNrrrpcXKNzlBG3KSbLKqFMCTfvJn3&#10;OLy82lvDdiom7V3L67MJZ8oJL7XbtPzrw82795ylDE6C8U61/KASv1q+fXM5hEZNfe+NVJEhiUvN&#10;EFre5xyaqkqiVxbSmQ/K4WHno4WMy7ipZIQB2a2pppPJeTX4KEP0QqWEu6vxkB8Z42sIfddpoVZe&#10;bK1yeWSNykBGSanXIfFl6bbrlMhfui6pzEzLUWkufyyC8Zr+1fISmk2E0GtxbAFe08ILTRa0w6JP&#10;VCvIwLZR/0NltYg++S6fCW+rUUhxBFXUkxfe3PcQVNGCVqfwZHr6f7Ti8+4uMi1bPr2YcubA4pU/&#10;/vj5+Os3m88uyJ8hpAZh1+4ukkKxd/fh1ovviTl/3YPbqNLnwyFgak0Z1bMUWqSAVdbDJy8RA9vs&#10;i1n7LlrWGR2+USKRoyFsX27n8HQ7ap+ZwM16MVvM5pwJPKpn9flkXmpBQzSUHGLKH5W3jIKWG+3I&#10;PGhgd5sytXWC0LbzN9qYMgDGsaHli/mU6G1AN5LblNzkjZaEo4wUN+trE9kOaJrKd2zhGYzKryD1&#10;I05iRChoot86WaJegfzgJMvFM4fvbERk0Oa0n6NGd43i1JxVkjOj8MlSNKox7ug12Tte1NrLw12k&#10;Y7Idh6bIPg44TeXf64I6Perl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I/4JXWAAAACAEAAA8A&#10;AAAAAAAAAQAgAAAAIgAAAGRycy9kb3ducmV2LnhtbFBLAQIUABQAAAAIAIdO4kClrMCwGQIAABwE&#10;AAAOAAAAAAAAAAEAIAAAACUBAABkcnMvZTJvRG9jLnhtbFBLBQYAAAAABgAGAFkBAACwBQAAAAA=&#10;">
                            <v:fill on="f" focussize="0,0"/>
                            <v:stroke color="#000000" joinstyle="round" dashstyle="dash" endarrow="block"/>
                            <v:imagedata o:title=""/>
                            <o:lock v:ext="edit" aspectratio="f"/>
                          </v:line>
                        </w:pict>
                      </mc:Fallback>
                    </mc:AlternateContent>
                  </w:r>
                </w:p>
                <w:p>
                  <w:pPr>
                    <w:pStyle w:val="71"/>
                    <w:spacing w:afterLines="0"/>
                  </w:pPr>
                  <w:r>
                    <mc:AlternateContent>
                      <mc:Choice Requires="wps">
                        <w:drawing>
                          <wp:anchor distT="0" distB="0" distL="114300" distR="114300" simplePos="0" relativeHeight="251617280" behindDoc="0" locked="0" layoutInCell="1" allowOverlap="1">
                            <wp:simplePos x="0" y="0"/>
                            <wp:positionH relativeFrom="column">
                              <wp:posOffset>217170</wp:posOffset>
                            </wp:positionH>
                            <wp:positionV relativeFrom="paragraph">
                              <wp:posOffset>7620</wp:posOffset>
                            </wp:positionV>
                            <wp:extent cx="794385" cy="467360"/>
                            <wp:effectExtent l="0" t="0" r="0" b="1270"/>
                            <wp:wrapNone/>
                            <wp:docPr id="271" name="文本框 401"/>
                            <wp:cNvGraphicFramePr/>
                            <a:graphic xmlns:a="http://schemas.openxmlformats.org/drawingml/2006/main">
                              <a:graphicData uri="http://schemas.microsoft.com/office/word/2010/wordprocessingShape">
                                <wps:wsp>
                                  <wps:cNvSpPr txBox="1">
                                    <a:spLocks noChangeArrowheads="1"/>
                                  </wps:cNvSpPr>
                                  <wps:spPr bwMode="auto">
                                    <a:xfrm>
                                      <a:off x="0" y="0"/>
                                      <a:ext cx="794385" cy="467360"/>
                                    </a:xfrm>
                                    <a:prstGeom prst="rect">
                                      <a:avLst/>
                                    </a:prstGeom>
                                    <a:solidFill>
                                      <a:srgbClr val="FFFFFF"/>
                                    </a:solidFill>
                                    <a:ln>
                                      <a:noFill/>
                                    </a:ln>
                                    <a:effectLst/>
                                  </wps:spPr>
                                  <wps:txbx>
                                    <w:txbxContent>
                                      <w:p>
                                        <w:pPr>
                                          <w:spacing w:line="240" w:lineRule="auto"/>
                                          <w:ind w:firstLine="0" w:firstLineChars="0"/>
                                          <w:jc w:val="center"/>
                                          <w:rPr>
                                            <w:sz w:val="21"/>
                                            <w:szCs w:val="21"/>
                                          </w:rPr>
                                        </w:pPr>
                                        <w:r>
                                          <w:rPr>
                                            <w:sz w:val="21"/>
                                            <w:szCs w:val="21"/>
                                          </w:rPr>
                                          <w:t>风机</w:t>
                                        </w:r>
                                        <w:r>
                                          <w:rPr>
                                            <w:rFonts w:hint="eastAsia"/>
                                            <w:sz w:val="21"/>
                                            <w:szCs w:val="21"/>
                                          </w:rPr>
                                          <w:t>壳体</w:t>
                                        </w:r>
                                        <w:r>
                                          <w:rPr>
                                            <w:sz w:val="21"/>
                                            <w:szCs w:val="21"/>
                                          </w:rPr>
                                          <w:t>、轴承</w:t>
                                        </w:r>
                                      </w:p>
                                    </w:txbxContent>
                                  </wps:txbx>
                                  <wps:bodyPr rot="0" vert="horz" wrap="square" lIns="91440" tIns="45720" rIns="91440" bIns="45720" anchor="t" anchorCtr="0" upright="1">
                                    <a:noAutofit/>
                                  </wps:bodyPr>
                                </wps:wsp>
                              </a:graphicData>
                            </a:graphic>
                          </wp:anchor>
                        </w:drawing>
                      </mc:Choice>
                      <mc:Fallback>
                        <w:pict>
                          <v:shape id="文本框 401" o:spid="_x0000_s1026" o:spt="202" type="#_x0000_t202" style="position:absolute;left:0pt;margin-left:17.1pt;margin-top:0.6pt;height:36.8pt;width:62.55pt;z-index:251617280;mso-width-relative:page;mso-height-relative:page;" fillcolor="#FFFFFF" filled="t" stroked="f" coordsize="21600,21600" o:gfxdata="UEsDBAoAAAAAAIdO4kAAAAAAAAAAAAAAAAAEAAAAZHJzL1BLAwQUAAAACACHTuJAr1tdVNUAAAAH&#10;AQAADwAAAGRycy9kb3ducmV2LnhtbE2OzW7CQAyE75X6Disj9VKVDRAIhGyQWqlVr/w8gJOYJGrW&#10;G2UXAm9fc2pPI8+Mxl+2u9lOXWnwrWMDs2kEirh0Vcu1gdPx820NygfkCjvHZOBOHnb581OGaeVG&#10;3tP1EGolI+xTNNCE0Kda+7Ihi37qemLJzm6wGOQcal0NOMq47fQ8ilbaYsvyocGePhoqfw4Xa+D8&#10;Pb4uN2PxFU7JPl69Y5sU7m7My2QWbUEFuoW/MjzwBR1yYSrchSuvOgOLeC5N8UUe8XKzAFUYSOI1&#10;6DzT//nzX1BLAwQUAAAACACHTuJA6RPnIDYCAABPBAAADgAAAGRycy9lMm9Eb2MueG1srVTNjtMw&#10;EL4j8Q6W7zRtN9vuRk1XS6sipOVHWngA13Eai8Rjxm6T8gDwBpy4cOe5+hyMnW4py2UP5BB5PDPf&#10;zPfNJLObrqnZTqHTYHI+Ggw5U0ZCoc0m5x8/rF5ccea8MIWowaic75XjN/Pnz2atzdQYKqgLhYxA&#10;jMtam/PKe5sliZOVaoQbgFWGnCVgIzyZuEkKFC2hN3UyHg4nSQtYWASpnKPbZe/kR0R8CiCUpZZq&#10;CXLbKON7VFS18ETJVdo6Po/dlqWS/l1ZOuVZnXNi6uObitB5Hd7JfCayDQpbaXlsQTylhUecGqEN&#10;FT1BLYUXbIv6H6hGSwQHpR9IaJKeSFSEWIyGj7S5r4RVkQtJ7exJdPf/YOXb3Xtkusj5eDrizIiG&#10;Rn74/u3w49fh51eWDkdBota6jCLvLcX67iV0tDiRrrN3ID85ZmBRCbNRt4jQVkoU1GLMTM5SexwX&#10;QNbtGyiokth6iEBdiU3QjxRhhE7j2Z/GozrPJF1Or9OLq0vOJLnSyfRiEseXiOwh2aLzrxQ0LBxy&#10;jjT9CC52d84TDQp9CAm1HNS6WOm6jgZu1osa2U7QpqziE5hTyl9htQnBBkJa7+5vVNy1Y5nAOdDs&#10;Cftu3R01XEOxJ/YI/R7SV0iHCvALZy3tYM7d561AxVn92pCC16M0DUsbjfRyOiYDzz3rc48wkqBy&#10;7jnrjwvfL/rWot5UVKmfmYFbUr3UUZHQat8VcQ0G7VlkffwmwiKf2zHqz39g/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vW11U1QAAAAcBAAAPAAAAAAAAAAEAIAAAACIAAABkcnMvZG93bnJldi54&#10;bWxQSwECFAAUAAAACACHTuJA6RPnIDYCAABPBAAADgAAAAAAAAABACAAAAAkAQAAZHJzL2Uyb0Rv&#10;Yy54bWxQSwUGAAAAAAYABgBZAQAAzAUAAAAA&#10;">
                            <v:fill on="t" focussize="0,0"/>
                            <v:stroke on="f"/>
                            <v:imagedata o:title=""/>
                            <o:lock v:ext="edit" aspectratio="f"/>
                            <v:textbox>
                              <w:txbxContent>
                                <w:p>
                                  <w:pPr>
                                    <w:spacing w:line="240" w:lineRule="auto"/>
                                    <w:ind w:firstLine="0" w:firstLineChars="0"/>
                                    <w:jc w:val="center"/>
                                    <w:rPr>
                                      <w:sz w:val="21"/>
                                      <w:szCs w:val="21"/>
                                    </w:rPr>
                                  </w:pPr>
                                  <w:r>
                                    <w:rPr>
                                      <w:sz w:val="21"/>
                                      <w:szCs w:val="21"/>
                                    </w:rPr>
                                    <w:t>风机</w:t>
                                  </w:r>
                                  <w:r>
                                    <w:rPr>
                                      <w:rFonts w:hint="eastAsia"/>
                                      <w:sz w:val="21"/>
                                      <w:szCs w:val="21"/>
                                    </w:rPr>
                                    <w:t>壳体</w:t>
                                  </w:r>
                                  <w:r>
                                    <w:rPr>
                                      <w:sz w:val="21"/>
                                      <w:szCs w:val="21"/>
                                    </w:rPr>
                                    <w:t>、轴承</w:t>
                                  </w:r>
                                </w:p>
                              </w:txbxContent>
                            </v:textbox>
                          </v:shape>
                        </w:pict>
                      </mc:Fallback>
                    </mc:AlternateContent>
                  </w:r>
                  <w:r>
                    <mc:AlternateContent>
                      <mc:Choice Requires="wps">
                        <w:drawing>
                          <wp:anchor distT="0" distB="0" distL="114300" distR="114300" simplePos="0" relativeHeight="251527168" behindDoc="1" locked="0" layoutInCell="1" allowOverlap="1">
                            <wp:simplePos x="0" y="0"/>
                            <wp:positionH relativeFrom="column">
                              <wp:posOffset>4733290</wp:posOffset>
                            </wp:positionH>
                            <wp:positionV relativeFrom="paragraph">
                              <wp:posOffset>138430</wp:posOffset>
                            </wp:positionV>
                            <wp:extent cx="635" cy="1224280"/>
                            <wp:effectExtent l="8890" t="5080" r="9525" b="8890"/>
                            <wp:wrapNone/>
                            <wp:docPr id="270" name="直线 562"/>
                            <wp:cNvGraphicFramePr/>
                            <a:graphic xmlns:a="http://schemas.openxmlformats.org/drawingml/2006/main">
                              <a:graphicData uri="http://schemas.microsoft.com/office/word/2010/wordprocessingShape">
                                <wps:wsp>
                                  <wps:cNvCnPr>
                                    <a:cxnSpLocks noChangeShapeType="1"/>
                                  </wps:cNvCnPr>
                                  <wps:spPr bwMode="auto">
                                    <a:xfrm flipV="1">
                                      <a:off x="0" y="0"/>
                                      <a:ext cx="635" cy="1224280"/>
                                    </a:xfrm>
                                    <a:prstGeom prst="line">
                                      <a:avLst/>
                                    </a:prstGeom>
                                    <a:noFill/>
                                    <a:ln w="9525" cmpd="sng">
                                      <a:solidFill>
                                        <a:srgbClr val="000000"/>
                                      </a:solidFill>
                                      <a:round/>
                                    </a:ln>
                                    <a:effectLst/>
                                  </wps:spPr>
                                  <wps:bodyPr/>
                                </wps:wsp>
                              </a:graphicData>
                            </a:graphic>
                          </wp:anchor>
                        </w:drawing>
                      </mc:Choice>
                      <mc:Fallback>
                        <w:pict>
                          <v:line id="直线 562" o:spid="_x0000_s1026" o:spt="20" style="position:absolute;left:0pt;flip:y;margin-left:372.7pt;margin-top:10.9pt;height:96.4pt;width:0.05pt;z-index:-251789312;mso-width-relative:page;mso-height-relative:page;" filled="f" stroked="t" coordsize="21600,21600" o:gfxdata="UEsDBAoAAAAAAIdO4kAAAAAAAAAAAAAAAAAEAAAAZHJzL1BLAwQUAAAACACHTuJACd0cyNcAAAAK&#10;AQAADwAAAGRycy9kb3ducmV2LnhtbE2Py07DMBBF90j8gzVI7KidkJYS4lQIARukSpSUtRMPSUQ8&#10;jmI3LX/PdAXLuXN0H8Xm5AYx4xR6TxqShQKB1HjbU6uh+ni5WYMI0ZA1gyfU8IMBNuXlRWFy64/0&#10;jvMutoJNKORGQxfjmEsZmg6dCQs/IvHvy0/ORD6nVtrJHNncDTJVaiWd6YkTOjPiU4fN9+7gNDx+&#10;vj3fbufa+cHet9Xeukq9plpfXyXqAUTEU/yD4Vyfq0PJnWp/IBvEoOEuW2aMakgTnsAAC0sQ9VnI&#10;ViDLQv6fUP4CUEsDBBQAAAAIAIdO4kC9MMfZ7wEAAMoDAAAOAAAAZHJzL2Uyb0RvYy54bWytUzuO&#10;2zAQ7QPkDgT7WLYSOxvB8hY2Ns0mMbCb9DRFSURIDsGhLfssuUaqNDnOXiND2uv9NVtEBUEO572Z&#10;94aaX+6tYTsVUIOr+WQ05kw5CY12Xc2/3169u+AMo3CNMOBUzQ8K+eXi7Zv54CtVQg+mUYERicNq&#10;8DXvY/RVUaDslRU4Aq8cXbYQrIh0DF3RBDEQuzVFOR7PigFC4wNIhUjR1fGSnxjDawihbbVUK5Bb&#10;q1w8sgZlRCRJ2GuPfJG7bVsl47e2RRWZqTkpjXmlIrTfpLVYzEXVBeF7LU8tiNe08EyTFdpR0TPV&#10;SkTBtkG/oLJaBkBo40iCLY5CsiOkYjJ+5s1NL7zKWshq9GfT8f/Ryq+7dWC6qXn5kTxxwtLI7379&#10;vvvzl01nZfJn8FhR2tKtQ1Io9+7GX4P8iczBsheuU7nP24Mn6CQhiieQdEBPVTbDF2goR2wjZLP2&#10;bbCsNdr/SMBEToawfZ7O4TwdtY9MUnD2fsqZpPikLD+UF3l2hagSSYL6gPGzAsvSpuZGu2SdqMTu&#10;GmNq6iElhR1caWPy+I1jQ80/TcvEbz15ga7LWASjm5SXEBi6zdIEthPpLeUvi6Wbx2kBtq451jMu&#10;4VR+hqcm7s042rqB5rAO947RiHObp+eY3tDjc/b14Rdc/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J3RzI1wAAAAoBAAAPAAAAAAAAAAEAIAAAACIAAABkcnMvZG93bnJldi54bWxQSwECFAAUAAAA&#10;CACHTuJAvTDH2e8BAADKAwAADgAAAAAAAAABACAAAAAmAQAAZHJzL2Uyb0RvYy54bWxQSwUGAAAA&#10;AAYABgBZAQAAhw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58240" behindDoc="0" locked="0" layoutInCell="1" allowOverlap="1">
                            <wp:simplePos x="0" y="0"/>
                            <wp:positionH relativeFrom="column">
                              <wp:posOffset>4533900</wp:posOffset>
                            </wp:positionH>
                            <wp:positionV relativeFrom="paragraph">
                              <wp:posOffset>147320</wp:posOffset>
                            </wp:positionV>
                            <wp:extent cx="179705" cy="635"/>
                            <wp:effectExtent l="0" t="37465" r="10795" b="38100"/>
                            <wp:wrapNone/>
                            <wp:docPr id="269" name="直线 560"/>
                            <wp:cNvGraphicFramePr/>
                            <a:graphic xmlns:a="http://schemas.openxmlformats.org/drawingml/2006/main">
                              <a:graphicData uri="http://schemas.microsoft.com/office/word/2010/wordprocessingShape">
                                <wps:wsp>
                                  <wps:cNvCnPr>
                                    <a:cxnSpLocks noChangeShapeType="1"/>
                                  </wps:cNvCnPr>
                                  <wps:spPr bwMode="auto">
                                    <a:xfrm>
                                      <a:off x="0" y="0"/>
                                      <a:ext cx="179705" cy="635"/>
                                    </a:xfrm>
                                    <a:prstGeom prst="line">
                                      <a:avLst/>
                                    </a:prstGeom>
                                    <a:noFill/>
                                    <a:ln w="9525" cmpd="sng">
                                      <a:solidFill>
                                        <a:srgbClr val="000000"/>
                                      </a:solidFill>
                                      <a:round/>
                                      <a:headEnd type="none"/>
                                      <a:tailEnd type="triangle" w="med" len="med"/>
                                    </a:ln>
                                  </wps:spPr>
                                  <wps:bodyPr/>
                                </wps:wsp>
                              </a:graphicData>
                            </a:graphic>
                          </wp:anchor>
                        </w:drawing>
                      </mc:Choice>
                      <mc:Fallback>
                        <w:pict>
                          <v:line id="直线 560" o:spid="_x0000_s1026" o:spt="20" style="position:absolute;left:0pt;margin-left:357pt;margin-top:11.6pt;height:0.05pt;width:14.15pt;z-index:251658240;mso-width-relative:page;mso-height-relative:page;" filled="f" stroked="t" coordsize="21600,21600" o:gfxdata="UEsDBAoAAAAAAIdO4kAAAAAAAAAAAAAAAAAEAAAAZHJzL1BLAwQUAAAACACHTuJAWDLUu9oAAAAJ&#10;AQAADwAAAGRycy9kb3ducmV2LnhtbE2PS2/CMBCE75X6H6yt1FtxHqhEaRwOSPQCbcVDCG4m3iYR&#10;8TqyHUj/fc2pPc7OaPabYj7qjl3RutaQgHgSAUOqjGqpFrDfLV8yYM5LUrIzhAJ+0MG8fHwoZK7M&#10;jTZ43fqahRJyuRTQeN/nnLuqQS3dxPRIwfs2VksfpK25svIWynXHkyh65Vq2FD40ssdFg9VlO2gB&#10;m/VylR1Ww1jZ03v8uftafxxdJsTzUxy9AfM4+r8w3PEDOpSB6WwGUo51AmbxNGzxApI0ARYCs2mS&#10;AjvfDynwsuD/F5S/UEsDBBQAAAAIAIdO4kB4E8fyBQIAAPcDAAAOAAAAZHJzL2Uyb0RvYy54bWyt&#10;U0tyGjEQ3acqd1BpHwZIgcMUgxcQZ+MkVNk5QCNpGFX0K7Vg4Cy5RlbZ5Di+RloC49jZeJFZTKl/&#10;T/1et+bXB2vYXkXU3jV8NBhyppzwUrttw7/d37z7wBkmcBKMd6rhR4X8evH2zbwPtRr7zhupIiMQ&#10;h3UfGt6lFOqqQtEpCzjwQTkKtj5aSGTGbSUj9IRuTTUeDqdV76MM0QuFSN7VKcjPiPE1gL5ttVAr&#10;L3ZWuXRCjcpAIkrY6YB8UbptWyXS17ZFlZhpODFN5U+X0HmT/9ViDvU2Qui0OLcAr2nhBScL2tGl&#10;F6gVJGC7qP+BslpEj75NA+FtdSJSFCEWo+ELbe46CKpwIakxXETH/wcrvuzXkWnZ8PF0xpkDSyN/&#10;+PHz4ddvNpkWffqANaUt3TpmhuLg7sKtF9+ROb/swG1V6fP+GKh0lBWtnpVkAwPdsuk/e0k5sEu+&#10;iHVoo82QJAM7lJkcLzNRh8QEOUdXs6vhhDNBoen7SYGH+rEyREyflLcsHxputMt6QQ37W0y5E6gf&#10;U7Lb+RttTJm5caxv+Gwyztg2kADotqUWvdEy5+UKjNvN0kS2h7xA5Tu38Cwt+p2TBbdTID86yVKR&#10;w9ETOu1YAm2e/ClqEs4onpuwSnJmFL3GfDp1bdxZxqxc3masN14e1zGHs0X7UOiddzcv3N92yXp6&#10;r4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DLUu9oAAAAJAQAADwAAAAAAAAABACAAAAAiAAAA&#10;ZHJzL2Rvd25yZXYueG1sUEsBAhQAFAAAAAgAh07iQHgTx/IFAgAA9wMAAA4AAAAAAAAAAQAgAAAA&#10;KQ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44928" behindDoc="0" locked="0" layoutInCell="1" allowOverlap="1">
                            <wp:simplePos x="0" y="0"/>
                            <wp:positionH relativeFrom="column">
                              <wp:posOffset>4067175</wp:posOffset>
                            </wp:positionH>
                            <wp:positionV relativeFrom="paragraph">
                              <wp:posOffset>15875</wp:posOffset>
                            </wp:positionV>
                            <wp:extent cx="505460" cy="285115"/>
                            <wp:effectExtent l="0" t="0" r="0" b="3810"/>
                            <wp:wrapNone/>
                            <wp:docPr id="268" name="文本框 544"/>
                            <wp:cNvGraphicFramePr/>
                            <a:graphic xmlns:a="http://schemas.openxmlformats.org/drawingml/2006/main">
                              <a:graphicData uri="http://schemas.microsoft.com/office/word/2010/wordprocessingShape">
                                <wps:wsp>
                                  <wps:cNvSpPr txBox="1">
                                    <a:spLocks noChangeArrowheads="1"/>
                                  </wps:cNvSpPr>
                                  <wps:spPr bwMode="auto">
                                    <a:xfrm>
                                      <a:off x="0" y="0"/>
                                      <a:ext cx="505460" cy="285115"/>
                                    </a:xfrm>
                                    <a:prstGeom prst="rect">
                                      <a:avLst/>
                                    </a:prstGeom>
                                    <a:noFill/>
                                    <a:ln>
                                      <a:noFill/>
                                    </a:ln>
                                    <a:effectLst/>
                                  </wps:spPr>
                                  <wps:txbx>
                                    <w:txbxContent>
                                      <w:p>
                                        <w:pPr>
                                          <w:pStyle w:val="2"/>
                                          <w:ind w:left="0" w:leftChars="0" w:firstLine="0" w:firstLineChars="0"/>
                                          <w:jc w:val="center"/>
                                        </w:pPr>
                                        <w:r>
                                          <w:rPr>
                                            <w:rFonts w:hint="eastAsia"/>
                                            <w:sz w:val="21"/>
                                            <w:szCs w:val="21"/>
                                          </w:rPr>
                                          <w:t>风轮</w:t>
                                        </w:r>
                                      </w:p>
                                    </w:txbxContent>
                                  </wps:txbx>
                                  <wps:bodyPr rot="0" vert="horz" wrap="square" lIns="91440" tIns="45720" rIns="91440" bIns="45720" anchor="t" anchorCtr="0" upright="1">
                                    <a:noAutofit/>
                                  </wps:bodyPr>
                                </wps:wsp>
                              </a:graphicData>
                            </a:graphic>
                          </wp:anchor>
                        </w:drawing>
                      </mc:Choice>
                      <mc:Fallback>
                        <w:pict>
                          <v:shape id="文本框 544" o:spid="_x0000_s1026" o:spt="202" type="#_x0000_t202" style="position:absolute;left:0pt;margin-left:320.25pt;margin-top:1.25pt;height:22.45pt;width:39.8pt;z-index:251644928;mso-width-relative:page;mso-height-relative:page;" filled="f" stroked="f" coordsize="21600,21600" o:gfxdata="UEsDBAoAAAAAAIdO4kAAAAAAAAAAAAAAAAAEAAAAZHJzL1BLAwQUAAAACACHTuJAm/0t/dYAAAAI&#10;AQAADwAAAGRycy9kb3ducmV2LnhtbE2PwU7DMBBE70j8g7VI3KidKG1pyKYHEFcQLSD15ibbJCJe&#10;R7HbhL9nOcFptJrRzNtiO7teXWgMnWeEZGFAEVe+7rhBeN8/392DCtFybXvPhPBNAbbl9VVh89pP&#10;/EaXXWyUlHDILUIb45BrHaqWnA0LPxCLd/Kjs1HOsdH1aCcpd71OjVlpZzuWhdYO9NhS9bU7O4SP&#10;l9PhMzOvzZNbDpOfjWa30Yi3N4l5ABVpjn9h+MUXdCiF6ejPXAfVI6wys5QoQioi/jo1CagjQrbO&#10;QJeF/v9A+QNQSwMEFAAAAAgAh07iQHQFPBoeAgAAJgQAAA4AAABkcnMvZTJvRG9jLnhtbK1TzY7T&#10;MBC+I/EOlu80TZWWJWq6WrZahLT8SAsP4DpOY5F4zNhtUh4A3oATF+48V5+DsZMtZbnsgYtle8bf&#10;zPfN5+Vl3zZsr9BpMAVPJ1POlJFQarMt+McPN88uOHNemFI0YFTBD8rxy9XTJ8vO5moGNTSlQkYg&#10;xuWdLXjtvc2TxMlatcJNwCpDwQqwFZ6OuE1KFB2ht00ym04XSQdYWgSpnKPb9RDkIyI+BhCqSku1&#10;BrlrlfEDKqpGeKLkam0dX8Vuq0pJ/66qnPKsKTgx9XGlIrTfhDVZLUW+RWFrLccWxGNaeMCpFdpQ&#10;0RPUWnjBdqj/gWq1RHBQ+YmENhmIREWIRTp9oM1dLayKXEhqZ0+iu/8HK9/u3yPTZcFnCxq8ES2N&#10;/Pj92/HHr+PPr2yeZUGizrqcMu8s5fr+JfRknEjX2VuQnxwzcF0Ls1VXiNDVSpTUYhpeJmdPBxwX&#10;QDbdGyipkth5iEB9hW3QjxRhhE7jOZzGo3rPJF3Op/NsQRFJodnFPE3nsYLI7x9bdP6VgpaFTcGR&#10;ph/Bxf7W+dCMyO9TQi0DN7ppogMa89cFJQ43KlpofB2ohO4HHr7f9KM0GygPRAphsBd9LtrUgF84&#10;68haBXefdwIVZ81rQ8K8SLMseDEesvnzGR3wPLI5jwgjCargnrNhe+0H/+4s6m1NlYZRGLgiMSsd&#10;iYZWh67GEZB9Iv/R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0t/dYAAAAI&#10;AQAADwAAAAAAAAABACAAAAAiAAAAZHJzL2Rvd25yZXYueG1sUEsBAhQAFAAAAAgAh07iQHQFPBoe&#10;AgAAJgQAAA4AAAAAAAAAAQAgAAAAJQEAAGRycy9lMm9Eb2MueG1sUEsFBgAAAAAGAAYAWQEAALUF&#10;AAAAAA==&#10;">
                            <v:fill on="f" focussize="0,0"/>
                            <v:stroke on="f"/>
                            <v:imagedata o:title=""/>
                            <o:lock v:ext="edit" aspectratio="f"/>
                            <v:textbox>
                              <w:txbxContent>
                                <w:p>
                                  <w:pPr>
                                    <w:pStyle w:val="2"/>
                                    <w:ind w:left="0" w:leftChars="0" w:firstLine="0" w:firstLineChars="0"/>
                                    <w:jc w:val="center"/>
                                  </w:pPr>
                                  <w:r>
                                    <w:rPr>
                                      <w:rFonts w:hint="eastAsia"/>
                                      <w:sz w:val="21"/>
                                      <w:szCs w:val="21"/>
                                    </w:rPr>
                                    <w:t>风轮</w:t>
                                  </w:r>
                                </w:p>
                              </w:txbxContent>
                            </v:textbox>
                          </v:shape>
                        </w:pict>
                      </mc:Fallback>
                    </mc:AlternateContent>
                  </w:r>
                  <w:r>
                    <mc:AlternateContent>
                      <mc:Choice Requires="wps">
                        <w:drawing>
                          <wp:anchor distT="0" distB="0" distL="114300" distR="114300" simplePos="0" relativeHeight="251642880" behindDoc="0" locked="0" layoutInCell="1" allowOverlap="1">
                            <wp:simplePos x="0" y="0"/>
                            <wp:positionH relativeFrom="column">
                              <wp:posOffset>3352800</wp:posOffset>
                            </wp:positionH>
                            <wp:positionV relativeFrom="paragraph">
                              <wp:posOffset>17145</wp:posOffset>
                            </wp:positionV>
                            <wp:extent cx="514985" cy="266065"/>
                            <wp:effectExtent l="9525" t="7620" r="8890" b="12065"/>
                            <wp:wrapNone/>
                            <wp:docPr id="267" name="文本框 542"/>
                            <wp:cNvGraphicFramePr/>
                            <a:graphic xmlns:a="http://schemas.openxmlformats.org/drawingml/2006/main">
                              <a:graphicData uri="http://schemas.microsoft.com/office/word/2010/wordprocessingShape">
                                <wps:wsp>
                                  <wps:cNvSpPr txBox="1">
                                    <a:spLocks noChangeArrowheads="1"/>
                                  </wps:cNvSpPr>
                                  <wps:spPr bwMode="auto">
                                    <a:xfrm>
                                      <a:off x="0" y="0"/>
                                      <a:ext cx="514985" cy="266065"/>
                                    </a:xfrm>
                                    <a:prstGeom prst="rect">
                                      <a:avLst/>
                                    </a:prstGeom>
                                    <a:noFill/>
                                    <a:ln w="9525" cmpd="sng">
                                      <a:solidFill>
                                        <a:srgbClr val="000000"/>
                                      </a:solidFill>
                                      <a:miter lim="800000"/>
                                    </a:ln>
                                  </wps:spPr>
                                  <wps:txbx>
                                    <w:txbxContent>
                                      <w:p>
                                        <w:pPr>
                                          <w:spacing w:line="240" w:lineRule="auto"/>
                                          <w:ind w:firstLine="0" w:firstLineChars="0"/>
                                          <w:jc w:val="center"/>
                                          <w:rPr>
                                            <w:sz w:val="21"/>
                                            <w:szCs w:val="21"/>
                                          </w:rPr>
                                        </w:pPr>
                                        <w:r>
                                          <w:rPr>
                                            <w:rFonts w:hint="eastAsia"/>
                                            <w:sz w:val="21"/>
                                            <w:szCs w:val="21"/>
                                          </w:rPr>
                                          <w:t>检测</w:t>
                                        </w:r>
                                      </w:p>
                                    </w:txbxContent>
                                  </wps:txbx>
                                  <wps:bodyPr rot="0" vert="horz" wrap="square" lIns="91440" tIns="45720" rIns="91440" bIns="45720" anchor="t" anchorCtr="0" upright="1">
                                    <a:noAutofit/>
                                  </wps:bodyPr>
                                </wps:wsp>
                              </a:graphicData>
                            </a:graphic>
                          </wp:anchor>
                        </w:drawing>
                      </mc:Choice>
                      <mc:Fallback>
                        <w:pict>
                          <v:shape id="文本框 542" o:spid="_x0000_s1026" o:spt="202" type="#_x0000_t202" style="position:absolute;left:0pt;margin-left:264pt;margin-top:1.35pt;height:20.95pt;width:40.55pt;z-index:251642880;mso-width-relative:page;mso-height-relative:page;" filled="f" stroked="t" coordsize="21600,21600" o:gfxdata="UEsDBAoAAAAAAIdO4kAAAAAAAAAAAAAAAAAEAAAAZHJzL1BLAwQUAAAACACHTuJARujJ49cAAAAI&#10;AQAADwAAAGRycy9kb3ducmV2LnhtbE2PS0/DMBCE70j8B2uRuFE7aUnaNE4PFO4QCr068TaJ8COK&#10;3Qf8epZTOY5mdvabcnOxhp1wCoN3EpKZAIau9XpwnYTd+8vDEliIymllvEMJ3xhgU93elKrQ/uze&#10;8FTHjlGJC4WS0Mc4FpyHtkerwsyP6Mg7+MmqSHLquJ7Umcqt4akQGbdqcPShVyM+9dh+1UdLGOl+&#10;N9++1pjnqplvn38+VodPI+X9XSLWwCJe4jUMf/h0AxUxNf7odGBGwmO6pC1RQpoDIz8TqwRYI2Gx&#10;yIBXJf8/oPoFUEsDBBQAAAAIAIdO4kAhN9nrRwIAAGwEAAAOAAAAZHJzL2Uyb0RvYy54bWytVEtu&#10;2zAQ3RfoHQjua9mC7dhC5CCNkaJA+gHSHoCmKIkoyWFJ2pJ7gPYGWXXTfc+Vc3RIKamRbrKoFgSH&#10;M3zz5s1Q5xe9VuQgnJdgSjqbTCkRhkMlTVPSz5+uX60o8YGZiikwoqRH4enF5uWL884WIocWVCUc&#10;QRDji86WtA3BFlnmeSs08xOwwqCzBqdZQNM1WeVYh+haZfl0usw6cJV1wIX3eLodnHREdM8BhLqW&#10;XGyB77UwYUB1QrGAJflWWk83iW1dCx4+1LUXgaiSYqUhrZgE97u4ZptzVjSO2VbykQJ7DoUnNWkm&#10;DSZ9hNqywMjeyX+gtOQOPNRhwkFnQyFJEaxiNn2izW3LrEi1oNTePoru/x8sf3/46IisSpovzygx&#10;TGPL7+9+3P/8ff/rO1nM8yhRZ32BkbcWY0P/GnocnFSutzfAv3hi4KplphGXzkHXClYhxVm8mZ1c&#10;HXB8BNl176DCTGwfIAH1tdNRP1SEIDq25/jYHtEHwvFwMZuvVwtKOLry5XK6XKQMrHi4bJ0PbwRo&#10;Ejclddj9BM4ONz5EMqx4CIm5DFxLpdIEKEO6kq4XeYTXFuXwphkqBCWrGBdveNfsrpQjBxbHKX0j&#10;BX8apmXAJ6KkLunqNEiZUZCowaBG6Hf9KPAOqiNK42AYUnyiuGnBfaOkwwFFSl/3zAlK1FuD8q5n&#10;83mc6GTMF2c5Gu7Uszv1MMMRqqSBkmF7FYZXsLdONi1mGhpq4BJbUsskV+zdwGrkjUOYVBwfTJzy&#10;UztF/f1JbP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RujJ49cAAAAIAQAADwAAAAAAAAABACAA&#10;AAAiAAAAZHJzL2Rvd25yZXYueG1sUEsBAhQAFAAAAAgAh07iQCE32etHAgAAbAQAAA4AAAAAAAAA&#10;AQAgAAAAJgEAAGRycy9lMm9Eb2MueG1sUEsFBgAAAAAGAAYAWQEAAN8FAAAAAA==&#10;">
                            <v:fill on="f" focussize="0,0"/>
                            <v:stroke color="#000000" miterlimit="8" joinstyle="miter"/>
                            <v:imagedata o:title=""/>
                            <o:lock v:ext="edit" aspectratio="f"/>
                            <v:textbox>
                              <w:txbxContent>
                                <w:p>
                                  <w:pPr>
                                    <w:spacing w:line="240" w:lineRule="auto"/>
                                    <w:ind w:firstLine="0" w:firstLineChars="0"/>
                                    <w:jc w:val="center"/>
                                    <w:rPr>
                                      <w:sz w:val="21"/>
                                      <w:szCs w:val="21"/>
                                    </w:rPr>
                                  </w:pPr>
                                  <w:r>
                                    <w:rPr>
                                      <w:rFonts w:hint="eastAsia"/>
                                      <w:sz w:val="21"/>
                                      <w:szCs w:val="21"/>
                                    </w:rPr>
                                    <w:t>检测</w:t>
                                  </w:r>
                                </w:p>
                              </w:txbxContent>
                            </v:textbox>
                          </v:shape>
                        </w:pict>
                      </mc:Fallback>
                    </mc:AlternateContent>
                  </w:r>
                  <w:r>
                    <mc:AlternateContent>
                      <mc:Choice Requires="wps">
                        <w:drawing>
                          <wp:anchor distT="0" distB="0" distL="114300" distR="114300" simplePos="0" relativeHeight="251640832" behindDoc="0" locked="0" layoutInCell="1" allowOverlap="1">
                            <wp:simplePos x="0" y="0"/>
                            <wp:positionH relativeFrom="column">
                              <wp:posOffset>2657475</wp:posOffset>
                            </wp:positionH>
                            <wp:positionV relativeFrom="paragraph">
                              <wp:posOffset>26670</wp:posOffset>
                            </wp:positionV>
                            <wp:extent cx="514985" cy="266065"/>
                            <wp:effectExtent l="9525" t="7620" r="8890" b="12065"/>
                            <wp:wrapNone/>
                            <wp:docPr id="266" name="文本框 538"/>
                            <wp:cNvGraphicFramePr/>
                            <a:graphic xmlns:a="http://schemas.openxmlformats.org/drawingml/2006/main">
                              <a:graphicData uri="http://schemas.microsoft.com/office/word/2010/wordprocessingShape">
                                <wps:wsp>
                                  <wps:cNvSpPr txBox="1">
                                    <a:spLocks noChangeArrowheads="1"/>
                                  </wps:cNvSpPr>
                                  <wps:spPr bwMode="auto">
                                    <a:xfrm>
                                      <a:off x="0" y="0"/>
                                      <a:ext cx="514985" cy="266065"/>
                                    </a:xfrm>
                                    <a:prstGeom prst="rect">
                                      <a:avLst/>
                                    </a:prstGeom>
                                    <a:noFill/>
                                    <a:ln w="9525" cmpd="sng">
                                      <a:solidFill>
                                        <a:srgbClr val="000000"/>
                                      </a:solidFill>
                                      <a:miter lim="800000"/>
                                    </a:ln>
                                    <a:effectLst/>
                                  </wps:spPr>
                                  <wps:txbx>
                                    <w:txbxContent>
                                      <w:p>
                                        <w:pPr>
                                          <w:spacing w:line="240" w:lineRule="auto"/>
                                          <w:ind w:firstLine="0" w:firstLineChars="0"/>
                                          <w:jc w:val="center"/>
                                          <w:rPr>
                                            <w:sz w:val="21"/>
                                            <w:szCs w:val="21"/>
                                          </w:rPr>
                                        </w:pPr>
                                        <w:r>
                                          <w:rPr>
                                            <w:rFonts w:hint="eastAsia"/>
                                            <w:sz w:val="21"/>
                                            <w:szCs w:val="21"/>
                                          </w:rPr>
                                          <w:t>焊接</w:t>
                                        </w:r>
                                      </w:p>
                                    </w:txbxContent>
                                  </wps:txbx>
                                  <wps:bodyPr rot="0" vert="horz" wrap="square" lIns="91440" tIns="45720" rIns="91440" bIns="45720" anchor="t" anchorCtr="0" upright="1">
                                    <a:noAutofit/>
                                  </wps:bodyPr>
                                </wps:wsp>
                              </a:graphicData>
                            </a:graphic>
                          </wp:anchor>
                        </w:drawing>
                      </mc:Choice>
                      <mc:Fallback>
                        <w:pict>
                          <v:shape id="文本框 538" o:spid="_x0000_s1026" o:spt="202" type="#_x0000_t202" style="position:absolute;left:0pt;margin-left:209.25pt;margin-top:2.1pt;height:20.95pt;width:40.55pt;z-index:251640832;mso-width-relative:page;mso-height-relative:page;" filled="f" stroked="t" coordsize="21600,21600" o:gfxdata="UEsDBAoAAAAAAIdO4kAAAAAAAAAAAAAAAAAEAAAAZHJzL1BLAwQUAAAACACHTuJAA7U73dYAAAAI&#10;AQAADwAAAGRycy9kb3ducmV2LnhtbE2PT1ODMBDF7874HTLrjDcboJUWSujB6l2x2msgW2AkG4ak&#10;f/TTu57q7e28t29/W2wudhAnnHzvSEE8i0AgNc701CrYvb88rED4oMnowREq+EYPm/L2ptC5cWd6&#10;w1MVWsEl5HOtoAthzKX0TYdW+5kbkdg7uMnqwOPUSjPpM5fbQSZRlEqre+ILnR7xqcPmqzpaxkj2&#10;u/n2tcLlUtfz7fPPR3b4HJS6v4ujNYiAl3ANwx8+70DJTLU7kvFiULCIV48cZZGAYH+RZSmImkUa&#10;gywL+f+B8hdQSwMEFAAAAAgAh07iQEL/U3ZMAgAAegQAAA4AAABkcnMvZTJvRG9jLnhtbK1UzY7T&#10;MBC+I/EOlu80bWlLN2q6WlotQlp+pIUHcB0nsbA9xnablAdg34ATF+48V5+DsZNdquWyB3KI7Mz4&#10;m2+++ZzVZacVOQjnJZiCTkZjSoThUEpTF/Tzp+sXS0p8YKZkCowo6FF4erl+/mzV2lxMoQFVCkcQ&#10;xPi8tQVtQrB5lnneCM38CKwwGKzAaRZw6+qsdKxFdK2y6Xi8yFpwpXXAhff4ddsH6YDongIIVSW5&#10;2ALfa2FCj+qEYgFb8o20nq4T26oSPHyoKi8CUQXFTkN6YxFc7+I7W69YXjtmG8kHCuwpFB71pJk0&#10;WPQBassCI3sn/4HSkjvwUIURB531jSRFsIvJ+JE2tw2zIvWCUnv7ILr/f7D8/eGjI7Is6HSxoMQw&#10;jSM//bg7/fx9+vWdzF8uo0St9Tlm3lrMDd1r6NA4qV1vb4B/8cTApmGmFlfOQdsIViLFSTyZnR3t&#10;cXwE2bXvoMRKbB8gAXWV01E/VIQgOo7n+DAe0QXC8eN8MrtYzinhGEK248U8VWD5/WHrfHgjQJO4&#10;KKjD6SdwdrjxIZJh+X1KrGXgWiqVHKAMaQt6MZ9GeG1RDm/qvkNQsox58YR39W6jHDmwaKf0DBT8&#10;eZqWAa+Ikrqgy/MkZSKISLYcGEV5oiK9NqHbdYPcOyiPKJSD3rJ4YXHRgPtGSYt2RYJf98wJStRb&#10;g2JfTGaz6O+0mc1fTXHjziO78wgzHKEKGijpl5vQ34m9dbJusFI/XgNXOKBKJvEi1Z7VMFa0ZNJ0&#10;uD7R8+f7lPX3l7H+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O1O93WAAAACAEAAA8AAAAAAAAA&#10;AQAgAAAAIgAAAGRycy9kb3ducmV2LnhtbFBLAQIUABQAAAAIAIdO4kBC/1N2TAIAAHoEAAAOAAAA&#10;AAAAAAEAIAAAACUBAABkcnMvZTJvRG9jLnhtbFBLBQYAAAAABgAGAFkBAADjBQAAAAA=&#10;">
                            <v:fill on="f" focussize="0,0"/>
                            <v:stroke color="#000000" miterlimit="8" joinstyle="miter"/>
                            <v:imagedata o:title=""/>
                            <o:lock v:ext="edit" aspectratio="f"/>
                            <v:textbox>
                              <w:txbxContent>
                                <w:p>
                                  <w:pPr>
                                    <w:spacing w:line="240" w:lineRule="auto"/>
                                    <w:ind w:firstLine="0" w:firstLineChars="0"/>
                                    <w:jc w:val="center"/>
                                    <w:rPr>
                                      <w:sz w:val="21"/>
                                      <w:szCs w:val="21"/>
                                    </w:rPr>
                                  </w:pPr>
                                  <w:r>
                                    <w:rPr>
                                      <w:rFonts w:hint="eastAsia"/>
                                      <w:sz w:val="21"/>
                                      <w:szCs w:val="21"/>
                                    </w:rPr>
                                    <w:t>焊接</w:t>
                                  </w:r>
                                </w:p>
                              </w:txbxContent>
                            </v:textbox>
                          </v:shape>
                        </w:pict>
                      </mc:Fallback>
                    </mc:AlternateContent>
                  </w:r>
                  <w:r>
                    <mc:AlternateContent>
                      <mc:Choice Requires="wps">
                        <w:drawing>
                          <wp:anchor distT="0" distB="0" distL="114300" distR="114300" simplePos="0" relativeHeight="251619328" behindDoc="0" locked="0" layoutInCell="1" allowOverlap="1">
                            <wp:simplePos x="0" y="0"/>
                            <wp:positionH relativeFrom="column">
                              <wp:posOffset>1943100</wp:posOffset>
                            </wp:positionH>
                            <wp:positionV relativeFrom="paragraph">
                              <wp:posOffset>26670</wp:posOffset>
                            </wp:positionV>
                            <wp:extent cx="514985" cy="266065"/>
                            <wp:effectExtent l="9525" t="7620" r="8890" b="12065"/>
                            <wp:wrapNone/>
                            <wp:docPr id="265" name="文本框 399"/>
                            <wp:cNvGraphicFramePr/>
                            <a:graphic xmlns:a="http://schemas.openxmlformats.org/drawingml/2006/main">
                              <a:graphicData uri="http://schemas.microsoft.com/office/word/2010/wordprocessingShape">
                                <wps:wsp>
                                  <wps:cNvSpPr txBox="1">
                                    <a:spLocks noChangeArrowheads="1"/>
                                  </wps:cNvSpPr>
                                  <wps:spPr bwMode="auto">
                                    <a:xfrm>
                                      <a:off x="0" y="0"/>
                                      <a:ext cx="514985" cy="266065"/>
                                    </a:xfrm>
                                    <a:prstGeom prst="rect">
                                      <a:avLst/>
                                    </a:prstGeom>
                                    <a:noFill/>
                                    <a:ln w="9525" cmpd="sng">
                                      <a:solidFill>
                                        <a:srgbClr val="000000"/>
                                      </a:solidFill>
                                      <a:miter lim="800000"/>
                                    </a:ln>
                                  </wps:spPr>
                                  <wps:txbx>
                                    <w:txbxContent>
                                      <w:p>
                                        <w:pPr>
                                          <w:spacing w:line="240" w:lineRule="auto"/>
                                          <w:ind w:firstLine="0" w:firstLineChars="0"/>
                                          <w:jc w:val="center"/>
                                          <w:rPr>
                                            <w:sz w:val="21"/>
                                            <w:szCs w:val="21"/>
                                          </w:rPr>
                                        </w:pPr>
                                        <w:r>
                                          <w:rPr>
                                            <w:rFonts w:hint="eastAsia"/>
                                            <w:sz w:val="21"/>
                                            <w:szCs w:val="21"/>
                                          </w:rPr>
                                          <w:t>加工</w:t>
                                        </w:r>
                                      </w:p>
                                    </w:txbxContent>
                                  </wps:txbx>
                                  <wps:bodyPr rot="0" vert="horz" wrap="square" lIns="91440" tIns="45720" rIns="91440" bIns="45720" anchor="t" anchorCtr="0" upright="1">
                                    <a:noAutofit/>
                                  </wps:bodyPr>
                                </wps:wsp>
                              </a:graphicData>
                            </a:graphic>
                          </wp:anchor>
                        </w:drawing>
                      </mc:Choice>
                      <mc:Fallback>
                        <w:pict>
                          <v:shape id="文本框 399" o:spid="_x0000_s1026" o:spt="202" type="#_x0000_t202" style="position:absolute;left:0pt;margin-left:153pt;margin-top:2.1pt;height:20.95pt;width:40.55pt;z-index:251619328;mso-width-relative:page;mso-height-relative:page;" filled="f" stroked="t" coordsize="21600,21600" o:gfxdata="UEsDBAoAAAAAAIdO4kAAAAAAAAAAAAAAAAAEAAAAZHJzL1BLAwQUAAAACACHTuJAgPauINUAAAAI&#10;AQAADwAAAGRycy9kb3ducmV2LnhtbE2PzVKEMBCE71b5DqmxypubABasSNiDq3fFVa+BzAIlmVAk&#10;+6NP73jSY1dP93xdbc5uEkdcwuhJQ7JSIJA6b0fqNexen27WIEI0ZM3kCTV8YYBNfXlRmdL6E73g&#10;sYm94BIKpdEwxDiXUoZuQGfCys9I7O394kxkufTSLubE5W6SqVK5dGYk/jCYGR8G7D6bg2OM9GOX&#10;bZ8bLArTZtvH77e7/fuk9fVVou5BRDzHv2P4xecM1MzU+gPZICYNmcp5S9Rwm4JgP1sXCYiWdZ6A&#10;rCv5f0D9A1BLAwQUAAAACACHTuJABBDLo0UCAABsBAAADgAAAGRycy9lMm9Eb2MueG1srVRLbtsw&#10;EN0X6B0I7mvZru3GguUgTZCiQPoB0h6ApiiJKMlhh7Ql9wDtDbrqpvuey+foUHISI91kUS8EkvP4&#10;5s2boVfnnTVspzBocAWfjMacKSeh1K4u+OdP1y/OOAtRuFIYcKrgexX4+fr5s1XrczWFBkypkBGJ&#10;C3nrC97E6PMsC7JRVoQReOUoWAFaEWmLdVaiaIndmmw6Hi+yFrD0CFKFQKdXQ5AfGfEphFBVWqor&#10;kFurXBxYURkRqaTQaB/4uldbVUrGD1UVVGSm4FRp7L+UhNab9M3WK5HXKHyj5VGCeIqERzVZoR0l&#10;vae6ElGwLep/qKyWCAGqOJJgs6GQ3hGqYjJ+5M1tI7zqayGrg783Pfw/Wvl+9xGZLgs+Xcw5c8JS&#10;yw8/fxx+/Tn8/s5eLpfJotaHnJC3nrCxew0dDU5fbvA3IL8E5uCyEa5WF4jQNkqUJHGSbmYnVwee&#10;kEg27TsoKZPYRuiJugpt8o8cYcRO7dnft0d1kUk6nE9myzMSKSk0XSzGJDhlEPndZY8hvlFgWVoU&#10;HKn7PbnY3YQ4QO8gKZeDa20MnYvcONYWfDmfJnrryY7g6qFCMLpMuAQLWG8uDbKdSOPU/44SwinM&#10;6khPxGhb8LNTkHFHQ5IHgxux23SkILm0gXJP1iAMQ0pPlBYN4DfOWhpQkvR1K1BxZt46snc5mc3S&#10;RPeb2fzVlDZ4GtmcRoSTRFXwyNmwvIzDK9h61HVDmYaGOrigllS6t+tB1VE3DWFv+PHBpCk/3feo&#10;hz+J9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A9q4g1QAAAAgBAAAPAAAAAAAAAAEAIAAAACIA&#10;AABkcnMvZG93bnJldi54bWxQSwECFAAUAAAACACHTuJABBDLo0UCAABsBAAADgAAAAAAAAABACAA&#10;AAAkAQAAZHJzL2Uyb0RvYy54bWxQSwUGAAAAAAYABgBZAQAA2wUAAAAA&#10;">
                            <v:fill on="f" focussize="0,0"/>
                            <v:stroke color="#000000" miterlimit="8" joinstyle="miter"/>
                            <v:imagedata o:title=""/>
                            <o:lock v:ext="edit" aspectratio="f"/>
                            <v:textbox>
                              <w:txbxContent>
                                <w:p>
                                  <w:pPr>
                                    <w:spacing w:line="240" w:lineRule="auto"/>
                                    <w:ind w:firstLine="0" w:firstLineChars="0"/>
                                    <w:jc w:val="center"/>
                                    <w:rPr>
                                      <w:sz w:val="21"/>
                                      <w:szCs w:val="21"/>
                                    </w:rPr>
                                  </w:pPr>
                                  <w:r>
                                    <w:rPr>
                                      <w:rFonts w:hint="eastAsia"/>
                                      <w:sz w:val="21"/>
                                      <w:szCs w:val="21"/>
                                    </w:rPr>
                                    <w:t>加工</w:t>
                                  </w:r>
                                </w:p>
                              </w:txbxContent>
                            </v:textbox>
                          </v:shape>
                        </w:pict>
                      </mc:Fallback>
                    </mc:AlternateContent>
                  </w:r>
                  <w:r>
                    <mc:AlternateContent>
                      <mc:Choice Requires="wps">
                        <w:drawing>
                          <wp:anchor distT="0" distB="0" distL="114300" distR="114300" simplePos="0" relativeHeight="251618304" behindDoc="0" locked="0" layoutInCell="1" allowOverlap="1">
                            <wp:simplePos x="0" y="0"/>
                            <wp:positionH relativeFrom="column">
                              <wp:posOffset>1228725</wp:posOffset>
                            </wp:positionH>
                            <wp:positionV relativeFrom="paragraph">
                              <wp:posOffset>17145</wp:posOffset>
                            </wp:positionV>
                            <wp:extent cx="514985" cy="266065"/>
                            <wp:effectExtent l="9525" t="7620" r="8890" b="12065"/>
                            <wp:wrapNone/>
                            <wp:docPr id="264" name="文本框 400"/>
                            <wp:cNvGraphicFramePr/>
                            <a:graphic xmlns:a="http://schemas.openxmlformats.org/drawingml/2006/main">
                              <a:graphicData uri="http://schemas.microsoft.com/office/word/2010/wordprocessingShape">
                                <wps:wsp>
                                  <wps:cNvSpPr txBox="1">
                                    <a:spLocks noChangeArrowheads="1"/>
                                  </wps:cNvSpPr>
                                  <wps:spPr bwMode="auto">
                                    <a:xfrm>
                                      <a:off x="0" y="0"/>
                                      <a:ext cx="514985" cy="266065"/>
                                    </a:xfrm>
                                    <a:prstGeom prst="rect">
                                      <a:avLst/>
                                    </a:prstGeom>
                                    <a:noFill/>
                                    <a:ln w="9525" cmpd="sng">
                                      <a:solidFill>
                                        <a:srgbClr val="000000"/>
                                      </a:solidFill>
                                      <a:miter lim="800000"/>
                                    </a:ln>
                                  </wps:spPr>
                                  <wps:txbx>
                                    <w:txbxContent>
                                      <w:p>
                                        <w:pPr>
                                          <w:spacing w:line="240" w:lineRule="auto"/>
                                          <w:ind w:firstLine="0" w:firstLineChars="0"/>
                                          <w:jc w:val="center"/>
                                          <w:rPr>
                                            <w:sz w:val="21"/>
                                            <w:szCs w:val="21"/>
                                          </w:rPr>
                                        </w:pPr>
                                        <w:r>
                                          <w:rPr>
                                            <w:rFonts w:hint="eastAsia"/>
                                            <w:sz w:val="21"/>
                                            <w:szCs w:val="21"/>
                                          </w:rPr>
                                          <w:t>下料</w:t>
                                        </w:r>
                                      </w:p>
                                    </w:txbxContent>
                                  </wps:txbx>
                                  <wps:bodyPr rot="0" vert="horz" wrap="square" lIns="91440" tIns="45720" rIns="91440" bIns="45720" anchor="t" anchorCtr="0" upright="1">
                                    <a:noAutofit/>
                                  </wps:bodyPr>
                                </wps:wsp>
                              </a:graphicData>
                            </a:graphic>
                          </wp:anchor>
                        </w:drawing>
                      </mc:Choice>
                      <mc:Fallback>
                        <w:pict>
                          <v:shape id="文本框 400" o:spid="_x0000_s1026" o:spt="202" type="#_x0000_t202" style="position:absolute;left:0pt;margin-left:96.75pt;margin-top:1.35pt;height:20.95pt;width:40.55pt;z-index:251618304;mso-width-relative:page;mso-height-relative:page;" filled="f" stroked="t" coordsize="21600,21600" o:gfxdata="UEsDBAoAAAAAAIdO4kAAAAAAAAAAAAAAAAAEAAAAZHJzL1BLAwQUAAAACACHTuJAQisrS9YAAAAI&#10;AQAADwAAAGRycy9kb3ducmV2LnhtbE2PS0/DQAyE70j8h5WRuNFNk9K0aTY9ULhDKHB1sm4SsY8o&#10;u33Ar8ec4GSNZjz+XG4v1ogTTWHwTsF8loAg13o9uE7B/vXpbgUiRHQajXek4IsCbKvrqxIL7c/u&#10;hU517ASXuFCggj7GsZAytD1ZDDM/kmPv4CeLkeXUST3hmcutkWmSLKXFwfGFHkd66Kn9rI+WMdKP&#10;fbZ7rinPscl2j99v68O7Uer2Zp5sQES6xL8w/OLzDlTM1Pij00EY1uvsnqMK0hwE+2m+WIJoFCx4&#10;yqqU/x+ofgBQSwMEFAAAAAgAh07iQIrq9uVHAgAAbAQAAA4AAABkcnMvZTJvRG9jLnhtbK1US27b&#10;MBDdF+gdCO4b2YbtxkLkIE2QokD6AdIegKYoiSjJYYe0pfQA7Q2y6qb7nivn6JByEiPdZFEtCJIz&#10;fPPmzYxOTgdr2E5h0OAqPj2acKachFq7tuJfPl++OuYsROFqYcCpit+owE/XL1+c9L5UM+jA1AoZ&#10;gbhQ9r7iXYy+LIogO2VFOAKvHBkbQCsiHbEtahQ9oVtTzCaTZdED1h5BqhDo9mI08j0iPgcQmkZL&#10;dQFya5WLIyoqIyKlFDrtA19ntk2jZPzYNEFFZipOmca8UhDab9JarE9E2aLwnZZ7CuI5FJ7kZIV2&#10;FPQB6kJEwbao/4GyWiIEaOKRBFuMiWRFKIvp5Ik2153wKudCUgf/IHr4f7Dyw+4TMl1XfLacc+aE&#10;pZLf3f68+/Xn7vcPNp9kiXofSvK89uQbhzcwUOPkdIO/Avk1MAfnnXCtOkOEvlOiJorTJG5x8DQV&#10;JZQhgWz691BTJLGNkIGGBm3SjxRhhE7luXkojxoik3S5mM5XxwvOJJlmy+VkucgRRHn/2GOIbxVY&#10;ljYVR6p+Bhe7qxATGVHeu6RYDi61MbkDjGN9xVeLWYK3nuQIrh0zBKPr5JdeBGw35wbZTqR2yt+e&#10;Qjh0szrSiBhtK3586GTcXpCkwahGHDYDMUjCbKC+IWkQxialEaVNB/ids54alCh92wpUnJl3juRd&#10;Tefz1NH5MF+8ntEBDy2bQ4twkqAqHjkbt+dxnIKtR912FGksqIMzKkmjs1yPrPa8qQmzivuBSV1+&#10;eM5ejz+J9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CKytL1gAAAAgBAAAPAAAAAAAAAAEAIAAA&#10;ACIAAABkcnMvZG93bnJldi54bWxQSwECFAAUAAAACACHTuJAiur25UcCAABsBAAADgAAAAAAAAAB&#10;ACAAAAAlAQAAZHJzL2Uyb0RvYy54bWxQSwUGAAAAAAYABgBZAQAA3gUAAAAA&#10;">
                            <v:fill on="f" focussize="0,0"/>
                            <v:stroke color="#000000" miterlimit="8" joinstyle="miter"/>
                            <v:imagedata o:title=""/>
                            <o:lock v:ext="edit" aspectratio="f"/>
                            <v:textbox>
                              <w:txbxContent>
                                <w:p>
                                  <w:pPr>
                                    <w:spacing w:line="240" w:lineRule="auto"/>
                                    <w:ind w:firstLine="0" w:firstLineChars="0"/>
                                    <w:jc w:val="center"/>
                                    <w:rPr>
                                      <w:sz w:val="21"/>
                                      <w:szCs w:val="21"/>
                                    </w:rPr>
                                  </w:pPr>
                                  <w:r>
                                    <w:rPr>
                                      <w:rFonts w:hint="eastAsia"/>
                                      <w:sz w:val="21"/>
                                      <w:szCs w:val="21"/>
                                    </w:rPr>
                                    <w:t>下料</w:t>
                                  </w:r>
                                </w:p>
                              </w:txbxContent>
                            </v:textbox>
                          </v:shape>
                        </w:pict>
                      </mc:Fallback>
                    </mc:AlternateContent>
                  </w:r>
                </w:p>
                <w:p>
                  <w:pPr>
                    <w:pStyle w:val="71"/>
                    <w:spacing w:afterLines="0"/>
                  </w:pPr>
                  <w:r>
                    <mc:AlternateContent>
                      <mc:Choice Requires="wps">
                        <w:drawing>
                          <wp:anchor distT="0" distB="0" distL="114300" distR="114300" simplePos="0" relativeHeight="251645952" behindDoc="0" locked="0" layoutInCell="1" allowOverlap="1">
                            <wp:simplePos x="0" y="0"/>
                            <wp:positionH relativeFrom="column">
                              <wp:posOffset>3867150</wp:posOffset>
                            </wp:positionH>
                            <wp:positionV relativeFrom="paragraph">
                              <wp:posOffset>3810</wp:posOffset>
                            </wp:positionV>
                            <wp:extent cx="179705" cy="635"/>
                            <wp:effectExtent l="0" t="37465" r="10795" b="38100"/>
                            <wp:wrapNone/>
                            <wp:docPr id="263" name="直线 545"/>
                            <wp:cNvGraphicFramePr/>
                            <a:graphic xmlns:a="http://schemas.openxmlformats.org/drawingml/2006/main">
                              <a:graphicData uri="http://schemas.microsoft.com/office/word/2010/wordprocessingShape">
                                <wps:wsp>
                                  <wps:cNvCnPr>
                                    <a:cxnSpLocks noChangeShapeType="1"/>
                                  </wps:cNvCnPr>
                                  <wps:spPr bwMode="auto">
                                    <a:xfrm>
                                      <a:off x="0" y="0"/>
                                      <a:ext cx="179705" cy="635"/>
                                    </a:xfrm>
                                    <a:prstGeom prst="line">
                                      <a:avLst/>
                                    </a:prstGeom>
                                    <a:noFill/>
                                    <a:ln w="9525" cmpd="sng">
                                      <a:solidFill>
                                        <a:srgbClr val="000000"/>
                                      </a:solidFill>
                                      <a:round/>
                                      <a:headEnd type="none"/>
                                      <a:tailEnd type="triangle" w="med" len="med"/>
                                    </a:ln>
                                  </wps:spPr>
                                  <wps:bodyPr/>
                                </wps:wsp>
                              </a:graphicData>
                            </a:graphic>
                          </wp:anchor>
                        </w:drawing>
                      </mc:Choice>
                      <mc:Fallback>
                        <w:pict>
                          <v:line id="直线 545" o:spid="_x0000_s1026" o:spt="20" style="position:absolute;left:0pt;margin-left:304.5pt;margin-top:0.3pt;height:0.05pt;width:14.15pt;z-index:251645952;mso-width-relative:page;mso-height-relative:page;" filled="f" stroked="t" coordsize="21600,21600" o:gfxdata="UEsDBAoAAAAAAIdO4kAAAAAAAAAAAAAAAAAEAAAAZHJzL1BLAwQUAAAACACHTuJArtfu2NcAAAAF&#10;AQAADwAAAGRycy9kb3ducmV2LnhtbE2PwU7DMBBE70j8g7VI3KgdKqUhxOkBqVxaQG1RVW5uvCQR&#10;8TqKnTb8PcsJbjua0czbYjm5TpxxCK0nDclMgUCqvG2p1vC+X91lIEI0ZE3nCTV8Y4BleX1VmNz6&#10;C23xvIu14BIKudHQxNjnUoaqQWfCzPdI7H36wZnIcqilHcyFy10n75VKpTMt8UJjenxqsPrajU7D&#10;drNaZ4f1OFXDx3Pyun/bvBxDpvXtTaIeQUSc4l8YfvEZHUpmOvmRbBCdhlQ98C+RDxBsp/PFHMRJ&#10;wwJkWcj/9OUPUEsDBBQAAAAIAIdO4kDZOKd7CAIAAPcDAAAOAAAAZHJzL2Uyb0RvYy54bWytU0Fy&#10;EzEQvFPFH1S647Ud7JAtr3OwCZcArkp4wFjSelVIGpUke+238A1OXHhOvsFIdpwQLjmwhy1JM9Pq&#10;7hnNrvfWsJ0KUaNr+Ggw5Ew5gVK7TcO/3d+8+8BZTOAkGHSq4QcV+fX87ZtZ72s1xg6NVIERiIt1&#10;7xvepeTrqoqiUxbiAL1yFGwxWEi0DZtKBugJ3ZpqPBxOqx6D9AGFipFOl8cgPyGG1wBi22qhlii2&#10;Vrl0RA3KQCJJsdM+8nlh27ZKpK9tG1VipuGkNJU/XULrdf5X8xnUmwC+0+JEAV5D4YUmC9rRpWeo&#10;JSRg26D/gbJaBIzYpoFAWx2FFEdIxWj4wpu7DrwqWsjq6M+mx/8HK77sVoFp2fDx9IIzB5Za/vDj&#10;58Ov32zyfpL96X2sKW3hViErFHt3529RfI/M4aIDt1GF5/3BU+koV1R/leRN9HTLuv+MknJgm7CY&#10;tW+DzZBkA9uXnhzOPVH7xAQdji6vLocTzgSFpheFUAX1Y6UPMX1SaFleNNxol/2CGna3MWUmUD+m&#10;5GOHN9qY0nPjWN/wq8k4Y1tPBkS3KbURjZY5L1fEsFkvTGA7yANUvqKQIs/TAm6dLLidAvnRSZaK&#10;HY6e0HHGEmjzdJ6CJuOM4pmEVZIzo+g15tWRtXEnG7Nzxx6sUR5WIYezozQPRd5pdvPAPd+XrKf3&#10;Ov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tfu2NcAAAAFAQAADwAAAAAAAAABACAAAAAiAAAA&#10;ZHJzL2Rvd25yZXYueG1sUEsBAhQAFAAAAAgAh07iQNk4p3sIAgAA9wMAAA4AAAAAAAAAAQAgAAAA&#10;Jg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43904" behindDoc="0" locked="0" layoutInCell="1" allowOverlap="1">
                            <wp:simplePos x="0" y="0"/>
                            <wp:positionH relativeFrom="column">
                              <wp:posOffset>3171825</wp:posOffset>
                            </wp:positionH>
                            <wp:positionV relativeFrom="paragraph">
                              <wp:posOffset>22860</wp:posOffset>
                            </wp:positionV>
                            <wp:extent cx="179705" cy="635"/>
                            <wp:effectExtent l="0" t="37465" r="10795" b="38100"/>
                            <wp:wrapNone/>
                            <wp:docPr id="262" name="直线 543"/>
                            <wp:cNvGraphicFramePr/>
                            <a:graphic xmlns:a="http://schemas.openxmlformats.org/drawingml/2006/main">
                              <a:graphicData uri="http://schemas.microsoft.com/office/word/2010/wordprocessingShape">
                                <wps:wsp>
                                  <wps:cNvCnPr>
                                    <a:cxnSpLocks noChangeShapeType="1"/>
                                  </wps:cNvCnPr>
                                  <wps:spPr bwMode="auto">
                                    <a:xfrm>
                                      <a:off x="0" y="0"/>
                                      <a:ext cx="179705" cy="635"/>
                                    </a:xfrm>
                                    <a:prstGeom prst="line">
                                      <a:avLst/>
                                    </a:prstGeom>
                                    <a:noFill/>
                                    <a:ln w="9525" cmpd="sng">
                                      <a:solidFill>
                                        <a:srgbClr val="000000"/>
                                      </a:solidFill>
                                      <a:round/>
                                      <a:headEnd type="none"/>
                                      <a:tailEnd type="triangle" w="med" len="med"/>
                                    </a:ln>
                                  </wps:spPr>
                                  <wps:bodyPr/>
                                </wps:wsp>
                              </a:graphicData>
                            </a:graphic>
                          </wp:anchor>
                        </w:drawing>
                      </mc:Choice>
                      <mc:Fallback>
                        <w:pict>
                          <v:line id="直线 543" o:spid="_x0000_s1026" o:spt="20" style="position:absolute;left:0pt;margin-left:249.75pt;margin-top:1.8pt;height:0.05pt;width:14.15pt;z-index:251643904;mso-width-relative:page;mso-height-relative:page;" filled="f" stroked="t" coordsize="21600,21600" o:gfxdata="UEsDBAoAAAAAAIdO4kAAAAAAAAAAAAAAAAAEAAAAZHJzL1BLAwQUAAAACACHTuJAyMhlSdgAAAAH&#10;AQAADwAAAGRycy9kb3ducmV2LnhtbE2PwU7DMBBE70j8g7VI3KiTQts0xOkBqVxaQG0RgpsbL0lE&#10;vI5spw1/z3KC42hGM2+K1Wg7cUIfWkcK0kkCAqlypqVawethfZOBCFGT0Z0jVPCNAVbl5UWhc+PO&#10;tMPTPtaCSyjkWkETY59LGaoGrQ4T1yOx9+m81ZGlr6Xx+szltpPTJJlLq1vihUb3+NBg9bUfrILd&#10;dr3J3jbDWPmPx/T58LJ9eg+ZUtdXaXIPIuIY/8Lwi8/oUDLT0Q1kgugU3C2XM44quJ2DYH82XfCV&#10;I+sFyLKQ//nLH1BLAwQUAAAACACHTuJANvhyBQcCAAD3AwAADgAAAGRycy9lMm9Eb2MueG1srVNL&#10;chshEN2nKneg2EcjyZEcT2nkhRRn4ySqsnOAFjAaKkBTgDTSWXKNrLLJcXyNNEiWY2fjRWYxBf15&#10;vPcaZtd7a9hOhajRNXw0GHKmnECp3abh3+5v3n3gLCZwEgw61fCDivx6/vbNrPe1GmOHRqrACMTF&#10;uvcN71LydVVF0SkLcYBeOUq2GCwk2oZNJQP0hG5NNR4Op1WPQfqAQsVI0eUxyU+I4TWA2LZaqCWK&#10;rVUuHVGDMpBIUuy0j3xe2LatEulr20aVmGk4KU3lT4fQep3/1XwG9SaA77Q4UYDXUHihyYJ2dOgZ&#10;agkJ2Dbof6CsFgEjtmkg0FZHIcURUjEavvDmrgOvihayOvqz6fH/wYovu1VgWjZ8PB1z5sDSyB9+&#10;/Hz49ZtN3l9kf3ofaypbuFXICsXe3flbFN8jc7jowG1U4Xl/8NQ6yh3Vs5a8iZ5OWfefUVINbBMW&#10;s/ZtsBmSbGD7MpPDeSZqn5ig4Ojy6nI44UxQanoxKfBQP3b6ENMnhZblRcONdtkvqGF3G1NmAvVj&#10;SQ47vNHGlJkbx/qGX03GGdt6MiC6TemNaLTMdbkjhs16YQLbQb5A5TtReFYWcOtkwe0UyI9OslTs&#10;cPSEcj3UCbR5iqegyTijeCZhleTMKHqNeXVkbdzJxuzccQZrlIdVyOnsKN2HIu90d/OF+3tfqp7e&#10;6/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MhlSdgAAAAHAQAADwAAAAAAAAABACAAAAAiAAAA&#10;ZHJzL2Rvd25yZXYueG1sUEsBAhQAFAAAAAgAh07iQDb4cgUHAgAA9wMAAA4AAAAAAAAAAQAgAAAA&#10;Jw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41856" behindDoc="0" locked="0" layoutInCell="1" allowOverlap="1">
                            <wp:simplePos x="0" y="0"/>
                            <wp:positionH relativeFrom="column">
                              <wp:posOffset>2476500</wp:posOffset>
                            </wp:positionH>
                            <wp:positionV relativeFrom="paragraph">
                              <wp:posOffset>3810</wp:posOffset>
                            </wp:positionV>
                            <wp:extent cx="179705" cy="635"/>
                            <wp:effectExtent l="0" t="37465" r="10795" b="38100"/>
                            <wp:wrapNone/>
                            <wp:docPr id="261" name="直线 539"/>
                            <wp:cNvGraphicFramePr/>
                            <a:graphic xmlns:a="http://schemas.openxmlformats.org/drawingml/2006/main">
                              <a:graphicData uri="http://schemas.microsoft.com/office/word/2010/wordprocessingShape">
                                <wps:wsp>
                                  <wps:cNvCnPr>
                                    <a:cxnSpLocks noChangeShapeType="1"/>
                                  </wps:cNvCnPr>
                                  <wps:spPr bwMode="auto">
                                    <a:xfrm>
                                      <a:off x="0" y="0"/>
                                      <a:ext cx="179705" cy="635"/>
                                    </a:xfrm>
                                    <a:prstGeom prst="line">
                                      <a:avLst/>
                                    </a:prstGeom>
                                    <a:noFill/>
                                    <a:ln w="9525" cmpd="sng">
                                      <a:solidFill>
                                        <a:srgbClr val="000000"/>
                                      </a:solidFill>
                                      <a:round/>
                                      <a:headEnd type="none"/>
                                      <a:tailEnd type="triangle" w="med" len="med"/>
                                    </a:ln>
                                  </wps:spPr>
                                  <wps:bodyPr/>
                                </wps:wsp>
                              </a:graphicData>
                            </a:graphic>
                          </wp:anchor>
                        </w:drawing>
                      </mc:Choice>
                      <mc:Fallback>
                        <w:pict>
                          <v:line id="直线 539" o:spid="_x0000_s1026" o:spt="20" style="position:absolute;left:0pt;margin-left:195pt;margin-top:0.3pt;height:0.05pt;width:14.15pt;z-index:251641856;mso-width-relative:page;mso-height-relative:page;" filled="f" stroked="t" coordsize="21600,21600" o:gfxdata="UEsDBAoAAAAAAIdO4kAAAAAAAAAAAAAAAAAEAAAAZHJzL1BLAwQUAAAACACHTuJALtqXZtcAAAAF&#10;AQAADwAAAGRycy9kb3ducmV2LnhtbE2PwU7DMBBE70j8g7VI3KgdikoI2fSAVC4toLYIwc2NlyQi&#10;Xke204a/x5zgOJrRzJtyOdleHMmHzjFCNlMgiGtnOm4QXverqxxEiJqN7h0TwjcFWFbnZ6UujDvx&#10;lo672IhUwqHQCG2MQyFlqFuyOszcQJy8T+etjkn6RhqvT6nc9vJaqYW0uuO00OqBHlqqv3ajRdhu&#10;Vuv8bT1Otf94zJ73L5un95AjXl5k6h5EpCn+heEXP6FDlZgObmQTRI8wv1PpS0RYgEj2TZbPQRwQ&#10;bkFWpfxPX/0AUEsDBBQAAAAIAIdO4kBLaO4MBwIAAPcDAAAOAAAAZHJzL2Uyb0RvYy54bWytU0ty&#10;GyEQ3acqd6DYRyPJJTma0sgLKc7GSVxl+wAtYDRUgKYAaaSz5BpZZZPj+BppkCzHzsaLzGIK+vN4&#10;7zXMr/bWsJ0KUaNr+Ggw5Ew5gVK7TcMf7q8/fOQsJnASDDrV8IOK/Grx/t2897UaY4dGqsAIxMW6&#10;9w3vUvJ1VUXRKQtxgF45SrYYLCTahk0lA/SEbk01Hg6nVY9B+oBCxUjR1THJT4jhLYDYtlqoFYqt&#10;VS4dUYMykEhS7LSPfFHYtq0S6VvbRpWYaTgpTeVPh9B6nf/VYg71JoDvtDhRgLdQeKXJgnZ06Blq&#10;BQnYNuh/oKwWASO2aSDQVkchxRFSMRq+8uauA6+KFrI6+rPp8f/Biq+728C0bPh4OuLMgaWRP/74&#10;+fjrN5tczLI/vY81lS3dbcgKxd7d+RsU3yNzuOzAbVTheX/w1DrKHdWLlryJnk5Z919QUg1sExaz&#10;9m2wGZJsYPsyk8N5JmqfmKDg6HJ2OZxwJig1vZgUeKifOn2I6bNCy/Ki4Ua77BfUsLuJKTOB+qkk&#10;hx1ea2PKzI1jfcNnk3HGtp4MiG5TeiMaLXNd7ohhs16awHaQL1D5ThRelAXcOllwOwXyk5MsFTsc&#10;PaFcD3UCbZ7jKWgyziieSVglOTOKXmNeHVkbd7IxO3ecwRrl4TbkdHaU7kORd7q7+cL9vS9Vz+91&#10;8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u2pdm1wAAAAUBAAAPAAAAAAAAAAEAIAAAACIAAABk&#10;cnMvZG93bnJldi54bWxQSwECFAAUAAAACACHTuJAS2juDAcCAAD3AwAADgAAAAAAAAABACAAAAAm&#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21376" behindDoc="0" locked="0" layoutInCell="1" allowOverlap="1">
                            <wp:simplePos x="0" y="0"/>
                            <wp:positionH relativeFrom="column">
                              <wp:posOffset>1762125</wp:posOffset>
                            </wp:positionH>
                            <wp:positionV relativeFrom="paragraph">
                              <wp:posOffset>3810</wp:posOffset>
                            </wp:positionV>
                            <wp:extent cx="179705" cy="635"/>
                            <wp:effectExtent l="0" t="37465" r="10795" b="38100"/>
                            <wp:wrapNone/>
                            <wp:docPr id="260" name="直线 404"/>
                            <wp:cNvGraphicFramePr/>
                            <a:graphic xmlns:a="http://schemas.openxmlformats.org/drawingml/2006/main">
                              <a:graphicData uri="http://schemas.microsoft.com/office/word/2010/wordprocessingShape">
                                <wps:wsp>
                                  <wps:cNvCnPr>
                                    <a:cxnSpLocks noChangeShapeType="1"/>
                                  </wps:cNvCnPr>
                                  <wps:spPr bwMode="auto">
                                    <a:xfrm>
                                      <a:off x="0" y="0"/>
                                      <a:ext cx="179705" cy="635"/>
                                    </a:xfrm>
                                    <a:prstGeom prst="line">
                                      <a:avLst/>
                                    </a:prstGeom>
                                    <a:noFill/>
                                    <a:ln w="9525" cmpd="sng">
                                      <a:solidFill>
                                        <a:srgbClr val="000000"/>
                                      </a:solidFill>
                                      <a:round/>
                                      <a:headEnd type="none"/>
                                      <a:tailEnd type="triangle" w="med" len="med"/>
                                    </a:ln>
                                    <a:effectLst/>
                                  </wps:spPr>
                                  <wps:bodyPr/>
                                </wps:wsp>
                              </a:graphicData>
                            </a:graphic>
                          </wp:anchor>
                        </w:drawing>
                      </mc:Choice>
                      <mc:Fallback>
                        <w:pict>
                          <v:line id="直线 404" o:spid="_x0000_s1026" o:spt="20" style="position:absolute;left:0pt;margin-left:138.75pt;margin-top:0.3pt;height:0.05pt;width:14.15pt;z-index:251621376;mso-width-relative:page;mso-height-relative:page;" filled="f" stroked="t" coordsize="21600,21600" o:gfxdata="UEsDBAoAAAAAAIdO4kAAAAAAAAAAAAAAAAAEAAAAZHJzL1BLAwQUAAAACACHTuJAu/abOdcAAAAF&#10;AQAADwAAAGRycy9kb3ducmV2LnhtbE2PwU7DMBBE70j8g7VI3KidojZRyKYHpHJpAbVFCG5ubJKI&#10;eB3FThv+nuVUjqMZzbwpVpPrxMkOofWEkMwUCEuVNy3VCG+H9V0GIkRNRneeLMKPDbAqr68KnRt/&#10;pp097WMtuIRCrhGaGPtcylA11ukw870l9r784HRkOdTSDPrM5a6Tc6WW0umWeKHRvX1sbPW9Hx3C&#10;brveZO+bcaqGz6fk5fC6ff4IGeLtTaIeQEQ7xUsY/vAZHUpmOvqRTBAdwjxNFxxFWIJg+14t+MkR&#10;IQVZFvI/ffkLUEsDBBQAAAAIAIdO4kA1gFVgCwIAAAUEAAAOAAAAZHJzL2Uyb0RvYy54bWytU0ty&#10;EzEQ3VPFHVTa47FNnJApj7OwCZsArko4QFvSeFRIapUke+yzcA1WbDhOrkFL/oSETRbMYkpqdT+9&#10;97o1vdlZw7YqRI2u4aPBkDPlBErt1g3/9nD77gNnMYGTYNCphu9V5Dezt2+mva/VGDs0UgVGIC7W&#10;vW94l5KvqyqKTlmIA/TK0WGLwUKibVhXMkBP6NZU4+HwsuoxSB9QqBgpujgc8iNieA0gtq0WaoFi&#10;Y5VLB9SgDCSSFDvtI58Vtm2rRPratlElZhpOSlP50yW0XuV/NZtCvQ7gOy2OFOA1FF5osqAdXXqG&#10;WkACtgn6HyirRcCIbRoItNVBSHGEVIyGL7y578CrooWsjv5sevx/sOLLdhmYlg0fX5InDiy1/PHH&#10;z8dfv9nF8CL70/tYU9rcLUNWKHbu3t+h+B6Zw3kHbq0Kz4e9p9JRrqieleRN9HTLqv+MknJgk7CY&#10;tWuDzZBkA9uVnuzPPVG7xAQFR1fXV8MJZ4KOLt9PCjzUp0ofYvqk0LK8aLjRLvsFNWzvYspMoD6l&#10;5LDDW21M6blxrG/49WScsa0nA6Jbl9qIRsuclytiWK/mJrAt5AEq35HCs7SAGycLbqdAfnSSpWKH&#10;oyeU86FOoM1TPAVNxhnFMwmrJGdG0WvMqwNr43KRKhN8lHLy8dCRFcr9MuTkHKfpKGKPk5zH7+99&#10;yXp6vb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abOdcAAAAFAQAADwAAAAAAAAABACAAAAAi&#10;AAAAZHJzL2Rvd25yZXYueG1sUEsBAhQAFAAAAAgAh07iQDWAVWALAgAABQQAAA4AAAAAAAAAAQAg&#10;AAAAJgEAAGRycy9lMm9Eb2MueG1sUEsFBgAAAAAGAAYAWQEAAKM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20352" behindDoc="0" locked="0" layoutInCell="1" allowOverlap="1">
                            <wp:simplePos x="0" y="0"/>
                            <wp:positionH relativeFrom="column">
                              <wp:posOffset>1057275</wp:posOffset>
                            </wp:positionH>
                            <wp:positionV relativeFrom="paragraph">
                              <wp:posOffset>3810</wp:posOffset>
                            </wp:positionV>
                            <wp:extent cx="179705" cy="635"/>
                            <wp:effectExtent l="0" t="37465" r="10795" b="38100"/>
                            <wp:wrapNone/>
                            <wp:docPr id="259" name="直线 405"/>
                            <wp:cNvGraphicFramePr/>
                            <a:graphic xmlns:a="http://schemas.openxmlformats.org/drawingml/2006/main">
                              <a:graphicData uri="http://schemas.microsoft.com/office/word/2010/wordprocessingShape">
                                <wps:wsp>
                                  <wps:cNvCnPr>
                                    <a:cxnSpLocks noChangeShapeType="1"/>
                                  </wps:cNvCnPr>
                                  <wps:spPr bwMode="auto">
                                    <a:xfrm>
                                      <a:off x="0" y="0"/>
                                      <a:ext cx="179705" cy="635"/>
                                    </a:xfrm>
                                    <a:prstGeom prst="line">
                                      <a:avLst/>
                                    </a:prstGeom>
                                    <a:noFill/>
                                    <a:ln w="9525" cmpd="sng">
                                      <a:solidFill>
                                        <a:srgbClr val="000000"/>
                                      </a:solidFill>
                                      <a:round/>
                                      <a:headEnd type="none"/>
                                      <a:tailEnd type="triangle" w="med" len="med"/>
                                    </a:ln>
                                    <a:effectLst/>
                                  </wps:spPr>
                                  <wps:bodyPr/>
                                </wps:wsp>
                              </a:graphicData>
                            </a:graphic>
                          </wp:anchor>
                        </w:drawing>
                      </mc:Choice>
                      <mc:Fallback>
                        <w:pict>
                          <v:line id="直线 405" o:spid="_x0000_s1026" o:spt="20" style="position:absolute;left:0pt;margin-left:83.25pt;margin-top:0.3pt;height:0.05pt;width:14.15pt;z-index:251620352;mso-width-relative:page;mso-height-relative:page;" filled="f" stroked="t" coordsize="21600,21600" o:gfxdata="UEsDBAoAAAAAAIdO4kAAAAAAAAAAAAAAAAAEAAAAZHJzL1BLAwQUAAAACACHTuJAn2j58dYAAAAF&#10;AQAADwAAAGRycy9kb3ducmV2LnhtbE2PwU7DMBBE70j8g7VI3KgTBCENcXpAKpcWUFuEys2NlyQi&#10;Xke204a/Z3uC42hGM2/KxWR7cUQfOkcK0lkCAql2pqNGwftueZODCFGT0b0jVPCDARbV5UWpC+NO&#10;tMHjNjaCSygUWkEb41BIGeoWrQ4zNyCx9+W81ZGlb6Tx+sTltpe3SZJJqzvihVYP+NRi/b0drYLN&#10;ernKP1bjVPvP5/R197Z+2YdcqeurNHkEEXGKf2E44zM6VMx0cCOZIHrWWXbPUQUZiLM9v+MnBwUP&#10;IKtS/qevfgFQSwMEFAAAAAgAh07iQC10TugMAgAABQQAAA4AAABkcnMvZTJvRG9jLnhtbK1TS3IT&#10;MRDdU8UdVNrjsQ1J8JTHWdiETQBXJRxAlno8KiS1SpI99lm4Bis2HCfXSEv+JIRNFsxiSmp1P733&#10;ujW93lnDthCiRtfw0WDIGTiJSrt1w7/f37z7yFlMwilh0EHD9xD59eztm2nvaxhjh0ZBYATiYt37&#10;hncp+bqqouzAijhAD44OWwxWJNqGdaWC6Andmmo8HF5WPQblA0qIkaKLwyE/IobXAGLbagkLlBsL&#10;Lh1QAxiRSFLstI98Vti2Lcj0rW0jJGYaTkpT+dMltF7lfzWbinodhO+0PFIQr6HwQpMV2tGlZ6iF&#10;SIJtgv4HymoZMGKbBhJtdRBSHCEVo+ELb+464aFoIaujP5se/x+s/LpdBqZVw8cXE86csNTyh5+/&#10;Hn7/YR+GF9mf3sea0uZuGbJCuXN3/hblj8gczjvh1lB43u89lY5yRfVXSd5ET7es+i+oKEdsEhaz&#10;dm2wGZJsYLvSk/25J7BLTFJwdDW5Ih5M0tHl+0KoEvWp0oeYPgNalhcNN9plv0QttrcxZSaiPqXk&#10;sMMbbUzpuXGsb/jkYpyxrScDoluX2ohGq5yXK2JYr+YmsK3IA1S+opBOnqcF3DhVcDsQ6pNTLBU7&#10;HD2hw4wloc1TPAVNxhngmYQFxZkBeo15dWBtXL4dygQfpZx8PHRkhWq/DDk5x2k6itjjJOfxe74v&#10;WU+vd/YI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2j58dYAAAAFAQAADwAAAAAAAAABACAAAAAi&#10;AAAAZHJzL2Rvd25yZXYueG1sUEsBAhQAFAAAAAgAh07iQC10TugMAgAABQQAAA4AAAAAAAAAAQAg&#10;AAAAJQEAAGRycy9lMm9Eb2MueG1sUEsFBgAAAAAGAAYAWQEAAKMFAAAAAA==&#10;">
                            <v:fill on="f" focussize="0,0"/>
                            <v:stroke color="#000000" joinstyle="round" endarrow="block"/>
                            <v:imagedata o:title=""/>
                            <o:lock v:ext="edit" aspectratio="f"/>
                          </v:line>
                        </w:pict>
                      </mc:Fallback>
                    </mc:AlternateContent>
                  </w:r>
                </w:p>
                <w:p>
                  <w:pPr>
                    <w:pStyle w:val="71"/>
                    <w:spacing w:afterLines="0"/>
                  </w:pPr>
                  <w:r>
                    <mc:AlternateContent>
                      <mc:Choice Requires="wps">
                        <w:drawing>
                          <wp:anchor distT="0" distB="0" distL="114300" distR="114300" simplePos="0" relativeHeight="251692032" behindDoc="0" locked="0" layoutInCell="1" allowOverlap="1">
                            <wp:simplePos x="0" y="0"/>
                            <wp:positionH relativeFrom="column">
                              <wp:posOffset>1495425</wp:posOffset>
                            </wp:positionH>
                            <wp:positionV relativeFrom="paragraph">
                              <wp:posOffset>21590</wp:posOffset>
                            </wp:positionV>
                            <wp:extent cx="138430" cy="76835"/>
                            <wp:effectExtent l="2540" t="4445" r="11430" b="13970"/>
                            <wp:wrapNone/>
                            <wp:docPr id="258" name="直线 676"/>
                            <wp:cNvGraphicFramePr/>
                            <a:graphic xmlns:a="http://schemas.openxmlformats.org/drawingml/2006/main">
                              <a:graphicData uri="http://schemas.microsoft.com/office/word/2010/wordprocessingShape">
                                <wps:wsp>
                                  <wps:cNvCnPr>
                                    <a:cxnSpLocks noChangeShapeType="1"/>
                                  </wps:cNvCnPr>
                                  <wps:spPr bwMode="auto">
                                    <a:xfrm>
                                      <a:off x="0" y="0"/>
                                      <a:ext cx="138430" cy="76835"/>
                                    </a:xfrm>
                                    <a:prstGeom prst="line">
                                      <a:avLst/>
                                    </a:prstGeom>
                                    <a:noFill/>
                                    <a:ln w="9525" cmpd="sng">
                                      <a:solidFill>
                                        <a:srgbClr val="000000"/>
                                      </a:solidFill>
                                      <a:prstDash val="dash"/>
                                      <a:round/>
                                      <a:headEnd type="none"/>
                                      <a:tailEnd type="triangle" w="med" len="med"/>
                                    </a:ln>
                                    <a:effectLst/>
                                  </wps:spPr>
                                  <wps:bodyPr/>
                                </wps:wsp>
                              </a:graphicData>
                            </a:graphic>
                          </wp:anchor>
                        </w:drawing>
                      </mc:Choice>
                      <mc:Fallback>
                        <w:pict>
                          <v:line id="直线 676" o:spid="_x0000_s1026" o:spt="20" style="position:absolute;left:0pt;margin-left:117.75pt;margin-top:1.7pt;height:6.05pt;width:10.9pt;z-index:251692032;mso-width-relative:page;mso-height-relative:page;" filled="f" stroked="t" coordsize="21600,21600" o:gfxdata="UEsDBAoAAAAAAIdO4kAAAAAAAAAAAAAAAAAEAAAAZHJzL1BLAwQUAAAACACHTuJA3+GFm9gAAAAI&#10;AQAADwAAAGRycy9kb3ducmV2LnhtbE2Py07DQAxF90j8w8hIbBCdNCEFhUwqxGPFgjawYOlm3CSQ&#10;8USZ6QO+HrOCpX2Pro/L5dENak9T6D0bmM8SUMSNtz23Bt5eny5vQIWIbHHwTAa+KMCyOj0psbD+&#10;wGva17FVUsKhQANdjGOhdWg6chhmfiSWbOsnh1HGqdV2woOUu0GnSbLQDnuWCx2OdN9R81nvnIHF&#10;+wvebetVvhrXj01Wfz/4i+cPY87P5sktqEjH+AfDr76oQyVOG79jG9RgIM3yXFAD2RUoydP8OgO1&#10;EVD2uir1/weqH1BLAwQUAAAACACHTuJAl8uA7hgCAAAfBAAADgAAAGRycy9lMm9Eb2MueG1srVNL&#10;ctswDN13pnfgcF/Ln9pxNZazsJtu0tYzSQ8Ak5TEKX9D0pZ9ll6jq256nFyjIGU7TbLJIlpoQPDh&#10;AXgAF9cHrche+CCtqehoMKREGGa5NE1Ff9zffJhTEiIYDsoaUdGjCPR6+f7donOlGNvWKi48QRIT&#10;ys5VtI3RlUURWCs0hIF1wuBlbb2GiEffFNxDh+xaFePhcFZ01nPnLRMhoHfdX9ITo38Noa1rycTa&#10;sp0WJvasXiiI2FJopQt0mauta8Hi97oOIhJVUew05j8mQXub/sVyAWXjwbWSnUqA15TwrCcN0mDS&#10;C9UaIpCdly+otGTeBlvHAbO66BvJimAXo+Ezbe5acCL3glIHdxE9vB0t+7bfeCJ5RcdTHLwBjSN/&#10;+PX74c9fMruaJX06F0qErczGpw7Zwdy5W8t+BmLsqgXTiFzn/dFh6ChFFE9C0iE4zLLtvlqOGNhF&#10;m8U61F4nSpSBHPJMjpeZiEMkDJ2jyfzjBKfF8OpqNp9McwIoz7HOh/hFWE2SUVElTVIMStjfhphq&#10;gfIMSW5jb6RSeerKkK6in6bjKbJrhxIE0+TYYJXkCZcigm+2K+XJHtIK5e9UwhNYSrKG0PY4jlZC&#10;QentzvBstQL4Z8NJzEIZfFw9IoJUj/7oJUqqBE3FacEpUQLfabL6bpRJtCLv9qnFs8L9rLaWHzc+&#10;gZMf9yaLcNrxtJj/nzPq8V0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f4YWb2AAAAAgBAAAP&#10;AAAAAAAAAAEAIAAAACIAAABkcnMvZG93bnJldi54bWxQSwECFAAUAAAACACHTuJAl8uA7hgCAAAf&#10;BAAADgAAAAAAAAABACAAAAAnAQAAZHJzL2Uyb0RvYy54bWxQSwUGAAAAAAYABgBZAQAAsQUAAAAA&#10;">
                            <v:fill on="f" focussize="0,0"/>
                            <v:stroke color="#000000" joinstyle="round" dashstyle="dash" endarrow="block"/>
                            <v:imagedata o:title=""/>
                            <o:lock v:ext="edit" aspectratio="f"/>
                          </v:lin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2114550</wp:posOffset>
                            </wp:positionH>
                            <wp:positionV relativeFrom="paragraph">
                              <wp:posOffset>40640</wp:posOffset>
                            </wp:positionV>
                            <wp:extent cx="138430" cy="76835"/>
                            <wp:effectExtent l="2540" t="4445" r="11430" b="13970"/>
                            <wp:wrapNone/>
                            <wp:docPr id="257" name="直线 678"/>
                            <wp:cNvGraphicFramePr/>
                            <a:graphic xmlns:a="http://schemas.openxmlformats.org/drawingml/2006/main">
                              <a:graphicData uri="http://schemas.microsoft.com/office/word/2010/wordprocessingShape">
                                <wps:wsp>
                                  <wps:cNvCnPr>
                                    <a:cxnSpLocks noChangeShapeType="1"/>
                                  </wps:cNvCnPr>
                                  <wps:spPr bwMode="auto">
                                    <a:xfrm>
                                      <a:off x="0" y="0"/>
                                      <a:ext cx="138430" cy="76835"/>
                                    </a:xfrm>
                                    <a:prstGeom prst="line">
                                      <a:avLst/>
                                    </a:prstGeom>
                                    <a:noFill/>
                                    <a:ln w="9525" cmpd="sng">
                                      <a:solidFill>
                                        <a:srgbClr val="000000"/>
                                      </a:solidFill>
                                      <a:prstDash val="dash"/>
                                      <a:round/>
                                      <a:headEnd type="none"/>
                                      <a:tailEnd type="triangle" w="med" len="med"/>
                                    </a:ln>
                                  </wps:spPr>
                                  <wps:bodyPr/>
                                </wps:wsp>
                              </a:graphicData>
                            </a:graphic>
                          </wp:anchor>
                        </w:drawing>
                      </mc:Choice>
                      <mc:Fallback>
                        <w:pict>
                          <v:line id="直线 678" o:spid="_x0000_s1026" o:spt="20" style="position:absolute;left:0pt;margin-left:166.5pt;margin-top:3.2pt;height:6.05pt;width:10.9pt;z-index:251693056;mso-width-relative:page;mso-height-relative:page;" filled="f" stroked="t" coordsize="21600,21600" o:gfxdata="UEsDBAoAAAAAAIdO4kAAAAAAAAAAAAAAAAAEAAAAZHJzL1BLAwQUAAAACACHTuJAPZjLj9kAAAAI&#10;AQAADwAAAGRycy9kb3ducmV2LnhtbE2Py07DMBBF90j8gzVIbFDrFDdVFeJUiMeKBW3oguU0mSaB&#10;eBzF7gO+nmEFy9G9OnNuvjq7Xh1pDJ1nC7NpAoq48nXHjYXt2/NkCSpE5Bp7z2ThiwKsisuLHLPa&#10;n3hDxzI2SiAcMrTQxjhkWoeqJYdh6gdiyfZ+dBjlHBtdj3gSuOv1bZIstMOO5UOLAz20VH2WB2dh&#10;8f6K9/tyna6HzVNlyu9Hf/PyYe311Sy5AxXpHP/K8Ksv6lCI084fuA6qt2CMkS1RYHNQkpt0LlN2&#10;UlymoItc/x9Q/ABQSwMEFAAAAAgAh07iQEi8nD0TAgAAEQQAAA4AAABkcnMvZTJvRG9jLnhtbK1T&#10;S27bMBDdF+gdCO5r+VN/KljOwm66SVsDSQ8wJimJKH8gacs+S6/RVTc9Tq7RIeU4TbLJIloIQ/LN&#10;m3lvyOXVUStyED5Iayo6GgwpEYZZLk1T0R931x8WlIQIhoOyRlT0JAK9Wr1/t+xcKca2tYoLT5DE&#10;hLJzFW1jdGVRBNYKDWFgnTB4WFuvIeLSNwX30CG7VsV4OJwVnfXcectECLi76Q/pmdG/htDWtWRi&#10;Y9leCxN7Vi8URJQUWukCXeVu61qw+L2ug4hEVRSVxvzHIhjv0r9YLaFsPLhWsnML8JoWnmnSIA0W&#10;vVBtIALZe/mCSkvmbbB1HDCri15IdgRVjIbPvLltwYmsBa0O7mJ6eDta9u2w9UTyio6nc0oMaBz5&#10;/a/f93/+ktl8kfzpXCgRtjZbnxSyo7l1N5b9DMTYdQumEbnPu5PD1FHKKJ6kpEVwWGXXfbUcMbCP&#10;Npt1rL1OlGgDOeaZnC4zEcdIGG6OJouPE5wWw6P5bDGZ5gJQPuQ6H+IXYTVJQUWVNMkxKOFwE2Lq&#10;BcoHSNo29loqlaeuDOkq+mk6niK7dmhBME3ODVZJnnApI/hmt1aeHCBdofydW3gCS0U2ENoexzFK&#10;KCi93Rueo1YA/2w4idkog4+rR0SQ6nE/eomWKkFTc1pwSpTAd5qiXo0yZ4OTp/10dpaftj4dJ6/x&#10;pmTZ51udruL/64x6fMmr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2Yy4/ZAAAACAEAAA8AAAAA&#10;AAAAAQAgAAAAIgAAAGRycy9kb3ducmV2LnhtbFBLAQIUABQAAAAIAIdO4kBIvJw9EwIAABEEAAAO&#10;AAAAAAAAAAEAIAAAACgBAABkcnMvZTJvRG9jLnhtbFBLBQYAAAAABgAGAFkBAACtBQAAAAA=&#10;">
                            <v:fill on="f" focussize="0,0"/>
                            <v:stroke color="#000000" joinstyle="round" dashstyle="dash" endarrow="block"/>
                            <v:imagedata o:title=""/>
                            <o:lock v:ext="edit" aspectratio="f"/>
                          </v:line>
                        </w:pict>
                      </mc:Fallback>
                    </mc:AlternateContent>
                  </w:r>
                </w:p>
                <w:p>
                  <w:pPr>
                    <w:pStyle w:val="71"/>
                    <w:spacing w:afterLines="0"/>
                  </w:pPr>
                  <w:r>
                    <mc:AlternateContent>
                      <mc:Choice Requires="wps">
                        <w:drawing>
                          <wp:anchor distT="0" distB="0" distL="114300" distR="114300" simplePos="0" relativeHeight="251691008" behindDoc="0" locked="0" layoutInCell="1" allowOverlap="1">
                            <wp:simplePos x="0" y="0"/>
                            <wp:positionH relativeFrom="column">
                              <wp:posOffset>1013460</wp:posOffset>
                            </wp:positionH>
                            <wp:positionV relativeFrom="paragraph">
                              <wp:posOffset>13335</wp:posOffset>
                            </wp:positionV>
                            <wp:extent cx="1560195" cy="256540"/>
                            <wp:effectExtent l="4445" t="4445" r="16510" b="5715"/>
                            <wp:wrapNone/>
                            <wp:docPr id="256" name="文本框 675"/>
                            <wp:cNvGraphicFramePr/>
                            <a:graphic xmlns:a="http://schemas.openxmlformats.org/drawingml/2006/main">
                              <a:graphicData uri="http://schemas.microsoft.com/office/word/2010/wordprocessingShape">
                                <wps:wsp>
                                  <wps:cNvSpPr txBox="1">
                                    <a:spLocks noChangeArrowheads="1"/>
                                  </wps:cNvSpPr>
                                  <wps:spPr bwMode="auto">
                                    <a:xfrm>
                                      <a:off x="0" y="0"/>
                                      <a:ext cx="1560195" cy="256540"/>
                                    </a:xfrm>
                                    <a:prstGeom prst="rect">
                                      <a:avLst/>
                                    </a:prstGeom>
                                    <a:noFill/>
                                    <a:ln w="9525" cmpd="sng">
                                      <a:solidFill>
                                        <a:srgbClr val="000000"/>
                                      </a:solidFill>
                                      <a:prstDash val="dash"/>
                                      <a:miter lim="800000"/>
                                    </a:ln>
                                    <a:effectLst/>
                                  </wps:spPr>
                                  <wps:txbx>
                                    <w:txbxContent>
                                      <w:p>
                                        <w:pPr>
                                          <w:spacing w:line="240" w:lineRule="auto"/>
                                          <w:ind w:firstLine="0" w:firstLineChars="0"/>
                                          <w:jc w:val="center"/>
                                          <w:rPr>
                                            <w:sz w:val="21"/>
                                            <w:szCs w:val="21"/>
                                          </w:rPr>
                                        </w:pPr>
                                        <w:r>
                                          <w:rPr>
                                            <w:rFonts w:hint="eastAsia"/>
                                            <w:sz w:val="21"/>
                                            <w:szCs w:val="21"/>
                                          </w:rPr>
                                          <w:t>金属边角料</w:t>
                                        </w:r>
                                        <w:r>
                                          <w:rPr>
                                            <w:sz w:val="21"/>
                                            <w:szCs w:val="21"/>
                                          </w:rPr>
                                          <w:t>S</w:t>
                                        </w:r>
                                        <w:r>
                                          <w:rPr>
                                            <w:rFonts w:hint="eastAsia"/>
                                            <w:sz w:val="21"/>
                                            <w:szCs w:val="21"/>
                                            <w:vertAlign w:val="subscript"/>
                                          </w:rPr>
                                          <w:t>2</w:t>
                                        </w:r>
                                        <w:r>
                                          <w:rPr>
                                            <w:sz w:val="21"/>
                                            <w:szCs w:val="21"/>
                                          </w:rPr>
                                          <w:t>、噪声N</w:t>
                                        </w:r>
                                      </w:p>
                                    </w:txbxContent>
                                  </wps:txbx>
                                  <wps:bodyPr rot="0" vert="horz" wrap="square" lIns="91440" tIns="45720" rIns="91440" bIns="45720" anchor="t" anchorCtr="0" upright="1">
                                    <a:noAutofit/>
                                  </wps:bodyPr>
                                </wps:wsp>
                              </a:graphicData>
                            </a:graphic>
                          </wp:anchor>
                        </w:drawing>
                      </mc:Choice>
                      <mc:Fallback>
                        <w:pict>
                          <v:shape id="文本框 675" o:spid="_x0000_s1026" o:spt="202" type="#_x0000_t202" style="position:absolute;left:0pt;margin-left:79.8pt;margin-top:1.05pt;height:20.2pt;width:122.85pt;z-index:251691008;mso-width-relative:page;mso-height-relative:page;" filled="f" stroked="t" coordsize="21600,21600" o:gfxdata="UEsDBAoAAAAAAIdO4kAAAAAAAAAAAAAAAAAEAAAAZHJzL1BLAwQUAAAACACHTuJAliwPm9gAAAAI&#10;AQAADwAAAGRycy9kb3ducmV2LnhtbE2PwU7DMBBE70j8g7VI3KidtCkQ4vSAhAQSKqL0QG9OvCRR&#10;43UUu034e5YT3HY0o9k3xWZ2vTjjGDpPGpKFAoFUe9tRo2H/8XRzByJEQ9b0nlDDNwbYlJcXhcmt&#10;n+gdz7vYCC6hkBsNbYxDLmWoW3QmLPyAxN6XH52JLMdG2tFMXO56mSq1ls50xB9aM+Bji/Vxd3Ia&#10;DvupWm23mZzfXj8xLp9fzPH2oPX1VaIeQESc418YfvEZHUpmqvyJbBA96+x+zVENaQKC/ZXKliAq&#10;PtIMZFnI/wPKH1BLAwQUAAAACACHTuJAkEf5xFgCAACTBAAADgAAAGRycy9lMm9Eb2MueG1srVRL&#10;btswEN0X6B0I7hvZhuXEQuQgjZGiQPoB0h6ApiiJKMlhSdpSeoD2Bll1033PlXN0SDqukW6yqBYC&#10;qZl58+bNjM4vRq3ITjgvwdR0ejKhRBgOjTRdTT9/un51RokPzDRMgRE1vROeXqxevjgfbCVm0INq&#10;hCMIYnw12Jr2IdiqKDzvhWb+BKwwaGzBaRbw6rqicWxAdK2K2WSyKAZwjXXAhff4dZ2NdI/ongMI&#10;bSu5WAPfamFCRnVCsYAl+V5aT1eJbdsKHj60rReBqJpipSG9MQmeN/FdrM5Z1Tlme8n3FNhzKDyp&#10;STNpMOkBas0CI1sn/4HSkjvw0IYTDrrIhSRFsIrp5Ik2tz2zItWCUnt7EN3/P1j+fvfREdnUdFYu&#10;KDFMY8sf7n88/Pz98Os7WZyWUaLB+go9by36hvE1jDg4qVxvb4B/8cTAVc9MJy6dg6EXrEGK0xhZ&#10;HIVmHB9BNsM7aDAT2wZIQGPrdNQPFSGIju25O7RHjIHwmLJcTKbLkhKONqRbzlP/ClY9RlvnwxsB&#10;msRDTR22P6Gz3Y0PkQ2rHl1iMgPXUqk0AsqQoabLchbhtUU9vOlyiaBkE/1ihHfd5ko5smNxntKT&#10;qkTLsVtMsma+z34NnvKgaRlwd5TUNT07DlYmgos0r3umUbcoVRYtjJtx34cNNHeooIM8y7jJeOjB&#10;faNkwDlG4l+3zAlK1FuDXVhO5ygTCekyL09neHHHls2xhRmOUDUNlOTjVcjLsrVOdj1myn03cImd&#10;a2USNVLNrPb9xllNWu/3Ki7D8T15/f2XrP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liwPm9gA&#10;AAAIAQAADwAAAAAAAAABACAAAAAiAAAAZHJzL2Rvd25yZXYueG1sUEsBAhQAFAAAAAgAh07iQJBH&#10;+cRYAgAAkwQAAA4AAAAAAAAAAQAgAAAAJwEAAGRycy9lMm9Eb2MueG1sUEsFBgAAAAAGAAYAWQEA&#10;APEFAAAAAA==&#10;">
                            <v:fill on="f" focussize="0,0"/>
                            <v:stroke color="#000000" miterlimit="8" joinstyle="miter" dashstyle="dash"/>
                            <v:imagedata o:title=""/>
                            <o:lock v:ext="edit" aspectratio="f"/>
                            <v:textbox>
                              <w:txbxContent>
                                <w:p>
                                  <w:pPr>
                                    <w:spacing w:line="240" w:lineRule="auto"/>
                                    <w:ind w:firstLine="0" w:firstLineChars="0"/>
                                    <w:jc w:val="center"/>
                                    <w:rPr>
                                      <w:sz w:val="21"/>
                                      <w:szCs w:val="21"/>
                                    </w:rPr>
                                  </w:pPr>
                                  <w:r>
                                    <w:rPr>
                                      <w:rFonts w:hint="eastAsia"/>
                                      <w:sz w:val="21"/>
                                      <w:szCs w:val="21"/>
                                    </w:rPr>
                                    <w:t>金属边角料</w:t>
                                  </w:r>
                                  <w:r>
                                    <w:rPr>
                                      <w:sz w:val="21"/>
                                      <w:szCs w:val="21"/>
                                    </w:rPr>
                                    <w:t>S</w:t>
                                  </w:r>
                                  <w:r>
                                    <w:rPr>
                                      <w:rFonts w:hint="eastAsia"/>
                                      <w:sz w:val="21"/>
                                      <w:szCs w:val="21"/>
                                      <w:vertAlign w:val="subscript"/>
                                    </w:rPr>
                                    <w:t>2</w:t>
                                  </w:r>
                                  <w:r>
                                    <w:rPr>
                                      <w:sz w:val="21"/>
                                      <w:szCs w:val="21"/>
                                    </w:rPr>
                                    <w:t>、噪声N</w:t>
                                  </w:r>
                                </w:p>
                              </w:txbxContent>
                            </v:textbox>
                          </v:shape>
                        </w:pict>
                      </mc:Fallback>
                    </mc:AlternateContent>
                  </w:r>
                </w:p>
                <w:p>
                  <w:pPr>
                    <w:pStyle w:val="71"/>
                    <w:spacing w:afterLines="0"/>
                  </w:pPr>
                </w:p>
                <w:p>
                  <w:pPr>
                    <w:pStyle w:val="71"/>
                    <w:spacing w:afterLines="0"/>
                  </w:pPr>
                  <w:r>
                    <mc:AlternateContent>
                      <mc:Choice Requires="wps">
                        <w:drawing>
                          <wp:anchor distT="0" distB="0" distL="114300" distR="114300" simplePos="0" relativeHeight="251668480" behindDoc="0" locked="0" layoutInCell="1" allowOverlap="1">
                            <wp:simplePos x="0" y="0"/>
                            <wp:positionH relativeFrom="column">
                              <wp:posOffset>2077085</wp:posOffset>
                            </wp:positionH>
                            <wp:positionV relativeFrom="paragraph">
                              <wp:posOffset>70485</wp:posOffset>
                            </wp:positionV>
                            <wp:extent cx="704850" cy="247650"/>
                            <wp:effectExtent l="0" t="0" r="0" b="0"/>
                            <wp:wrapNone/>
                            <wp:docPr id="156" name="文本框 617"/>
                            <wp:cNvGraphicFramePr/>
                            <a:graphic xmlns:a="http://schemas.openxmlformats.org/drawingml/2006/main">
                              <a:graphicData uri="http://schemas.microsoft.com/office/word/2010/wordprocessingShape">
                                <wps:wsp>
                                  <wps:cNvSpPr txBox="1">
                                    <a:spLocks noChangeArrowheads="1"/>
                                  </wps:cNvSpPr>
                                  <wps:spPr bwMode="auto">
                                    <a:xfrm>
                                      <a:off x="0" y="0"/>
                                      <a:ext cx="704850" cy="247650"/>
                                    </a:xfrm>
                                    <a:prstGeom prst="rect">
                                      <a:avLst/>
                                    </a:prstGeom>
                                    <a:noFill/>
                                    <a:ln>
                                      <a:noFill/>
                                    </a:ln>
                                    <a:effectLst/>
                                  </wps:spPr>
                                  <wps:txbx>
                                    <w:txbxContent>
                                      <w:p>
                                        <w:pPr>
                                          <w:pStyle w:val="2"/>
                                          <w:ind w:left="0" w:leftChars="0" w:firstLine="0" w:firstLineChars="0"/>
                                          <w:jc w:val="center"/>
                                        </w:pPr>
                                        <w:r>
                                          <w:rPr>
                                            <w:rFonts w:hint="eastAsia"/>
                                            <w:sz w:val="21"/>
                                            <w:szCs w:val="21"/>
                                          </w:rPr>
                                          <w:t>绝缘漆</w:t>
                                        </w:r>
                                      </w:p>
                                    </w:txbxContent>
                                  </wps:txbx>
                                  <wps:bodyPr rot="0" vert="horz" wrap="square" lIns="91440" tIns="45720" rIns="91440" bIns="45720" anchor="t" anchorCtr="0" upright="1">
                                    <a:noAutofit/>
                                  </wps:bodyPr>
                                </wps:wsp>
                              </a:graphicData>
                            </a:graphic>
                          </wp:anchor>
                        </w:drawing>
                      </mc:Choice>
                      <mc:Fallback>
                        <w:pict>
                          <v:shape id="文本框 617" o:spid="_x0000_s1026" o:spt="202" type="#_x0000_t202" style="position:absolute;left:0pt;margin-left:163.55pt;margin-top:5.55pt;height:19.5pt;width:55.5pt;z-index:251668480;mso-width-relative:page;mso-height-relative:page;" filled="f" stroked="f" coordsize="21600,21600" o:gfxdata="UEsDBAoAAAAAAIdO4kAAAAAAAAAAAAAAAAAEAAAAZHJzL1BLAwQUAAAACACHTuJABXdO59YAAAAJ&#10;AQAADwAAAGRycy9kb3ducmV2LnhtbE2PzU7DMBCE70h9B2uRuFHb/YES4vRQxJWKApV6c+NtEhGv&#10;o9htwtuzPcFpdzWj2W/y9ehbccE+NoEM6KkCgVQG11Bl4PPj9X4FIiZLzraB0MAPRlgXk5vcZi4M&#10;9I6XXaoEh1DMrIE6pS6TMpY1ehunoUNi7RR6bxOffSVdbwcO962cKfUgvW2IP9S2w02N5ffu7A18&#10;vZ0O+4XaVi9+2Q1hVJL8kzTm7larZxAJx/Rnhis+o0PBTMdwJhdFa2A+e9RsZUHzZMNivuLlaGCp&#10;NMgil/8bFL9QSwMEFAAAAAgAh07iQJtUy+AcAgAAJgQAAA4AAABkcnMvZTJvRG9jLnhtbK1TS27b&#10;MBDdF+gdCO5r2YY/qWA5SGOkKJB+gLQHoCnKIipx2CFtyT1Ae4Ouuum+5/I5OiQdx003WXQjDOfz&#10;Zt6b0eKybxu2U+g0mIKPBkPOlJFQarMp+KePNy8uOHNemFI0YFTB98rxy+XzZ4vO5moMNTSlQkYg&#10;xuWdLXjtvc2zzMlatcINwCpDwQqwFZ6euMlKFB2ht002Hg5nWQdYWgSpnCPvKgX5ERGfAghVpaVa&#10;gdy2yviEiqoRnii5WlvHl3HaqlLSv68qpzxrCk5MffxSE7LX4ZstFyLfoLC1lscRxFNGeMSpFdpQ&#10;0xPUSnjBtqj/gWq1RHBQ+YGENktEoiLEYjR8pM1dLayKXEhqZ0+iu/8HK9/tPiDTJV3CdMaZES2t&#10;/PDj++Hn78Ovb2w2mgeJOutyyryzlOv7V9BTeqTr7C3Iz44ZuK6F2agrROhqJUoacRQqs7PShOMC&#10;yLp7CyV1ElsPEaivsA36kSKM0Gk9+9N6VO+ZJOd8OLmYUkRSaDyZz8gOHUR+X2zR+dcKWhaMgiNt&#10;P4KL3a3zKfU+JfQycKObhvwib8xfDsJMHhVP6FgdqITpEw/fr3uqDc41lHsihZDOi34uMmrAr5x1&#10;dFoFd1+2AhVnzRtDwrwcTSbhFuNjMp2P6YHnkfV5RBhJUAX3nCXz2qf73VrUm5o6pVUYuCIxKx2J&#10;Pkx1XAGdT5TqeOrhPs/fMevh917+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V3TufWAAAACQEA&#10;AA8AAAAAAAAAAQAgAAAAIgAAAGRycy9kb3ducmV2LnhtbFBLAQIUABQAAAAIAIdO4kCbVMvgHAIA&#10;ACYEAAAOAAAAAAAAAAEAIAAAACUBAABkcnMvZTJvRG9jLnhtbFBLBQYAAAAABgAGAFkBAACzBQAA&#10;AAA=&#10;">
                            <v:fill on="f" focussize="0,0"/>
                            <v:stroke on="f"/>
                            <v:imagedata o:title=""/>
                            <o:lock v:ext="edit" aspectratio="f"/>
                            <v:textbox>
                              <w:txbxContent>
                                <w:p>
                                  <w:pPr>
                                    <w:pStyle w:val="2"/>
                                    <w:ind w:left="0" w:leftChars="0" w:firstLine="0" w:firstLineChars="0"/>
                                    <w:jc w:val="center"/>
                                  </w:pPr>
                                  <w:r>
                                    <w:rPr>
                                      <w:rFonts w:hint="eastAsia"/>
                                      <w:sz w:val="21"/>
                                      <w:szCs w:val="21"/>
                                    </w:rPr>
                                    <w:t>绝缘漆</w:t>
                                  </w:r>
                                </w:p>
                              </w:txbxContent>
                            </v:textbox>
                          </v:shape>
                        </w:pict>
                      </mc:Fallback>
                    </mc:AlternateContent>
                  </w:r>
                  <w:r>
                    <mc:AlternateContent>
                      <mc:Choice Requires="wps">
                        <w:drawing>
                          <wp:anchor distT="0" distB="0" distL="114300" distR="114300" simplePos="0" relativeHeight="251773952" behindDoc="0" locked="0" layoutInCell="1" allowOverlap="1">
                            <wp:simplePos x="0" y="0"/>
                            <wp:positionH relativeFrom="column">
                              <wp:posOffset>4961890</wp:posOffset>
                            </wp:positionH>
                            <wp:positionV relativeFrom="paragraph">
                              <wp:posOffset>60325</wp:posOffset>
                            </wp:positionV>
                            <wp:extent cx="635" cy="1150620"/>
                            <wp:effectExtent l="37465" t="0" r="38100" b="11430"/>
                            <wp:wrapNone/>
                            <wp:docPr id="159" name="直线 840"/>
                            <wp:cNvGraphicFramePr/>
                            <a:graphic xmlns:a="http://schemas.openxmlformats.org/drawingml/2006/main">
                              <a:graphicData uri="http://schemas.microsoft.com/office/word/2010/wordprocessingShape">
                                <wps:wsp>
                                  <wps:cNvCnPr>
                                    <a:cxnSpLocks noChangeShapeType="1"/>
                                  </wps:cNvCnPr>
                                  <wps:spPr bwMode="auto">
                                    <a:xfrm>
                                      <a:off x="0" y="0"/>
                                      <a:ext cx="635" cy="1150620"/>
                                    </a:xfrm>
                                    <a:prstGeom prst="line">
                                      <a:avLst/>
                                    </a:prstGeom>
                                    <a:noFill/>
                                    <a:ln w="9525" cmpd="sng">
                                      <a:solidFill>
                                        <a:srgbClr val="000000"/>
                                      </a:solidFill>
                                      <a:round/>
                                      <a:headEnd type="none"/>
                                      <a:tailEnd type="triangle" w="med" len="med"/>
                                    </a:ln>
                                    <a:effectLst/>
                                  </wps:spPr>
                                  <wps:bodyPr/>
                                </wps:wsp>
                              </a:graphicData>
                            </a:graphic>
                          </wp:anchor>
                        </w:drawing>
                      </mc:Choice>
                      <mc:Fallback>
                        <w:pict>
                          <v:line id="直线 840" o:spid="_x0000_s1026" o:spt="20" style="position:absolute;left:0pt;margin-left:390.7pt;margin-top:4.75pt;height:90.6pt;width:0.05pt;z-index:251773952;mso-width-relative:page;mso-height-relative:page;" filled="f" stroked="t" coordsize="21600,21600" o:gfxdata="UEsDBAoAAAAAAIdO4kAAAAAAAAAAAAAAAAAEAAAAZHJzL1BLAwQUAAAACACHTuJAh7D0I9gAAAAJ&#10;AQAADwAAAGRycy9kb3ducmV2LnhtbE2PwU7DMBBE70j8g7VI3KgdBDQNcXpAKpcWUFuE4ObGSxIR&#10;ryPbacPfs5zgtqN5mp0pl5PrxRFD7DxpyGYKBFLtbUeNhtf96ioHEZMha3pPqOEbIyyr87PSFNaf&#10;aIvHXWoEh1AsjIY2paGQMtYtOhNnfkBi79MHZxLL0EgbzInDXS+vlbqTznTEH1oz4EOL9ddudBq2&#10;m9U6f1uPUx0+HrPn/cvm6T3mWl9eZOoeRMIp/cHwW5+rQ8WdDn4kG0WvYZ5nN4xqWNyCYJ81HwcG&#10;F2oOsirl/wXVD1BLAwQUAAAACACHTuJATJcyXA0CAAAGBAAADgAAAGRycy9lMm9Eb2MueG1srVNL&#10;bhsxDN0X6B0E7eux3dpIBh5nYTfdpK2BpAegJY5HqH6QZI99ll6jq256nFyjlPxJmm6y6CwGIkU+&#10;8j1Ss5u90WyHISpnGz4aDDlDK5xUdtPwbw+37644iwmsBO0sNvyAkd/M376Z9b7GseuclhgYgdhY&#10;977hXUq+rqooOjQQB86jpcvWBQOJzLCpZICe0I2uxsPhtOpdkD44gTGSd3m85CfE8BpA17ZK4NKJ&#10;rUGbjqgBNSSiFDvlI5+XbtsWRfrathET0w0npqn8qQid1/lfzWdQbwL4TolTC/CaFl5wMqAsFb1A&#10;LSEB2wb1D5RRIrjo2jQQzlRHIkURYjEavtDmvgOPhQtJHf1F9Pj/YMWX3SowJWkTJtecWTA08scf&#10;Px9//WZXH4o+vY81hS3sKmSGYm/v/Z0T3yOzbtGB3WDp8+HgKXWUFa3+SslG9FRl3X92kmJgm1wR&#10;a98GkyFJBrYvMzlcZoL7xAQ5p+8nnAnyj0aT4XRcOqqgPqf6ENMndIblQ8O1slkwqGF3F1NuBepz&#10;SHZbd6u0LkPXlvUNv56MM77xpEC0m5IbnVYyx+WMGDbrhQ5sB3mDylco0s3zsOC2VhbcDkF+tJKl&#10;ooelN3RcsgRKP/lTUKScRp6bMCg500jPMZ+OXWubq2NZ4ROVs5B5uWO9dvKwCjk4W7QehexplfP+&#10;PbdL1NPznf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7D0I9gAAAAJAQAADwAAAAAAAAABACAA&#10;AAAiAAAAZHJzL2Rvd25yZXYueG1sUEsBAhQAFAAAAAgAh07iQEyXMlwNAgAABgQAAA4AAAAAAAAA&#10;AQAgAAAAJwEAAGRycy9lMm9Eb2MueG1sUEsFBgAAAAAGAAYAWQEAAKY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4762500</wp:posOffset>
                            </wp:positionH>
                            <wp:positionV relativeFrom="paragraph">
                              <wp:posOffset>78740</wp:posOffset>
                            </wp:positionV>
                            <wp:extent cx="179705" cy="635"/>
                            <wp:effectExtent l="0" t="37465" r="10795" b="38100"/>
                            <wp:wrapNone/>
                            <wp:docPr id="158" name="直线 568"/>
                            <wp:cNvGraphicFramePr/>
                            <a:graphic xmlns:a="http://schemas.openxmlformats.org/drawingml/2006/main">
                              <a:graphicData uri="http://schemas.microsoft.com/office/word/2010/wordprocessingShape">
                                <wps:wsp>
                                  <wps:cNvCnPr>
                                    <a:cxnSpLocks noChangeShapeType="1"/>
                                  </wps:cNvCnPr>
                                  <wps:spPr bwMode="auto">
                                    <a:xfrm>
                                      <a:off x="0" y="0"/>
                                      <a:ext cx="179705" cy="635"/>
                                    </a:xfrm>
                                    <a:prstGeom prst="line">
                                      <a:avLst/>
                                    </a:prstGeom>
                                    <a:noFill/>
                                    <a:ln w="9525" cmpd="sng">
                                      <a:solidFill>
                                        <a:srgbClr val="000000"/>
                                      </a:solidFill>
                                      <a:round/>
                                      <a:headEnd type="none"/>
                                      <a:tailEnd type="triangle" w="med" len="med"/>
                                    </a:ln>
                                  </wps:spPr>
                                  <wps:bodyPr/>
                                </wps:wsp>
                              </a:graphicData>
                            </a:graphic>
                          </wp:anchor>
                        </w:drawing>
                      </mc:Choice>
                      <mc:Fallback>
                        <w:pict>
                          <v:line id="直线 568" o:spid="_x0000_s1026" o:spt="20" style="position:absolute;left:0pt;margin-left:375pt;margin-top:6.2pt;height:0.05pt;width:14.15pt;z-index:251661312;mso-width-relative:page;mso-height-relative:page;" filled="f" stroked="t" coordsize="21600,21600" o:gfxdata="UEsDBAoAAAAAAIdO4kAAAAAAAAAAAAAAAAAEAAAAZHJzL1BLAwQUAAAACACHTuJAKtr5UNkAAAAJ&#10;AQAADwAAAGRycy9kb3ducmV2LnhtbE2PwU7DMBBE70j8g7VI3KidQkkU4vSAVC4toLYIwc2NlyQi&#10;Xkex04a/Z3uC486MZt8Uy8l14ohDaD1pSGYKBFLlbUu1hrf96iYDEaIhazpPqOEHAyzLy4vC5Naf&#10;aIvHXawFl1DIjYYmxj6XMlQNOhNmvkdi78sPzkQ+h1rawZy43HVyrtS9dKYl/tCYHh8brL53o9Ow&#10;3azW2ft6nKrh8yl52b9unj9CpvX1VaIeQESc4l8YzviMDiUzHfxINohOQ7pQvCWyMb8DwYE0zW5B&#10;HM7CAmRZyP8Lyl9QSwMEFAAAAAgAh07iQK9A7ycHAgAA9wMAAA4AAABkcnMvZTJvRG9jLnhtbK1T&#10;QXIaMRC8pyp/UOkeFkiB7S0WHyDOxUmosv2AQdKyqkgalSRYeEu+kVMueY6/kZHAOHYuPmQPW9Jo&#10;ptXdM5pd761hOxWiRtfw0WDImXICpXabhj/c33y45CwmcBIMOtXwg4r8ev7+3az3tRpjh0aqwAjE&#10;xbr3De9S8nVVRdEpC3GAXjk6bDFYSLQNm0oG6Andmmo8HE6rHoP0AYWKkaLL4yE/IYa3AGLbaqGW&#10;KLZWuXREDcpAIkmx0z7yeWHbtkqkb20bVWKm4aQ0lT9dQut1/lfzGdSbAL7T4kQB3kLhlSYL2tGl&#10;Z6glJGDboP+BsloEjNimgUBbHYUUR0jFaPjKm7sOvCpayOroz6bH/wcrvu5WgWlJkzChxjuw1PLH&#10;Hz8ff/1mk+ll9qf3saa0hVuFrFDs3Z2/RfE9MoeLDtxGFZ73B0+lo1xRvSjJm+jplnX/BSXlwDZh&#10;MWvfBpshyQa2Lz05nHui9okJCo4uri6GE84EHU0/Tgo81E+VPsT0WaFledFwo132C2rY3caUmUD9&#10;lJLDDm+0MaXnxrG+4VeTcca2ngyIblNqIxotc16uiGGzXpjAdpAHqHwnCi/SAm6dLLidAvnJSZaK&#10;HY6eUM6HOoE2z/EUNBlnFM8krJKcGUWvMa+OrI072ZidO/ZgjfKwCvk4O0rzUOSdZjcP3N/7kvX8&#10;Xu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ra+VDZAAAACQEAAA8AAAAAAAAAAQAgAAAAIgAA&#10;AGRycy9kb3ducmV2LnhtbFBLAQIUABQAAAAIAIdO4kCvQO8nBwIAAPcDAAAOAAAAAAAAAAEAIAAA&#10;ACg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2709545</wp:posOffset>
                            </wp:positionH>
                            <wp:positionV relativeFrom="paragraph">
                              <wp:posOffset>49530</wp:posOffset>
                            </wp:positionV>
                            <wp:extent cx="1109980" cy="265430"/>
                            <wp:effectExtent l="13970" t="11430" r="9525" b="8890"/>
                            <wp:wrapNone/>
                            <wp:docPr id="157" name="文本框 567"/>
                            <wp:cNvGraphicFramePr/>
                            <a:graphic xmlns:a="http://schemas.openxmlformats.org/drawingml/2006/main">
                              <a:graphicData uri="http://schemas.microsoft.com/office/word/2010/wordprocessingShape">
                                <wps:wsp>
                                  <wps:cNvSpPr txBox="1">
                                    <a:spLocks noChangeArrowheads="1"/>
                                  </wps:cNvSpPr>
                                  <wps:spPr bwMode="auto">
                                    <a:xfrm>
                                      <a:off x="0" y="0"/>
                                      <a:ext cx="1109980" cy="265430"/>
                                    </a:xfrm>
                                    <a:prstGeom prst="rect">
                                      <a:avLst/>
                                    </a:prstGeom>
                                    <a:noFill/>
                                    <a:ln w="9525" cmpd="sng">
                                      <a:solidFill>
                                        <a:srgbClr val="000000"/>
                                      </a:solidFill>
                                      <a:prstDash val="dash"/>
                                      <a:miter lim="800000"/>
                                    </a:ln>
                                    <a:effectLst/>
                                  </wps:spPr>
                                  <wps:txbx>
                                    <w:txbxContent>
                                      <w:p>
                                        <w:pPr>
                                          <w:spacing w:line="240" w:lineRule="auto"/>
                                          <w:ind w:firstLine="0" w:firstLineChars="0"/>
                                          <w:jc w:val="center"/>
                                          <w:rPr>
                                            <w:sz w:val="21"/>
                                            <w:szCs w:val="21"/>
                                          </w:rPr>
                                        </w:pPr>
                                        <w:r>
                                          <w:rPr>
                                            <w:rFonts w:hint="eastAsia"/>
                                            <w:sz w:val="21"/>
                                            <w:szCs w:val="21"/>
                                          </w:rPr>
                                          <w:t>有机废气</w:t>
                                        </w:r>
                                        <w:r>
                                          <w:rPr>
                                            <w:sz w:val="21"/>
                                            <w:szCs w:val="21"/>
                                          </w:rPr>
                                          <w:t>G</w:t>
                                        </w:r>
                                        <w:r>
                                          <w:rPr>
                                            <w:rFonts w:hint="eastAsia"/>
                                            <w:sz w:val="21"/>
                                            <w:szCs w:val="21"/>
                                            <w:vertAlign w:val="subscript"/>
                                          </w:rPr>
                                          <w:t>2</w:t>
                                        </w:r>
                                      </w:p>
                                    </w:txbxContent>
                                  </wps:txbx>
                                  <wps:bodyPr rot="0" vert="horz" wrap="square" lIns="91440" tIns="45720" rIns="91440" bIns="45720" anchor="t" anchorCtr="0" upright="1">
                                    <a:noAutofit/>
                                  </wps:bodyPr>
                                </wps:wsp>
                              </a:graphicData>
                            </a:graphic>
                          </wp:anchor>
                        </w:drawing>
                      </mc:Choice>
                      <mc:Fallback>
                        <w:pict>
                          <v:shape id="文本框 567" o:spid="_x0000_s1026" o:spt="202" type="#_x0000_t202" style="position:absolute;left:0pt;margin-left:213.35pt;margin-top:3.9pt;height:20.9pt;width:87.4pt;z-index:251662336;mso-width-relative:page;mso-height-relative:page;" filled="f" stroked="t" coordsize="21600,21600" o:gfxdata="UEsDBAoAAAAAAIdO4kAAAAAAAAAAAAAAAAAEAAAAZHJzL1BLAwQUAAAACACHTuJAg8ZyX9gAAAAI&#10;AQAADwAAAGRycy9kb3ducmV2LnhtbE2PwU7DMBBE70j8g7VI3Kid0iYQ4vSAhAQSKqL0QG9OvCRR&#10;43UUu034e5YTHFdvNPum2MyuF2ccQ+dJQ7JQIJBqbztqNOw/nm7uQIRoyJreE2r4xgCb8vKiMLn1&#10;E73jeRcbwSUUcqOhjXHIpQx1i86EhR+QmH350ZnI59hIO5qJy10vl0ql0pmO+ENrBnxssT7uTk7D&#10;YT9Vq+12Lee310+Mt88v5pgdtL6+StQDiIhz/AvDrz6rQ8lOlT+RDaLXsFqmGUc1ZLyAeaqSNYiK&#10;wX0Ksizk/wHlD1BLAwQUAAAACACHTuJANshVVVkCAACTBAAADgAAAGRycy9lMm9Eb2MueG1srVRL&#10;btswEN0X6B0I7hvZru3EQuQgjZGiQPoB0h6ApiiJKMlhSdqSe4D2Bl11033P5XN0SDqukW6yqBYC&#10;qZl5M/PejC6vBq3IVjgvwVR0fDaiRBgOtTRtRT99vH1xQYkPzNRMgREV3QlPr5bPn132thQT6EDV&#10;whEEMb7sbUW7EGxZFJ53QjN/BlYYNDbgNAt4dW1RO9YjulbFZDSaFz242jrgwnv8uspGekB0TwGE&#10;ppFcrIBvtDAhozqhWMCWfCetp8tUbdMIHt43jReBqIpipyG9MQme1/FdLC9Z2TpmO8kPJbCnlPCo&#10;J82kwaRHqBULjGyc/AdKS+7AQxPOOOgiN5IYwS7Go0fc3HfMitQLUu3tkXT//2D5u+0HR2SNkzA7&#10;p8QwjZLvf3zf//y9//WNzObnkaLe+hI97y36huEVDOie2vX2DvhnTwzcdMy04to56DvBaixxHCOL&#10;k9CM4yPIun8LNWZimwAJaGicjvwhIwTRUZ7dUR4xBMJjyvFosbhAE0fbZD6bvkz6Fax8iLbOh9cC&#10;NImHijqUP6Gz7Z0PsRpWPrjEZAZupVJpBJQhfUUXs8kM4bVFPrxpc4ugZB39YoR37fpGObJlcZ7S&#10;k7pEy6lbTLJivst+NZ7yoGkZcHeU1BW9OA1WJoKLNK+HSiNvkapMWhjWw0GHNdQ7ZNBBnmXcZDx0&#10;4L5S0uMcY+FfNswJStQbgyosxtNpHPx0mc7OJ3hxp5b1qYUZjlAVDZTk403Iy7KxTrYdZsq6G7hG&#10;5RqZSI2l5qoOeuOsJq4PexWX4fSevP7+S5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PGcl/Y&#10;AAAACAEAAA8AAAAAAAAAAQAgAAAAIgAAAGRycy9kb3ducmV2LnhtbFBLAQIUABQAAAAIAIdO4kA2&#10;yFVVWQIAAJMEAAAOAAAAAAAAAAEAIAAAACcBAABkcnMvZTJvRG9jLnhtbFBLBQYAAAAABgAGAFkB&#10;AADyBQAAAAA=&#10;">
                            <v:fill on="f" focussize="0,0"/>
                            <v:stroke color="#000000" miterlimit="8" joinstyle="miter" dashstyle="dash"/>
                            <v:imagedata o:title=""/>
                            <o:lock v:ext="edit" aspectratio="f"/>
                            <v:textbox>
                              <w:txbxContent>
                                <w:p>
                                  <w:pPr>
                                    <w:spacing w:line="240" w:lineRule="auto"/>
                                    <w:ind w:firstLine="0" w:firstLineChars="0"/>
                                    <w:jc w:val="center"/>
                                    <w:rPr>
                                      <w:sz w:val="21"/>
                                      <w:szCs w:val="21"/>
                                    </w:rPr>
                                  </w:pPr>
                                  <w:r>
                                    <w:rPr>
                                      <w:rFonts w:hint="eastAsia"/>
                                      <w:sz w:val="21"/>
                                      <w:szCs w:val="21"/>
                                    </w:rPr>
                                    <w:t>有机废气</w:t>
                                  </w:r>
                                  <w:r>
                                    <w:rPr>
                                      <w:sz w:val="21"/>
                                      <w:szCs w:val="21"/>
                                    </w:rPr>
                                    <w:t>G</w:t>
                                  </w:r>
                                  <w:r>
                                    <w:rPr>
                                      <w:rFonts w:hint="eastAsia"/>
                                      <w:sz w:val="21"/>
                                      <w:szCs w:val="21"/>
                                      <w:vertAlign w:val="subscript"/>
                                    </w:rPr>
                                    <w:t>2</w:t>
                                  </w:r>
                                </w:p>
                              </w:txbxContent>
                            </v:textbox>
                          </v:shape>
                        </w:pict>
                      </mc:Fallback>
                    </mc:AlternateContent>
                  </w:r>
                </w:p>
                <w:p>
                  <w:pPr>
                    <w:pStyle w:val="71"/>
                    <w:spacing w:afterLines="0"/>
                  </w:pPr>
                  <w:r>
                    <mc:AlternateContent>
                      <mc:Choice Requires="wps">
                        <w:drawing>
                          <wp:anchor distT="0" distB="0" distL="114300" distR="114300" simplePos="0" relativeHeight="251669504" behindDoc="0" locked="0" layoutInCell="1" allowOverlap="1">
                            <wp:simplePos x="0" y="0"/>
                            <wp:positionH relativeFrom="column">
                              <wp:posOffset>2428875</wp:posOffset>
                            </wp:positionH>
                            <wp:positionV relativeFrom="paragraph">
                              <wp:posOffset>134620</wp:posOffset>
                            </wp:positionV>
                            <wp:extent cx="635" cy="191135"/>
                            <wp:effectExtent l="37465" t="0" r="38100" b="18415"/>
                            <wp:wrapNone/>
                            <wp:docPr id="155" name="直线 618"/>
                            <wp:cNvGraphicFramePr/>
                            <a:graphic xmlns:a="http://schemas.openxmlformats.org/drawingml/2006/main">
                              <a:graphicData uri="http://schemas.microsoft.com/office/word/2010/wordprocessingShape">
                                <wps:wsp>
                                  <wps:cNvCnPr>
                                    <a:cxnSpLocks noChangeShapeType="1"/>
                                  </wps:cNvCnPr>
                                  <wps:spPr bwMode="auto">
                                    <a:xfrm>
                                      <a:off x="0" y="0"/>
                                      <a:ext cx="635" cy="191135"/>
                                    </a:xfrm>
                                    <a:prstGeom prst="line">
                                      <a:avLst/>
                                    </a:prstGeom>
                                    <a:noFill/>
                                    <a:ln w="9525" cmpd="sng">
                                      <a:solidFill>
                                        <a:srgbClr val="000000"/>
                                      </a:solidFill>
                                      <a:round/>
                                      <a:headEnd type="none"/>
                                      <a:tailEnd type="triangle" w="med" len="med"/>
                                    </a:ln>
                                    <a:effectLst/>
                                  </wps:spPr>
                                  <wps:bodyPr/>
                                </wps:wsp>
                              </a:graphicData>
                            </a:graphic>
                          </wp:anchor>
                        </w:drawing>
                      </mc:Choice>
                      <mc:Fallback>
                        <w:pict>
                          <v:line id="直线 618" o:spid="_x0000_s1026" o:spt="20" style="position:absolute;left:0pt;margin-left:191.25pt;margin-top:10.6pt;height:15.05pt;width:0.05pt;z-index:251669504;mso-width-relative:page;mso-height-relative:page;" filled="f" stroked="t" coordsize="21600,21600" o:gfxdata="UEsDBAoAAAAAAIdO4kAAAAAAAAAAAAAAAAAEAAAAZHJzL1BLAwQUAAAACACHTuJAOPV8cdkAAAAJ&#10;AQAADwAAAGRycy9kb3ducmV2LnhtbE2PwU7DMAyG70i8Q2Qkbixtp01VaboD0rhsMG1DCG5ZY9qK&#10;xqmSdCtvj3eCo+1Pv7+/XE22F2f0oXOkIJ0lIJBqZzpqFLwd1w85iBA1Gd07QgU/GGBV3d6UujDu&#10;Qns8H2IjOIRCoRW0MQ6FlKFu0eowcwMS376ctzry6BtpvL5wuO1lliRLaXVH/KHVAz61WH8fRqtg&#10;v11v8vfNONX+8zl9Pe62Lx8hV+r+Lk0eQUSc4h8MV31Wh4qdTm4kE0SvYJ5nC0YVZGkGggFeLEGc&#10;FCzSOciqlP8bVL9QSwMEFAAAAAgAh07iQGCclV8JAgAABQQAAA4AAABkcnMvZTJvRG9jLnhtbK1T&#10;S27bMBDdF+gdCO5rWS5sJILlLOymm7Q1kOQAY5KSiPIHkrbss/QaXXXT4+QaHVKy06SbLKoFMRy9&#10;eXzzOFzeHLUiB+GDtKam5WRKiTDMcmnamj4+3H64oiREMByUNaKmJxHozer9u2XvKjGznVVceIIk&#10;JlS9q2kXo6uKIrBOaAgT64TBn431GiJufVtwDz2ya1XMptNF0VvPnbdMhIDZzfCTjoz+LYS2aSQT&#10;G8v2Wpg4sHqhIGJLoZMu0FVW2zSCxW9NE0QkqqbYacwrHoLxLq3FaglV68F1ko0S4C0SXvWkQRo8&#10;9EK1gQhk7+U/VFoyb4Nt4oRZXQyNZEewi3L6ypv7DpzIvaDVwV1MD/+Pln09bD2RHCdhPqfEgMYr&#10;f/rx8+nXb7Ior5I/vQsVwtZm61OH7Gju3Z1l3wMxdt2BaUXW+XByWFqmiuJFSdoEh6fs+i+WIwb2&#10;0Wazjo3XiRJtIMd8J6fLnYhjJAyTi48oi2G+vC5LjBM9VOdK50P8LKwmKaipkib5BRUc7kIcoGdI&#10;Sht7K5XCPFTKkL6m1/NZotcODQimzbXBKskTLsGCb3dr5ckB0gDlb5TwAubt3vDM2wngnwwnMdth&#10;8AklPFQRpHrORy/ROCVoEqEFp0QJfI0pGlQrk4pEnuCxlbOPw43sLD9tfQKnPE5H9mWc5DR+f+8z&#10;6vn1rv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PV8cdkAAAAJAQAADwAAAAAAAAABACAAAAAi&#10;AAAAZHJzL2Rvd25yZXYueG1sUEsBAhQAFAAAAAgAh07iQGCclV8JAgAABQQAAA4AAAAAAAAAAQAg&#10;AAAAKAEAAGRycy9lMm9Eb2MueG1sUEsFBgAAAAAGAAYAWQEAAKMFAAAAAA==&#10;">
                            <v:fill on="f" focussize="0,0"/>
                            <v:stroke color="#000000" joinstyle="round" endarrow="block"/>
                            <v:imagedata o:title=""/>
                            <o:lock v:ext="edit" aspectratio="f"/>
                          </v:line>
                        </w:pict>
                      </mc:Fallback>
                    </mc:AlternateContent>
                  </w:r>
                </w:p>
                <w:p>
                  <w:pPr>
                    <w:pStyle w:val="71"/>
                    <w:spacing w:afterLines="0"/>
                  </w:pPr>
                  <w:r>
                    <mc:AlternateContent>
                      <mc:Choice Requires="wps">
                        <w:drawing>
                          <wp:anchor distT="0" distB="0" distL="114300" distR="114300" simplePos="0" relativeHeight="251660288" behindDoc="0" locked="0" layoutInCell="1" allowOverlap="1">
                            <wp:simplePos x="0" y="0"/>
                            <wp:positionH relativeFrom="column">
                              <wp:posOffset>3533775</wp:posOffset>
                            </wp:positionH>
                            <wp:positionV relativeFrom="paragraph">
                              <wp:posOffset>20955</wp:posOffset>
                            </wp:positionV>
                            <wp:extent cx="194945" cy="141605"/>
                            <wp:effectExtent l="2540" t="0" r="12065" b="10795"/>
                            <wp:wrapNone/>
                            <wp:docPr id="154" name="直线 564"/>
                            <wp:cNvGraphicFramePr/>
                            <a:graphic xmlns:a="http://schemas.openxmlformats.org/drawingml/2006/main">
                              <a:graphicData uri="http://schemas.microsoft.com/office/word/2010/wordprocessingShape">
                                <wps:wsp>
                                  <wps:cNvCnPr>
                                    <a:cxnSpLocks noChangeShapeType="1"/>
                                  </wps:cNvCnPr>
                                  <wps:spPr bwMode="auto">
                                    <a:xfrm flipV="1">
                                      <a:off x="0" y="0"/>
                                      <a:ext cx="194945" cy="141605"/>
                                    </a:xfrm>
                                    <a:prstGeom prst="line">
                                      <a:avLst/>
                                    </a:prstGeom>
                                    <a:noFill/>
                                    <a:ln w="9525" cmpd="sng">
                                      <a:solidFill>
                                        <a:srgbClr val="000000"/>
                                      </a:solidFill>
                                      <a:prstDash val="dash"/>
                                      <a:round/>
                                      <a:headEnd type="none"/>
                                      <a:tailEnd type="triangle" w="med" len="med"/>
                                    </a:ln>
                                  </wps:spPr>
                                  <wps:bodyPr/>
                                </wps:wsp>
                              </a:graphicData>
                            </a:graphic>
                          </wp:anchor>
                        </w:drawing>
                      </mc:Choice>
                      <mc:Fallback>
                        <w:pict>
                          <v:line id="直线 564" o:spid="_x0000_s1026" o:spt="20" style="position:absolute;left:0pt;flip:y;margin-left:278.25pt;margin-top:1.65pt;height:11.15pt;width:15.35pt;z-index:251660288;mso-width-relative:page;mso-height-relative:page;" filled="f" stroked="t" coordsize="21600,21600" o:gfxdata="UEsDBAoAAAAAAIdO4kAAAAAAAAAAAAAAAAAEAAAAZHJzL1BLAwQUAAAACACHTuJAPx9tb9cAAAAI&#10;AQAADwAAAGRycy9kb3ducmV2LnhtbE2PzU7DMBCE70h9B2srcaN2UxzaEKeHSkiIGy0SVzfeJlHt&#10;dbDdH3h6zIkeRzOa+aZeX51lZwxx8KRgPhPAkFpvBuoUfOxeHpbAYtJktPWECr4xwrqZ3NW6Mv5C&#10;73jepo7lEoqVVtCnNFacx7ZHp+PMj0jZO/jgdMoydNwEfcnlzvJCiJI7PVBe6PWImx7b4/bkFDyK&#10;r5/N7q0bVvYVVxEDHY7pU6n76Vw8A0t4Tf9h+MPP6NBkpr0/kYnMKpCylDmqYLEAln25fCqA7RUU&#10;sgTe1Pz2QPMLUEsDBBQAAAAIAIdO4kA+ObZPGAIAABwEAAAOAAAAZHJzL2Uyb0RvYy54bWytUztu&#10;GzEQ7QPkDgT7aCVBEuKFVy6kOI2TCLCTfkRytUT4A0lppbPkGqnS5Di+Rma4ghU7jYtssRiSb97M&#10;exxe3xytYQcVk/au4ZPRmDPlhJfa7Rr+9eH23XvOUgYnwXinGn5Sid8s37657kOtpr7zRqrIkMSl&#10;ug8N73IOdVUl0SkLaeSDcnjY+mgh4zLuKhmhR3Zrqul4vKh6H2WIXqiUcHc9HPIzY3wNoW9bLdTa&#10;i71VLg+sURnIKCl1OiS+LN22rRL5S9smlZlpOCrN5Y9FMN7Sv1peQ72LEDotzi3Aa1p4ocmCdlj0&#10;iWoNGdg+6n+orBbRJ9/mkfC2GoQUR1DFZPzCm/sOgipa0OoUnkxP/49WfD5sItMSJ2E+48yBxSt/&#10;/PHz8ddvNl/MyJ8+pBphK7eJpFAc3X248+J7Ys6vOnA7Vfp8OAVMnVBG9SyFFilglW3/yUvEwD77&#10;YtaxjZa1RodvlEjkaAg7lts5Pd2OOmYmcHNyNbuazTkTeDSZTRbjeakFNdFQcogpf1TeMgoabrQj&#10;86CGw13K1NYFQtvO32pjygAYx/qGX82nRG8DupHcruQmb7QkHGWkuNuuTGQHoGkq37mFZzAqv4bU&#10;DTiJEaGgjn7vZIk6BfKDkywXzxy+swGRQZvLfo4a3TWKU3NWSc6MwidL0aDGuLPXZO9wUVsvT5tI&#10;x2Q7Dk2RfR5wmsq/1wV1edTL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8fbW/XAAAACAEAAA8A&#10;AAAAAAAAAQAgAAAAIgAAAGRycy9kb3ducmV2LnhtbFBLAQIUABQAAAAIAIdO4kA+ObZPGAIAABwE&#10;AAAOAAAAAAAAAAEAIAAAACYBAABkcnMvZTJvRG9jLnhtbFBLBQYAAAAABgAGAFkBAACwBQAAAAA=&#10;">
                            <v:fill on="f" focussize="0,0"/>
                            <v:stroke color="#000000" joinstyle="round" dashstyle="dash" endarrow="block"/>
                            <v:imagedata o:title=""/>
                            <o:lock v:ext="edit" aspectratio="f"/>
                          </v:lin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2705100</wp:posOffset>
                            </wp:positionH>
                            <wp:positionV relativeFrom="paragraph">
                              <wp:posOffset>30480</wp:posOffset>
                            </wp:positionV>
                            <wp:extent cx="194945" cy="141605"/>
                            <wp:effectExtent l="2540" t="0" r="12065" b="10795"/>
                            <wp:wrapNone/>
                            <wp:docPr id="153" name="直线 565"/>
                            <wp:cNvGraphicFramePr/>
                            <a:graphic xmlns:a="http://schemas.openxmlformats.org/drawingml/2006/main">
                              <a:graphicData uri="http://schemas.microsoft.com/office/word/2010/wordprocessingShape">
                                <wps:wsp>
                                  <wps:cNvCnPr>
                                    <a:cxnSpLocks noChangeShapeType="1"/>
                                  </wps:cNvCnPr>
                                  <wps:spPr bwMode="auto">
                                    <a:xfrm flipV="1">
                                      <a:off x="0" y="0"/>
                                      <a:ext cx="194945" cy="141605"/>
                                    </a:xfrm>
                                    <a:prstGeom prst="line">
                                      <a:avLst/>
                                    </a:prstGeom>
                                    <a:noFill/>
                                    <a:ln w="9525" cmpd="sng">
                                      <a:solidFill>
                                        <a:srgbClr val="000000"/>
                                      </a:solidFill>
                                      <a:prstDash val="dash"/>
                                      <a:round/>
                                      <a:headEnd type="none"/>
                                      <a:tailEnd type="triangle" w="med" len="med"/>
                                    </a:ln>
                                  </wps:spPr>
                                  <wps:bodyPr/>
                                </wps:wsp>
                              </a:graphicData>
                            </a:graphic>
                          </wp:anchor>
                        </w:drawing>
                      </mc:Choice>
                      <mc:Fallback>
                        <w:pict>
                          <v:line id="直线 565" o:spid="_x0000_s1026" o:spt="20" style="position:absolute;left:0pt;flip:y;margin-left:213pt;margin-top:2.4pt;height:11.15pt;width:15.35pt;z-index:251659264;mso-width-relative:page;mso-height-relative:page;" filled="f" stroked="t" coordsize="21600,21600" o:gfxdata="UEsDBAoAAAAAAIdO4kAAAAAAAAAAAAAAAAAEAAAAZHJzL1BLAwQUAAAACACHTuJAEjSmRNYAAAAI&#10;AQAADwAAAGRycy9kb3ducmV2LnhtbE2PTU/DMAyG70j8h8hI3FjSanSsNN1hEhLixjaJa9Z4bbXE&#10;KUn2Ab8ec4Kbrdd6/LzN6uqdOGNMYyANxUyBQOqCHanXsNu+PDyBSNmQNS4QavjCBKv29qYxtQ0X&#10;esfzJveCIZRqo2HIeaqlTN2A3qRZmJA4O4ToTeY19tJGc2G4d7JUqpLejMQfBjPhesDuuDl5DXP1&#10;+b3evvXj0r3iMmGkwzF/aH1/V6hnEBmv+e8YfvVZHVp22ocT2SQcM8qKu2QeuAHn88dqAWKvoVwU&#10;INtG/i/Q/gBQSwMEFAAAAAgAh07iQDoPU0oZAgAAHAQAAA4AAABkcnMvZTJvRG9jLnhtbK1TO47b&#10;MBDtA+QOBPtYlmMbsWB5CzubZpMY2E16mqQkIvyBpC37LLlGqjQ5zl5jZyjD3myaLaJCIOfzZt6b&#10;4fLmaDQ5yBCVszUtR2NKpOVOKNvW9NvD7bsPlMTErGDaWVnTk4z0ZvX2zbL3lZy4zmkhAwEQG6ve&#10;17RLyVdFEXknDYsj56UFZ+OCYQmuoS1EYD2gG11MxuN50bsgfHBcxgjWzeCkZ8TwGkDXNIrLjeN7&#10;I20aUIPULAGl2Ckf6Sp32zSSp69NE2UiuqbANOU/FIHzDv/FasmqNjDfKX5ugb2mhRecDFMWil6g&#10;Niwxsg/qHyijeHDRNWnEnSkGIlkRYFGOX2hz3zEvMxeQOvqL6PH/wfIvh20gSsAmzN5TYpmBkT/+&#10;/PX4+w+ZzWeoT+9jBWFruw3IkB/tvb9z/Eck1q07ZluZ+3w4eUgtMaP4KwUv0UOVXf/ZCYhh++Sy&#10;WMcmGNJo5b9jIoKDIOSYp3O6TEceE+FgLBfTxXRGCQdXOS3n49xdwSqEwWQfYvoknSF4qKlWFsVj&#10;FTvcxYRtXUPQbN2t0jovgLakr+liNkF440GNaNucG51WAuMwI4Z2t9aBHBhuU/4yXfA8D8PyGxa7&#10;IU7AaViz4PZW5HqdZOKjFSRlzSy8syEiMaWv9hQUqKslxeaMFJRoCU8WTwMbbc9ao7zDoHZOnLYB&#10;3Sg7LE2mfV5w3Mrn9xx1fdSr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I0pkTWAAAACAEAAA8A&#10;AAAAAAAAAQAgAAAAIgAAAGRycy9kb3ducmV2LnhtbFBLAQIUABQAAAAIAIdO4kA6D1NKGQIAABwE&#10;AAAOAAAAAAAAAAEAIAAAACUBAABkcnMvZTJvRG9jLnhtbFBLBQYAAAAABgAGAFkBAACwBQAAAAA=&#10;">
                            <v:fill on="f" focussize="0,0"/>
                            <v:stroke color="#000000" joinstyle="round" dashstyle="dash" endarrow="block"/>
                            <v:imagedata o:title=""/>
                            <o:lock v:ext="edit" aspectratio="f"/>
                          </v:line>
                        </w:pict>
                      </mc:Fallback>
                    </mc:AlternateContent>
                  </w:r>
                  <w:r>
                    <mc:AlternateContent>
                      <mc:Choice Requires="wps">
                        <w:drawing>
                          <wp:anchor distT="0" distB="0" distL="114300" distR="114300" simplePos="0" relativeHeight="251650048" behindDoc="0" locked="0" layoutInCell="1" allowOverlap="1">
                            <wp:simplePos x="0" y="0"/>
                            <wp:positionH relativeFrom="column">
                              <wp:posOffset>-17780</wp:posOffset>
                            </wp:positionH>
                            <wp:positionV relativeFrom="paragraph">
                              <wp:posOffset>99060</wp:posOffset>
                            </wp:positionV>
                            <wp:extent cx="1410335" cy="454660"/>
                            <wp:effectExtent l="1270" t="3810" r="0" b="0"/>
                            <wp:wrapNone/>
                            <wp:docPr id="152" name="文本框 549"/>
                            <wp:cNvGraphicFramePr/>
                            <a:graphic xmlns:a="http://schemas.openxmlformats.org/drawingml/2006/main">
                              <a:graphicData uri="http://schemas.microsoft.com/office/word/2010/wordprocessingShape">
                                <wps:wsp>
                                  <wps:cNvSpPr txBox="1">
                                    <a:spLocks noChangeArrowheads="1"/>
                                  </wps:cNvSpPr>
                                  <wps:spPr bwMode="auto">
                                    <a:xfrm>
                                      <a:off x="0" y="0"/>
                                      <a:ext cx="1410335" cy="454660"/>
                                    </a:xfrm>
                                    <a:prstGeom prst="rect">
                                      <a:avLst/>
                                    </a:prstGeom>
                                    <a:solidFill>
                                      <a:srgbClr val="FFFFFF"/>
                                    </a:solidFill>
                                    <a:ln>
                                      <a:noFill/>
                                    </a:ln>
                                    <a:effectLst/>
                                  </wps:spPr>
                                  <wps:txbx>
                                    <w:txbxContent>
                                      <w:p>
                                        <w:pPr>
                                          <w:spacing w:line="240" w:lineRule="auto"/>
                                          <w:ind w:firstLine="0" w:firstLineChars="0"/>
                                          <w:jc w:val="center"/>
                                          <w:rPr>
                                            <w:sz w:val="21"/>
                                            <w:szCs w:val="21"/>
                                          </w:rPr>
                                        </w:pPr>
                                        <w:r>
                                          <w:rPr>
                                            <w:rFonts w:hint="eastAsia"/>
                                            <w:sz w:val="21"/>
                                            <w:szCs w:val="21"/>
                                          </w:rPr>
                                          <w:t>电机毛坯、定子组件、转子组件、电路等</w:t>
                                        </w:r>
                                      </w:p>
                                    </w:txbxContent>
                                  </wps:txbx>
                                  <wps:bodyPr rot="0" vert="horz" wrap="square" lIns="91440" tIns="45720" rIns="91440" bIns="45720" anchor="t" anchorCtr="0" upright="1">
                                    <a:noAutofit/>
                                  </wps:bodyPr>
                                </wps:wsp>
                              </a:graphicData>
                            </a:graphic>
                          </wp:anchor>
                        </w:drawing>
                      </mc:Choice>
                      <mc:Fallback>
                        <w:pict>
                          <v:shape id="文本框 549" o:spid="_x0000_s1026" o:spt="202" type="#_x0000_t202" style="position:absolute;left:0pt;margin-left:-1.4pt;margin-top:7.8pt;height:35.8pt;width:111.05pt;z-index:251650048;mso-width-relative:page;mso-height-relative:page;" fillcolor="#FFFFFF" filled="t" stroked="f" coordsize="21600,21600" o:gfxdata="UEsDBAoAAAAAAIdO4kAAAAAAAAAAAAAAAAAEAAAAZHJzL1BLAwQUAAAACACHTuJAE3GSI9cAAAAI&#10;AQAADwAAAGRycy9kb3ducmV2LnhtbE2P3U6DQBCF7018h82YeGPaBbTQIksTTTTe9ucBBpgCkZ0l&#10;7La0b+94pZdzzsk53xTbqx3UhSbfOzYQLyNQxLVrem4NHA8fizUoH5AbHByTgRt52Jb3dwXmjZt5&#10;R5d9aJWUsM/RQBfCmGvt644s+qUbicU7uclikHNqdTPhLOV20EkUpdpiz7LQ4UjvHdXf+7M1cPqa&#10;n1abufoMx2z3kr5hn1XuZszjQxy9ggp0DX9h+MUXdCiFqXJnbrwaDCwSIQ+ir1JQ4ifx5hlUZWCd&#10;JaDLQv9/oPwBUEsDBBQAAAAIAIdO4kBbMWjWNAIAAFAEAAAOAAAAZHJzL2Uyb0RvYy54bWytVM2O&#10;0zAQviPxDpbvNG03LWzUdLW0KkJafqSFB3Adp7FIPGbsNikPwL4BJy7cea4+B2OnW6py2QM9RJ7M&#10;+Jv5vvnS2U3X1Gyn0GkwOR8NhpwpI6HQZpPzz59WL15x5rwwhajBqJzvleM38+fPZq3N1BgqqAuF&#10;jECMy1qb88p7myWJk5VqhBuAVYaSJWAjPIW4SQoULaE3dTIeDqdJC1hYBKmco7fLPsmPiPgUQChL&#10;LdUS5LZRxveoqGrhiZKrtHV8HqctSyX9h7J0yrM658TUxyc1ofM6PJP5TGQbFLbS8jiCeMoIF5wa&#10;oQ01PUEthRdsi/ofqEZLBAelH0hokp5IVIRYjIYX2txXwqrIhaR29iS6+3+w8v3uIzJdkBMmY86M&#10;aGjlhx8Ph5+/D7++s0l6HSRqrcuo8t5Sre9eQ0flka6zdyC/OGZgUQmzUbeI0FZKFDTiKNxMzq72&#10;OC6ArNt3UFAnsfUQgboSm6AfKcIIndazP61HdZ7J0DIdDa+uJpxJyqWTdDqN+0tE9njbovNvFDQs&#10;HHKOtP6ILnZ3zodpRPZYEpo5qHWx0nUdA9ysFzWynSCrrOIvErgoq00oNhCu9Yj9GxXNdmwTSAee&#10;PWPfrbujiGso9kQfoTcifYZ0qAC/cdaSCXPuvm4FKs7qt4YkvB6laXBtDNLJyzEFeJ5Zn2eEkQSV&#10;c89Zf1z43ulbi3pTUad+aQZuSfZSR0XCqP1Ux2WR0aJQx48iOPk8jlV//wjm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TcZIj1wAAAAgBAAAPAAAAAAAAAAEAIAAAACIAAABkcnMvZG93bnJldi54&#10;bWxQSwECFAAUAAAACACHTuJAWzFo1jQCAABQBAAADgAAAAAAAAABACAAAAAmAQAAZHJzL2Uyb0Rv&#10;Yy54bWxQSwUGAAAAAAYABgBZAQAAzAUAAAAA&#10;">
                            <v:fill on="t" focussize="0,0"/>
                            <v:stroke on="f"/>
                            <v:imagedata o:title=""/>
                            <o:lock v:ext="edit" aspectratio="f"/>
                            <v:textbox>
                              <w:txbxContent>
                                <w:p>
                                  <w:pPr>
                                    <w:spacing w:line="240" w:lineRule="auto"/>
                                    <w:ind w:firstLine="0" w:firstLineChars="0"/>
                                    <w:jc w:val="center"/>
                                    <w:rPr>
                                      <w:sz w:val="21"/>
                                      <w:szCs w:val="21"/>
                                    </w:rPr>
                                  </w:pPr>
                                  <w:r>
                                    <w:rPr>
                                      <w:rFonts w:hint="eastAsia"/>
                                      <w:sz w:val="21"/>
                                      <w:szCs w:val="21"/>
                                    </w:rPr>
                                    <w:t>电机毛坯、定子组件、转子组件、电路等</w:t>
                                  </w:r>
                                </w:p>
                              </w:txbxContent>
                            </v:textbox>
                          </v:shape>
                        </w:pict>
                      </mc:Fallback>
                    </mc:AlternateContent>
                  </w:r>
                </w:p>
                <w:p>
                  <w:pPr>
                    <w:pStyle w:val="71"/>
                    <w:spacing w:afterLines="0"/>
                  </w:pPr>
                  <w:r>
                    <mc:AlternateContent>
                      <mc:Choice Requires="wps">
                        <w:drawing>
                          <wp:anchor distT="0" distB="0" distL="114300" distR="114300" simplePos="0" relativeHeight="251654144" behindDoc="0" locked="0" layoutInCell="1" allowOverlap="1">
                            <wp:simplePos x="0" y="0"/>
                            <wp:positionH relativeFrom="column">
                              <wp:posOffset>2313305</wp:posOffset>
                            </wp:positionH>
                            <wp:positionV relativeFrom="paragraph">
                              <wp:posOffset>22225</wp:posOffset>
                            </wp:positionV>
                            <wp:extent cx="754380" cy="266065"/>
                            <wp:effectExtent l="8255" t="12700" r="8890" b="6985"/>
                            <wp:wrapNone/>
                            <wp:docPr id="151" name="文本框 552"/>
                            <wp:cNvGraphicFramePr/>
                            <a:graphic xmlns:a="http://schemas.openxmlformats.org/drawingml/2006/main">
                              <a:graphicData uri="http://schemas.microsoft.com/office/word/2010/wordprocessingShape">
                                <wps:wsp>
                                  <wps:cNvSpPr txBox="1">
                                    <a:spLocks noChangeArrowheads="1"/>
                                  </wps:cNvSpPr>
                                  <wps:spPr bwMode="auto">
                                    <a:xfrm>
                                      <a:off x="0" y="0"/>
                                      <a:ext cx="754380" cy="266065"/>
                                    </a:xfrm>
                                    <a:prstGeom prst="rect">
                                      <a:avLst/>
                                    </a:prstGeom>
                                    <a:noFill/>
                                    <a:ln w="9525" cmpd="sng">
                                      <a:solidFill>
                                        <a:srgbClr val="000000"/>
                                      </a:solidFill>
                                      <a:miter lim="800000"/>
                                    </a:ln>
                                    <a:effectLst/>
                                  </wps:spPr>
                                  <wps:txbx>
                                    <w:txbxContent>
                                      <w:p>
                                        <w:pPr>
                                          <w:spacing w:line="240" w:lineRule="auto"/>
                                          <w:ind w:firstLine="0" w:firstLineChars="0"/>
                                          <w:jc w:val="center"/>
                                          <w:rPr>
                                            <w:sz w:val="21"/>
                                            <w:szCs w:val="21"/>
                                          </w:rPr>
                                        </w:pPr>
                                        <w:r>
                                          <w:rPr>
                                            <w:rFonts w:hint="eastAsia"/>
                                            <w:sz w:val="21"/>
                                            <w:szCs w:val="21"/>
                                          </w:rPr>
                                          <w:t>真空浸漆</w:t>
                                        </w:r>
                                      </w:p>
                                    </w:txbxContent>
                                  </wps:txbx>
                                  <wps:bodyPr rot="0" vert="horz" wrap="square" lIns="91440" tIns="45720" rIns="91440" bIns="45720" anchor="t" anchorCtr="0" upright="1">
                                    <a:noAutofit/>
                                  </wps:bodyPr>
                                </wps:wsp>
                              </a:graphicData>
                            </a:graphic>
                          </wp:anchor>
                        </w:drawing>
                      </mc:Choice>
                      <mc:Fallback>
                        <w:pict>
                          <v:shape id="文本框 552" o:spid="_x0000_s1026" o:spt="202" type="#_x0000_t202" style="position:absolute;left:0pt;margin-left:182.15pt;margin-top:1.75pt;height:20.95pt;width:59.4pt;z-index:251654144;mso-width-relative:page;mso-height-relative:page;" filled="f" stroked="t" coordsize="21600,21600" o:gfxdata="UEsDBAoAAAAAAIdO4kAAAAAAAAAAAAAAAAAEAAAAZHJzL1BLAwQUAAAACACHTuJA6bcIiNYAAAAI&#10;AQAADwAAAGRycy9kb3ducmV2LnhtbE2PS1PDMAyE78zwHzxihht1UqcPQpweKNwhFLgqsZpkiO1M&#10;7D7g1yNO5baaXa0+FZuzHcSRptB7pyGdJSDINd70rtWwe3u+W4MIEZ3BwTvS8E0BNuX1VYG58Sf3&#10;SscqtoJLXMhRQxfjmEsZmo4shpkfybG395PFyOPUSjPhicvtIOdJspQWe8cXOhzpsaPmqzpYxph/&#10;7tT2paLVCmu1ffp5v99/DFrf3qTJA4hI53gJwx8+70DJTLU/OBPEoEEtM8VRFgsQ7GdrlYKoWSwy&#10;kGUh/z9Q/gJQSwMEFAAAAAgAh07iQBJ/RiFMAgAAegQAAA4AAABkcnMvZTJvRG9jLnhtbK1US27b&#10;MBDdF+gdCO5r2a7lJELkII2RokD6AdIegKIoiSjJYUnaUnqA9gZdddN9z+VzdEgpqZFusqgWAqkZ&#10;vnnz5lHnF4NWZC+cl2BKupjNKRGGQy1NW9JPH69fnFLiAzM1U2BESe+Epxeb58/Oe1uIJXSgauEI&#10;ghhf9LakXQi2yDLPO6GZn4EVBoMNOM0Cbl2b1Y71iK5VtpzP11kPrrYOuPAev27HIJ0Q3VMAoWkk&#10;F1vgOy1MGFGdUCxgS76T1tNNYts0gof3TeNFIKqk2GlIbyyC6yq+s805K1rHbCf5RIE9hcKjnjST&#10;Bos+QG1ZYGTn5D9QWnIHHpow46CzsZGkCHaxmD/S5rZjVqReUGpvH0T3/w+Wv9t/cETW6IR8QYlh&#10;Gkd++PH98PP34dc3kufLKFFvfYGZtxZzw/AKBkxP7Xp7A/yzJwauOmZacekc9J1gNVJcxJPZ0dER&#10;x0eQqn8LNVZiuwAJaGicjvqhIgTRcTx3D+MRQyAcP57kq5enGOEYWq7X83WeKrDi/rB1PrwWoElc&#10;lNTh9BM429/4EMmw4j4l1jJwLZVKDlCG9CU9y5c5wmuLcnjTjh2CknXMiye8a6sr5cieRTulZ6Lg&#10;j9O0DHhFlNQlPT1OUiaCiGTLiVGUJyoyahOGapjkrqC+Q6EcjJbFC4uLDtxXSnq0KxL8smNOUKLe&#10;GBT7bLFaRX+nzSo/WeLGHUeq4wgzHKFKGigZl1dhvBM762TbYaVxvAYucUCNTOJFqiOraaxoyaTp&#10;dH2i54/3KevvL2Pz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m3CIjWAAAACAEAAA8AAAAAAAAA&#10;AQAgAAAAIgAAAGRycy9kb3ducmV2LnhtbFBLAQIUABQAAAAIAIdO4kASf0YhTAIAAHoEAAAOAAAA&#10;AAAAAAEAIAAAACUBAABkcnMvZTJvRG9jLnhtbFBLBQYAAAAABgAGAFkBAADjBQAAAAA=&#10;">
                            <v:fill on="f" focussize="0,0"/>
                            <v:stroke color="#000000" miterlimit="8" joinstyle="miter"/>
                            <v:imagedata o:title=""/>
                            <o:lock v:ext="edit" aspectratio="f"/>
                            <v:textbox>
                              <w:txbxContent>
                                <w:p>
                                  <w:pPr>
                                    <w:spacing w:line="240" w:lineRule="auto"/>
                                    <w:ind w:firstLine="0" w:firstLineChars="0"/>
                                    <w:jc w:val="center"/>
                                    <w:rPr>
                                      <w:sz w:val="21"/>
                                      <w:szCs w:val="21"/>
                                    </w:rPr>
                                  </w:pPr>
                                  <w:r>
                                    <w:rPr>
                                      <w:rFonts w:hint="eastAsia"/>
                                      <w:sz w:val="21"/>
                                      <w:szCs w:val="21"/>
                                    </w:rPr>
                                    <w:t>真空浸漆</w:t>
                                  </w:r>
                                </w:p>
                              </w:txbxContent>
                            </v:textbox>
                          </v:shape>
                        </w:pict>
                      </mc:Fallback>
                    </mc:AlternateContent>
                  </w:r>
                  <w:r>
                    <mc:AlternateContent>
                      <mc:Choice Requires="wps">
                        <w:drawing>
                          <wp:anchor distT="0" distB="0" distL="114300" distR="114300" simplePos="0" relativeHeight="251658240" behindDoc="0" locked="0" layoutInCell="1" allowOverlap="1">
                            <wp:simplePos x="0" y="0"/>
                            <wp:positionH relativeFrom="column">
                              <wp:posOffset>4019550</wp:posOffset>
                            </wp:positionH>
                            <wp:positionV relativeFrom="paragraph">
                              <wp:posOffset>22225</wp:posOffset>
                            </wp:positionV>
                            <wp:extent cx="514985" cy="266065"/>
                            <wp:effectExtent l="0" t="3175" r="0" b="0"/>
                            <wp:wrapNone/>
                            <wp:docPr id="150" name="文本框 558"/>
                            <wp:cNvGraphicFramePr/>
                            <a:graphic xmlns:a="http://schemas.openxmlformats.org/drawingml/2006/main">
                              <a:graphicData uri="http://schemas.microsoft.com/office/word/2010/wordprocessingShape">
                                <wps:wsp>
                                  <wps:cNvSpPr txBox="1">
                                    <a:spLocks noChangeArrowheads="1"/>
                                  </wps:cNvSpPr>
                                  <wps:spPr bwMode="auto">
                                    <a:xfrm>
                                      <a:off x="0" y="0"/>
                                      <a:ext cx="514985" cy="266065"/>
                                    </a:xfrm>
                                    <a:prstGeom prst="rect">
                                      <a:avLst/>
                                    </a:prstGeom>
                                    <a:noFill/>
                                    <a:ln>
                                      <a:noFill/>
                                    </a:ln>
                                    <a:effectLst/>
                                  </wps:spPr>
                                  <wps:txbx>
                                    <w:txbxContent>
                                      <w:p>
                                        <w:pPr>
                                          <w:spacing w:line="240" w:lineRule="auto"/>
                                          <w:ind w:firstLine="0" w:firstLineChars="0"/>
                                          <w:jc w:val="center"/>
                                          <w:rPr>
                                            <w:sz w:val="21"/>
                                            <w:szCs w:val="21"/>
                                          </w:rPr>
                                        </w:pPr>
                                        <w:r>
                                          <w:rPr>
                                            <w:rFonts w:hint="eastAsia"/>
                                            <w:sz w:val="21"/>
                                            <w:szCs w:val="21"/>
                                          </w:rPr>
                                          <w:t>电机</w:t>
                                        </w:r>
                                      </w:p>
                                    </w:txbxContent>
                                  </wps:txbx>
                                  <wps:bodyPr rot="0" vert="horz" wrap="square" lIns="91440" tIns="45720" rIns="91440" bIns="45720" anchor="t" anchorCtr="0" upright="1">
                                    <a:noAutofit/>
                                  </wps:bodyPr>
                                </wps:wsp>
                              </a:graphicData>
                            </a:graphic>
                          </wp:anchor>
                        </w:drawing>
                      </mc:Choice>
                      <mc:Fallback>
                        <w:pict>
                          <v:shape id="文本框 558" o:spid="_x0000_s1026" o:spt="202" type="#_x0000_t202" style="position:absolute;left:0pt;margin-left:316.5pt;margin-top:1.75pt;height:20.95pt;width:40.55pt;z-index:251658240;mso-width-relative:page;mso-height-relative:page;" filled="f" stroked="f" coordsize="21600,21600" o:gfxdata="UEsDBAoAAAAAAIdO4kAAAAAAAAAAAAAAAAAEAAAAZHJzL1BLAwQUAAAACACHTuJAhrWZNtcAAAAI&#10;AQAADwAAAGRycy9kb3ducmV2LnhtbE2PzU7DMBCE70h9B2srcaN2mqRAyKaHIq4gyo/EzY23SUS8&#10;jmK3CW+POdHjaEYz35Tb2fbiTKPvHCMkKwWCuHam4wbh/e3p5g6ED5qN7h0Twg952FaLq1IXxk38&#10;Sud9aEQsYV9ohDaEoZDS1y1Z7VduII7e0Y1WhyjHRppRT7Hc9nKt1EZa3XFcaPVAu5bq7/3JInw8&#10;H78+M/XSPNp8mNysJNt7iXi9TNQDiEBz+A/DH35EhyoyHdyJjRc9wiZN45eAkOYgon+bZAmIA0KW&#10;ZyCrUl4eqH4BUEsDBBQAAAAIAIdO4kDl3fONHgIAACYEAAAOAAAAZHJzL2Uyb0RvYy54bWytU82O&#10;0zAQviPxDpbvNG3VlG7UdLVstQhp+ZEWHsB1nMYi8Zix26Q8ALzBnrhw57n6HIydbCnLZQ9cLNsz&#10;/ma+bz4vL7umZnuFToPJ+WQ05kwZCYU225x/+njzYsGZ88IUogajcn5Qjl+unj9btjZTU6igLhQy&#10;AjEua23OK+9tliROVqoRbgRWGQqWgI3wdMRtUqBoCb2pk+l4PE9awMIiSOUc3a77IB8Q8SmAUJZa&#10;qjXIXaOM71FR1cITJVdp6/gqdluWSvr3ZemUZ3XOiamPKxWh/SasyWopsi0KW2k5tCCe0sIjTo3Q&#10;hoqeoNbCC7ZD/Q9UoyWCg9KPJDRJTyQqQiwm40fa3FXCqsiFpHb2JLr7f7Dy3f4DMl2QE1LSxIiG&#10;Rn68/3788ev48xtL00WQqLUuo8w7S7m+ewUdpUe6zt6C/OyYgetKmK26QoS2UqKgFifhZXL2tMdx&#10;AWTTvoWCKomdhwjUldgE/UgRRujUyuE0HtV5JukyncwuFilnkkLT+Xw8T2MFkT08tuj8awUNC5uc&#10;I00/gov9rfOhGZE9pIRaBm50XUcH1OavC0rsb1S00PA6UAnd9zx8t+kGaTZQHIgUQm8v+ly0qQC/&#10;ctaStXLuvuwEKs7qN4aEuZjMZsGL8TBLX07pgOeRzXlEGElQOfec9dtr3/t3Z1FvK6rUj8LAFYlZ&#10;6kg0tNp3NYyA7BP5D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a1mTbXAAAA&#10;CAEAAA8AAAAAAAAAAQAgAAAAIgAAAGRycy9kb3ducmV2LnhtbFBLAQIUABQAAAAIAIdO4kDl3fON&#10;HgIAACYEAAAOAAAAAAAAAAEAIAAAACYBAABkcnMvZTJvRG9jLnhtbFBLBQYAAAAABgAGAFkBAAC2&#10;BQAAAAA=&#10;">
                            <v:fill on="f" focussize="0,0"/>
                            <v:stroke on="f"/>
                            <v:imagedata o:title=""/>
                            <o:lock v:ext="edit" aspectratio="f"/>
                            <v:textbox>
                              <w:txbxContent>
                                <w:p>
                                  <w:pPr>
                                    <w:spacing w:line="240" w:lineRule="auto"/>
                                    <w:ind w:firstLine="0" w:firstLineChars="0"/>
                                    <w:jc w:val="center"/>
                                    <w:rPr>
                                      <w:sz w:val="21"/>
                                      <w:szCs w:val="21"/>
                                    </w:rPr>
                                  </w:pPr>
                                  <w:r>
                                    <w:rPr>
                                      <w:rFonts w:hint="eastAsia"/>
                                      <w:sz w:val="21"/>
                                      <w:szCs w:val="21"/>
                                    </w:rPr>
                                    <w:t>电机</w:t>
                                  </w:r>
                                </w:p>
                              </w:txbxContent>
                            </v:textbox>
                          </v:shape>
                        </w:pict>
                      </mc:Fallback>
                    </mc:AlternateContent>
                  </w:r>
                  <w:r>
                    <mc:AlternateContent>
                      <mc:Choice Requires="wps">
                        <w:drawing>
                          <wp:anchor distT="0" distB="0" distL="114300" distR="114300" simplePos="0" relativeHeight="251656192" behindDoc="0" locked="0" layoutInCell="1" allowOverlap="1">
                            <wp:simplePos x="0" y="0"/>
                            <wp:positionH relativeFrom="column">
                              <wp:posOffset>3295650</wp:posOffset>
                            </wp:positionH>
                            <wp:positionV relativeFrom="paragraph">
                              <wp:posOffset>22225</wp:posOffset>
                            </wp:positionV>
                            <wp:extent cx="514985" cy="266065"/>
                            <wp:effectExtent l="9525" t="12700" r="8890" b="6985"/>
                            <wp:wrapNone/>
                            <wp:docPr id="149" name="文本框 554"/>
                            <wp:cNvGraphicFramePr/>
                            <a:graphic xmlns:a="http://schemas.openxmlformats.org/drawingml/2006/main">
                              <a:graphicData uri="http://schemas.microsoft.com/office/word/2010/wordprocessingShape">
                                <wps:wsp>
                                  <wps:cNvSpPr txBox="1">
                                    <a:spLocks noChangeArrowheads="1"/>
                                  </wps:cNvSpPr>
                                  <wps:spPr bwMode="auto">
                                    <a:xfrm>
                                      <a:off x="0" y="0"/>
                                      <a:ext cx="514985" cy="266065"/>
                                    </a:xfrm>
                                    <a:prstGeom prst="rect">
                                      <a:avLst/>
                                    </a:prstGeom>
                                    <a:noFill/>
                                    <a:ln w="9525" cmpd="sng">
                                      <a:solidFill>
                                        <a:srgbClr val="000000"/>
                                      </a:solidFill>
                                      <a:miter lim="800000"/>
                                    </a:ln>
                                    <a:effectLst/>
                                  </wps:spPr>
                                  <wps:txbx>
                                    <w:txbxContent>
                                      <w:p>
                                        <w:pPr>
                                          <w:spacing w:line="240" w:lineRule="auto"/>
                                          <w:ind w:firstLine="0" w:firstLineChars="0"/>
                                          <w:jc w:val="center"/>
                                          <w:rPr>
                                            <w:sz w:val="21"/>
                                            <w:szCs w:val="21"/>
                                          </w:rPr>
                                        </w:pPr>
                                        <w:r>
                                          <w:rPr>
                                            <w:rFonts w:hint="eastAsia"/>
                                            <w:sz w:val="21"/>
                                            <w:szCs w:val="21"/>
                                          </w:rPr>
                                          <w:t>烘干</w:t>
                                        </w:r>
                                      </w:p>
                                    </w:txbxContent>
                                  </wps:txbx>
                                  <wps:bodyPr rot="0" vert="horz" wrap="square" lIns="91440" tIns="45720" rIns="91440" bIns="45720" anchor="t" anchorCtr="0" upright="1">
                                    <a:noAutofit/>
                                  </wps:bodyPr>
                                </wps:wsp>
                              </a:graphicData>
                            </a:graphic>
                          </wp:anchor>
                        </w:drawing>
                      </mc:Choice>
                      <mc:Fallback>
                        <w:pict>
                          <v:shape id="文本框 554" o:spid="_x0000_s1026" o:spt="202" type="#_x0000_t202" style="position:absolute;left:0pt;margin-left:259.5pt;margin-top:1.75pt;height:20.95pt;width:40.55pt;z-index:251656192;mso-width-relative:page;mso-height-relative:page;" filled="f" stroked="t" coordsize="21600,21600" o:gfxdata="UEsDBAoAAAAAAIdO4kAAAAAAAAAAAAAAAAAEAAAAZHJzL1BLAwQUAAAACACHTuJAhz6DmtcAAAAI&#10;AQAADwAAAGRycy9kb3ducmV2LnhtbE2PzU7DMBCE70i8g7VI3KidpmlpiNMDhTuEAlcn3iYR8TqK&#10;3R94epZTOY5mdvabYnN2gzjiFHpPGpKZAoHUeNtTq2H39nx3DyJEQ9YMnlDDNwbYlNdXhcmtP9Er&#10;HqvYCi6hkBsNXYxjLmVoOnQmzPyIxN7eT85EllMr7WROXO4GOVdqKZ3piT90ZsTHDpuv6uAYY/65&#10;S7cvFa5Wpk63Tz/v6/3HoPXtTaIeQEQ8x0sY/vD5Bkpmqv2BbBCDhixZ85aoIc1AsL9UKgFRa1hk&#10;C5BlIf8PKH8BUEsDBBQAAAAIAIdO4kDMfehJSwIAAHoEAAAOAAAAZHJzL2Uyb0RvYy54bWytVM2O&#10;0zAQviPxDpbvNG3VlN2o6WpptQhp+ZEWHsB1nMTC9hjbbVIeAN6AExfuPNc+B2MnW6rlsgdyiOzM&#10;+Jtvvvmc1VWvFTkI5yWYks4mU0qE4VBJ05T008ebFxeU+MBMxRQYUdKj8PRq/fzZqrOFmEMLqhKO&#10;IIjxRWdL2oZgiyzzvBWa+QlYYTBYg9Ms4NY1WeVYh+haZfPpdJl14CrrgAvv8et2CNIR0T0FEOpa&#10;crEFvtfChAHVCcUCtuRbaT1dJ7Z1LXh4X9deBKJKip2G9MYiuN7Fd7ZesaJxzLaSjxTYUyg86kkz&#10;abDoCWrLAiN7J/+B0pI78FCHCQedDY0kRbCL2fSRNnctsyL1glJ7exLd/z9Y/u7wwRFZoRMWl5QY&#10;pnHk9z++3//8ff/rG8nzRZSos77AzDuLuaF/BT2mp3a9vQX+2RMDm5aZRlw7B10rWIUUZ/FkdnZ0&#10;wPERZNe9hQorsX2ABNTXTkf9UBGC6Die42k8og+E48ccKV7klHAMzZfL6TJPFVjxcNg6H14L0CQu&#10;Supw+gmcHW59iGRY8ZASaxm4kUolByhDupJe5vMIry3K4U0zdAhKVjEvnvCu2W2UIwcW7ZSekYI/&#10;T9My4BVRUpf04jxJmQgiki1HRlGeqMigTeh3/Sj3DqojCuVgsCxeWFy04L5S0qFdkeCXPXOCEvXG&#10;oNiXs8Ui+jttFvnLOW7ceWR3HmGGI1RJAyXDchOGO7G3TjYtVhrGa+AaB1TLJF6kOrAax4qWTJqO&#10;1yd6/nyfsv7+Mt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c+g5rXAAAACAEAAA8AAAAAAAAA&#10;AQAgAAAAIgAAAGRycy9kb3ducmV2LnhtbFBLAQIUABQAAAAIAIdO4kDMfehJSwIAAHoEAAAOAAAA&#10;AAAAAAEAIAAAACYBAABkcnMvZTJvRG9jLnhtbFBLBQYAAAAABgAGAFkBAADjBQAAAAA=&#10;">
                            <v:fill on="f" focussize="0,0"/>
                            <v:stroke color="#000000" miterlimit="8" joinstyle="miter"/>
                            <v:imagedata o:title=""/>
                            <o:lock v:ext="edit" aspectratio="f"/>
                            <v:textbox>
                              <w:txbxContent>
                                <w:p>
                                  <w:pPr>
                                    <w:spacing w:line="240" w:lineRule="auto"/>
                                    <w:ind w:firstLine="0" w:firstLineChars="0"/>
                                    <w:jc w:val="center"/>
                                    <w:rPr>
                                      <w:sz w:val="21"/>
                                      <w:szCs w:val="21"/>
                                    </w:rPr>
                                  </w:pPr>
                                  <w:r>
                                    <w:rPr>
                                      <w:rFonts w:hint="eastAsia"/>
                                      <w:sz w:val="21"/>
                                      <w:szCs w:val="21"/>
                                    </w:rPr>
                                    <w:t>烘干</w:t>
                                  </w:r>
                                </w:p>
                              </w:txbxContent>
                            </v:textbox>
                          </v:shape>
                        </w:pict>
                      </mc:Fallback>
                    </mc:AlternateContent>
                  </w:r>
                  <w:r>
                    <mc:AlternateContent>
                      <mc:Choice Requires="wps">
                        <w:drawing>
                          <wp:anchor distT="0" distB="0" distL="114300" distR="114300" simplePos="0" relativeHeight="251526144" behindDoc="1" locked="0" layoutInCell="1" allowOverlap="1">
                            <wp:simplePos x="0" y="0"/>
                            <wp:positionH relativeFrom="column">
                              <wp:posOffset>4562475</wp:posOffset>
                            </wp:positionH>
                            <wp:positionV relativeFrom="paragraph">
                              <wp:posOffset>151765</wp:posOffset>
                            </wp:positionV>
                            <wp:extent cx="179705" cy="635"/>
                            <wp:effectExtent l="0" t="37465" r="10795" b="38100"/>
                            <wp:wrapNone/>
                            <wp:docPr id="148" name="直线 561"/>
                            <wp:cNvGraphicFramePr/>
                            <a:graphic xmlns:a="http://schemas.openxmlformats.org/drawingml/2006/main">
                              <a:graphicData uri="http://schemas.microsoft.com/office/word/2010/wordprocessingShape">
                                <wps:wsp>
                                  <wps:cNvCnPr>
                                    <a:cxnSpLocks noChangeShapeType="1"/>
                                  </wps:cNvCnPr>
                                  <wps:spPr bwMode="auto">
                                    <a:xfrm>
                                      <a:off x="0" y="0"/>
                                      <a:ext cx="179705" cy="635"/>
                                    </a:xfrm>
                                    <a:prstGeom prst="line">
                                      <a:avLst/>
                                    </a:prstGeom>
                                    <a:noFill/>
                                    <a:ln w="9525" cmpd="sng">
                                      <a:solidFill>
                                        <a:srgbClr val="000000"/>
                                      </a:solidFill>
                                      <a:round/>
                                      <a:headEnd type="none"/>
                                      <a:tailEnd type="triangle" w="med" len="med"/>
                                    </a:ln>
                                  </wps:spPr>
                                  <wps:bodyPr/>
                                </wps:wsp>
                              </a:graphicData>
                            </a:graphic>
                          </wp:anchor>
                        </w:drawing>
                      </mc:Choice>
                      <mc:Fallback>
                        <w:pict>
                          <v:line id="直线 561" o:spid="_x0000_s1026" o:spt="20" style="position:absolute;left:0pt;margin-left:359.25pt;margin-top:11.95pt;height:0.05pt;width:14.15pt;z-index:-251790336;mso-width-relative:page;mso-height-relative:page;" filled="f" stroked="t" coordsize="21600,21600" o:gfxdata="UEsDBAoAAAAAAIdO4kAAAAAAAAAAAAAAAAAEAAAAZHJzL1BLAwQUAAAACACHTuJAMfTi59oAAAAJ&#10;AQAADwAAAGRycy9kb3ducmV2LnhtbE2PwU7DMAyG70i8Q2QkbiztGFspTXdAGpeNoW0IwS1rTFvR&#10;OFWSbuXtMSc42v70+/uL5Wg7cUIfWkcK0kkCAqlypqVawethdZOBCFGT0Z0jVPCNAZbl5UWhc+PO&#10;tMPTPtaCQyjkWkETY59LGaoGrQ4T1yPx7dN5qyOPvpbG6zOH205Ok2QurW6JPzS6x8cGq6/9YBXs&#10;Nqt19rYexsp/PKXbw8vm+T1kSl1fpckDiIhj/IPhV5/VoWSnoxvIBNEpWKTZHaMKprf3IBhYzObc&#10;5ciLWQKyLOT/BuUPUEsDBBQAAAAIAIdO4kDJd8O/BQIAAPcDAAAOAAAAZHJzL2Uyb0RvYy54bWyt&#10;U8Fy2yAQvXem/8BwryW7tdNoLOdgN72krWeSfgAGJDEBlgFs2d/S3+ipl35OfiMLsp0mveQQHTSw&#10;7D7ee7vMr/ZGk530QYGt6XhUUiItB6FsW9Ofd9cfPlMSIrOCabCypgcZ6NXi/bt57yo5gQ60kJ4g&#10;iA1V72raxeiqogi8k4aFEThp8bABb1jErW8L4VmP6EYXk7KcFT144TxwGQJGV8MhPSL61wBC0ygu&#10;V8C3Rto4oHqpWURJoVMu0EVm2zSSxx9NE2QkuqaoNOY/XoLrTfoXizmrWs9cp/iRAnsNhReaDFMW&#10;Lz1DrVhkZOvVf1BGcQ8BmjjiYIpBSHYEVYzLF97cdszJrAWtDu5seng7WP59t/ZECZyET9h4ywy2&#10;/OHX74c/f8l0Nk7+9C5UmLa0a58U8r29dTfA7wOxsOyYbWXmeXdwWJorimclaRMc3rLpv4HAHLaN&#10;kM3aN94kSLSB7HNPDueeyH0kHIPji8uLckoJx6PZx2kiVLDqVOl8iF8lGJIWNdXKJr9YxXY3IQ6p&#10;p5QUtnCttM4915b0Nb2cThK2cWhAsG2uDaCVSHmpIvh2s9Se7FgaoPwdKTxL87C1IuN2kokvVpCY&#10;7bD4hIYZi0zpp3j0Co3TkiYSRgpKtMTXmFYDa21R58m5oQcbEIe1T8cpjvOQnTjObhq4f/c56+m9&#10;Lh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fTi59oAAAAJAQAADwAAAAAAAAABACAAAAAiAAAA&#10;ZHJzL2Rvd25yZXYueG1sUEsBAhQAFAAAAAgAh07iQMl3w78FAgAA9wMAAA4AAAAAAAAAAQAgAAAA&#10;KQ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55168" behindDoc="0" locked="0" layoutInCell="1" allowOverlap="1">
                            <wp:simplePos x="0" y="0"/>
                            <wp:positionH relativeFrom="column">
                              <wp:posOffset>3105150</wp:posOffset>
                            </wp:positionH>
                            <wp:positionV relativeFrom="paragraph">
                              <wp:posOffset>142240</wp:posOffset>
                            </wp:positionV>
                            <wp:extent cx="179705" cy="635"/>
                            <wp:effectExtent l="0" t="37465" r="10795" b="38100"/>
                            <wp:wrapNone/>
                            <wp:docPr id="147" name="直线 555"/>
                            <wp:cNvGraphicFramePr/>
                            <a:graphic xmlns:a="http://schemas.openxmlformats.org/drawingml/2006/main">
                              <a:graphicData uri="http://schemas.microsoft.com/office/word/2010/wordprocessingShape">
                                <wps:wsp>
                                  <wps:cNvCnPr>
                                    <a:cxnSpLocks noChangeShapeType="1"/>
                                  </wps:cNvCnPr>
                                  <wps:spPr bwMode="auto">
                                    <a:xfrm>
                                      <a:off x="0" y="0"/>
                                      <a:ext cx="179705" cy="635"/>
                                    </a:xfrm>
                                    <a:prstGeom prst="line">
                                      <a:avLst/>
                                    </a:prstGeom>
                                    <a:noFill/>
                                    <a:ln w="9525" cmpd="sng">
                                      <a:solidFill>
                                        <a:srgbClr val="000000"/>
                                      </a:solidFill>
                                      <a:round/>
                                      <a:headEnd type="none"/>
                                      <a:tailEnd type="triangle" w="med" len="med"/>
                                    </a:ln>
                                    <a:effectLst/>
                                  </wps:spPr>
                                  <wps:bodyPr/>
                                </wps:wsp>
                              </a:graphicData>
                            </a:graphic>
                          </wp:anchor>
                        </w:drawing>
                      </mc:Choice>
                      <mc:Fallback>
                        <w:pict>
                          <v:line id="直线 555" o:spid="_x0000_s1026" o:spt="20" style="position:absolute;left:0pt;margin-left:244.5pt;margin-top:11.2pt;height:0.05pt;width:14.15pt;z-index:251655168;mso-width-relative:page;mso-height-relative:page;" filled="f" stroked="t" coordsize="21600,21600" o:gfxdata="UEsDBAoAAAAAAIdO4kAAAAAAAAAAAAAAAAAEAAAAZHJzL1BLAwQUAAAACACHTuJAXBLCkdsAAAAJ&#10;AQAADwAAAGRycy9kb3ducmV2LnhtbE2PzW7CMBCE75X6DtZW6q04SaFNQxwOSPQCpeJHqNxMvE2i&#10;xuvIdiB9e8ypPc7OaPabfDbolp3RusaQgHgUAUMqjWqoErDfLZ5SYM5LUrI1hAJ+0cGsuL/LZabM&#10;hTZ43vqKhRJymRRQe99lnLuyRi3dyHRIwfs2VksfpK24svISynXLkyh64Vo2FD7UssN5jeXPttcC&#10;NqvFMj0s+6G0x/d4vftcfXy5VIjHhziaAvM4+L8w3PADOhSB6WR6Uo61AsbpW9jiBSTJGFgITOLX&#10;Z2Cn22ECvMj5/wXFFVBLAwQUAAAACACHTuJArk3Q8gwCAAAFBAAADgAAAGRycy9lMm9Eb2MueG1s&#10;rVNLchMxEN1TxR1U2uOxDU7IlMdZ2IRNAFclHECWejwqJLVKkj32WbgGKzYcJ9dIS/4khE0WzGJK&#10;6s/rfq9b0+udNWwLIWp0DR8NhpyBk6i0Wzf8+/3Nu4+cxSScEgYdNHwPkV/P3r6Z9r6GMXZoFARG&#10;IC7WvW94l5KvqyrKDqyIA/TgyNlisCLRNawrFURP6NZU4+HwouoxKB9QQoxkXRyc/IgYXgOIbasl&#10;LFBuLLh0QA1gRCJKsdM+8lnptm1Bpm9tGyEx03BimsqfitB5lf/VbCrqdRC+0/LYgnhNCy84WaEd&#10;FT1DLUQSbBP0P1BWy4AR2zSQaKsDkaIIsRgNX2hz1wkPhQtJHf1Z9Pj/YOXX7TIwrWgTPlxy5oSl&#10;kT/8/PXw+w+bTCZZn97HmsLmbhkyQ7lzd/4W5Y/IHM474dZQ+rzfe0od5Yzqr5R8iZ6qrPovqChG&#10;bBIWsXZtsBmSZGC7MpP9eSawS0yScXR5dTmccCbJdfG+NFSJ+pTpQ0yfAS3Lh4Yb7bJeohbb25hy&#10;J6I+hWSzwxttTJm5caxv+NVknLGtJwGiW5fciEarHJczYliv5iawrcgLVL7CkDzPwwJunCq4HQj1&#10;ySmWihyOntBhx5LQ5smegibhDPDchAXFmQF6jfl06Nq4XB3KBh+pnHQ8TGSFar8MOTjbaTsK2eMm&#10;5/V7fi9RT6939gh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cEsKR2wAAAAkBAAAPAAAAAAAAAAEA&#10;IAAAACIAAABkcnMvZG93bnJldi54bWxQSwECFAAUAAAACACHTuJArk3Q8gwCAAAFBAAADgAAAAAA&#10;AAABACAAAAAqAQAAZHJzL2Uyb0RvYy54bWxQSwUGAAAAAAYABgBZAQAAq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51072" behindDoc="0" locked="0" layoutInCell="1" allowOverlap="1">
                            <wp:simplePos x="0" y="0"/>
                            <wp:positionH relativeFrom="column">
                              <wp:posOffset>1581150</wp:posOffset>
                            </wp:positionH>
                            <wp:positionV relativeFrom="paragraph">
                              <wp:posOffset>41275</wp:posOffset>
                            </wp:positionV>
                            <wp:extent cx="514985" cy="266065"/>
                            <wp:effectExtent l="9525" t="12700" r="8890" b="6985"/>
                            <wp:wrapNone/>
                            <wp:docPr id="143" name="文本框 551"/>
                            <wp:cNvGraphicFramePr/>
                            <a:graphic xmlns:a="http://schemas.openxmlformats.org/drawingml/2006/main">
                              <a:graphicData uri="http://schemas.microsoft.com/office/word/2010/wordprocessingShape">
                                <wps:wsp>
                                  <wps:cNvSpPr txBox="1">
                                    <a:spLocks noChangeArrowheads="1"/>
                                  </wps:cNvSpPr>
                                  <wps:spPr bwMode="auto">
                                    <a:xfrm>
                                      <a:off x="0" y="0"/>
                                      <a:ext cx="514985" cy="266065"/>
                                    </a:xfrm>
                                    <a:prstGeom prst="rect">
                                      <a:avLst/>
                                    </a:prstGeom>
                                    <a:noFill/>
                                    <a:ln w="9525" cmpd="sng">
                                      <a:solidFill>
                                        <a:srgbClr val="000000"/>
                                      </a:solidFill>
                                      <a:miter lim="800000"/>
                                    </a:ln>
                                    <a:effectLst/>
                                  </wps:spPr>
                                  <wps:txbx>
                                    <w:txbxContent>
                                      <w:p>
                                        <w:pPr>
                                          <w:spacing w:line="240" w:lineRule="auto"/>
                                          <w:ind w:firstLine="0" w:firstLineChars="0"/>
                                          <w:jc w:val="center"/>
                                          <w:rPr>
                                            <w:sz w:val="21"/>
                                            <w:szCs w:val="21"/>
                                          </w:rPr>
                                        </w:pPr>
                                        <w:r>
                                          <w:rPr>
                                            <w:rFonts w:hint="eastAsia"/>
                                            <w:sz w:val="21"/>
                                            <w:szCs w:val="21"/>
                                          </w:rPr>
                                          <w:t>组装</w:t>
                                        </w:r>
                                      </w:p>
                                    </w:txbxContent>
                                  </wps:txbx>
                                  <wps:bodyPr rot="0" vert="horz" wrap="square" lIns="91440" tIns="45720" rIns="91440" bIns="45720" anchor="t" anchorCtr="0" upright="1">
                                    <a:noAutofit/>
                                  </wps:bodyPr>
                                </wps:wsp>
                              </a:graphicData>
                            </a:graphic>
                          </wp:anchor>
                        </w:drawing>
                      </mc:Choice>
                      <mc:Fallback>
                        <w:pict>
                          <v:shape id="文本框 551" o:spid="_x0000_s1026" o:spt="202" type="#_x0000_t202" style="position:absolute;left:0pt;margin-left:124.5pt;margin-top:3.25pt;height:20.95pt;width:40.55pt;z-index:251651072;mso-width-relative:page;mso-height-relative:page;" filled="f" stroked="t" coordsize="21600,21600" o:gfxdata="UEsDBAoAAAAAAIdO4kAAAAAAAAAAAAAAAAAEAAAAZHJzL1BLAwQUAAAACACHTuJAyTrKTtYAAAAI&#10;AQAADwAAAGRycy9kb3ducmV2LnhtbE2PS0/DMBCE70j8B2uRuFE7D/pI4/RA4Q6h0KsTb5MIP6LY&#10;fcCvZzmV42hmZ78pNxdr2AmnMHgnIZkJYOharwfXSdi9vzwsgYWonFbGO5TwjQE21e1NqQrtz+4N&#10;T3XsGJW4UCgJfYxjwXloe7QqzPyIjryDn6yKJKeO60mdqdwangox51YNjj70asSnHtuv+mgJI93v&#10;su1rjYuFarLt88/H6vBppLy/S8QaWMRLvIbhD59uoCKmxh+dDsxISPMVbYkS5o/AyM8ykQBrJOTL&#10;HHhV8v8Dql9QSwMEFAAAAAgAh07iQO2euqVMAgAAegQAAA4AAABkcnMvZTJvRG9jLnhtbK1UzW4T&#10;MRC+I/EOlu90k5ANadRNVVoVIZUfqfAAjte7a2F7zNjJbnkA+gacuHDnufocjL1picqlB/ZgeTzj&#10;b775Zrwnp4M1bKcwaHAVnx5NOFNOQq1dW/HPny5fLDkLUbhaGHCq4jcq8NP182cnvV+pGXRgaoWM&#10;QFxY9b7iXYx+VRRBdsqKcAReOXI2gFZEMrEtahQ9oVtTzCaTRdED1h5BqhDo9GJ08j0iPgUQmkZL&#10;dQFya5WLIyoqIyKVFDrtA19ntk2jZPzQNEFFZipOlca8UhLab9JarE/EqkXhOy33FMRTKDyqyQrt&#10;KOkD1IWIgm1R/wNltUQI0MQjCbYYC8mKUBXTySNtrjvhVa6FpA7+QfTw/2Dl+91HZLqmSZi/5MwJ&#10;Sy2/+3F79/P33a/vrCynSaLehxVFXnuKjcNrGCg8lxv8FcgvgTk474Rr1Rki9J0SNVHMN4uDqyNO&#10;SCCb/h3UlElsI2SgoUGb9CNFGKFTe24e2qOGyCQdltP58bLkTJJrtlhMFmXiVojV/WWPIb5RYFna&#10;VByp+xlc7K5CHEPvQ1IuB5famDwBxrG+4sflLMFbT3IE144VgtF1iks3Arabc4NsJ9I45W9PIRyG&#10;WR3piRhtK748DDIugag8lntGSZ6kyKhNHDbDXu4N1DckFMI4svRgadMBfuOsp3Elgl+3AhVn5q0j&#10;sY+n83ma72zMy1czMvDQszn0CCcJquKRs3F7Hsc3sfWo244yje11cEYNanQWL1EdWZHoyaCRzPLv&#10;n0+a+UM7R/39Za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Mk6yk7WAAAACAEAAA8AAAAAAAAA&#10;AQAgAAAAIgAAAGRycy9kb3ducmV2LnhtbFBLAQIUABQAAAAIAIdO4kDtnrqlTAIAAHoEAAAOAAAA&#10;AAAAAAEAIAAAACUBAABkcnMvZTJvRG9jLnhtbFBLBQYAAAAABgAGAFkBAADjBQAAAAA=&#10;">
                            <v:fill on="f" focussize="0,0"/>
                            <v:stroke color="#000000" miterlimit="8" joinstyle="miter"/>
                            <v:imagedata o:title=""/>
                            <o:lock v:ext="edit" aspectratio="f"/>
                            <v:textbox>
                              <w:txbxContent>
                                <w:p>
                                  <w:pPr>
                                    <w:spacing w:line="240" w:lineRule="auto"/>
                                    <w:ind w:firstLine="0" w:firstLineChars="0"/>
                                    <w:jc w:val="center"/>
                                    <w:rPr>
                                      <w:sz w:val="21"/>
                                      <w:szCs w:val="21"/>
                                    </w:rPr>
                                  </w:pPr>
                                  <w:r>
                                    <w:rPr>
                                      <w:rFonts w:hint="eastAsia"/>
                                      <w:sz w:val="21"/>
                                      <w:szCs w:val="21"/>
                                    </w:rPr>
                                    <w:t>组装</w:t>
                                  </w:r>
                                </w:p>
                              </w:txbxContent>
                            </v:textbox>
                          </v:shape>
                        </w:pict>
                      </mc:Fallback>
                    </mc:AlternateContent>
                  </w:r>
                </w:p>
                <w:p>
                  <w:pPr>
                    <w:pStyle w:val="71"/>
                    <w:spacing w:afterLines="0"/>
                  </w:pPr>
                  <w:r>
                    <mc:AlternateContent>
                      <mc:Choice Requires="wps">
                        <w:drawing>
                          <wp:anchor distT="0" distB="0" distL="114300" distR="114300" simplePos="0" relativeHeight="251791360" behindDoc="0" locked="0" layoutInCell="1" allowOverlap="1">
                            <wp:simplePos x="0" y="0"/>
                            <wp:positionH relativeFrom="column">
                              <wp:posOffset>2628900</wp:posOffset>
                            </wp:positionH>
                            <wp:positionV relativeFrom="paragraph">
                              <wp:posOffset>147955</wp:posOffset>
                            </wp:positionV>
                            <wp:extent cx="111125" cy="106680"/>
                            <wp:effectExtent l="3175" t="3175" r="0" b="4445"/>
                            <wp:wrapNone/>
                            <wp:docPr id="72" name="直线 678"/>
                            <wp:cNvGraphicFramePr/>
                            <a:graphic xmlns:a="http://schemas.openxmlformats.org/drawingml/2006/main">
                              <a:graphicData uri="http://schemas.microsoft.com/office/word/2010/wordprocessingShape">
                                <wps:wsp>
                                  <wps:cNvCnPr>
                                    <a:cxnSpLocks noChangeShapeType="1"/>
                                  </wps:cNvCnPr>
                                  <wps:spPr bwMode="auto">
                                    <a:xfrm>
                                      <a:off x="0" y="0"/>
                                      <a:ext cx="111125" cy="106680"/>
                                    </a:xfrm>
                                    <a:prstGeom prst="line">
                                      <a:avLst/>
                                    </a:prstGeom>
                                    <a:noFill/>
                                    <a:ln w="9525" cmpd="sng">
                                      <a:solidFill>
                                        <a:srgbClr val="000000"/>
                                      </a:solidFill>
                                      <a:prstDash val="dash"/>
                                      <a:round/>
                                      <a:headEnd type="none"/>
                                      <a:tailEnd type="triangle" w="med" len="med"/>
                                    </a:ln>
                                  </wps:spPr>
                                  <wps:bodyPr/>
                                </wps:wsp>
                              </a:graphicData>
                            </a:graphic>
                          </wp:anchor>
                        </w:drawing>
                      </mc:Choice>
                      <mc:Fallback>
                        <w:pict>
                          <v:line id="直线 678" o:spid="_x0000_s1026" o:spt="20" style="position:absolute;left:0pt;margin-left:207pt;margin-top:11.65pt;height:8.4pt;width:8.75pt;z-index:251791360;mso-width-relative:page;mso-height-relative:page;" filled="f" stroked="t" coordsize="21600,21600" o:gfxdata="UEsDBAoAAAAAAIdO4kAAAAAAAAAAAAAAAAAEAAAAZHJzL1BLAwQUAAAACACHTuJAC6aWftoAAAAJ&#10;AQAADwAAAGRycy9kb3ducmV2LnhtbE2PS0/DMBCE70j8B2uRuCBqu0krFOJUiMeJA23gwHEbb5NA&#10;vI5i9wG/HnOC26xmNPtNuTq5QRxoCr1nA3qmQBA33vbcGnh7fbq+AREissXBMxn4ogCr6vysxML6&#10;I2/oUMdWpBIOBRroYhwLKUPTkcMw8yNx8nZ+chjTObXSTnhM5W6Qc6WW0mHP6UOHI9131HzWe2dg&#10;+f6Cd7t6vViPm8cmq78f/NXzhzGXF1rdgoh0in9h+MVP6FAlpq3fsw1iMJDrPG2JBuZZBiIF8kwv&#10;QGyTUBpkVcr/C6ofUEsDBBQAAAAIAIdO4kBwtuHdEQIAABEEAAAOAAAAZHJzL2Uyb0RvYy54bWyt&#10;U0tuGzEM3RfoHQTt67ENxHEHHmdhN92kbYAkB6AljUeofhBlj32WXqOrbnqcXKOUxnHSdJNFtRAk&#10;kXzke6QWVwdr2F5F1N41fDIac6ac8FK7bcMf7q8/zDnDBE6C8U41/KiQXy3fv1v0oVZT33kjVWQE&#10;4rDuQ8O7lEJdVSg6ZQFHPihHxtZHC4mucVvJCD2hW1NNx+NZ1fsoQ/RCIdLrejDyE2J8C6BvWy3U&#10;2oudVS4NqFEZSEQJOx2QL0u1batE+ta2qBIzDSemqeyUhM6bvFfLBdTbCKHT4lQCvKWEV5wsaEdJ&#10;z1BrSMB2Uf8DZbWIHn2bRsLbaiBSFCEWk/Erbe46CKpwIakxnEXH/wcrvu5vI9Oy4ZdTzhxY6vjj&#10;j5+Pv36z2eU8y9MHrMlr5W5jJigO7i7cePEdmfOrDtxWlTLvj4FCJzmi+iskXzBQkk3/xUvygV3y&#10;RatDG22GJBXYobTkeG6JOiQm6HFCa3rBmSDTZDybzUvLKqifgkPE9Fl5y/Kh4Ua7rBjUsL/BlIuB&#10;+sklPzt/rY0pXTeO9Q3/eFHgbSAJ0G1LLHqjZfbLERi3m5WJbA95hMoqJMny0i0nWQN2g5+k0zBb&#10;0e+cLPk6BfKTkywVpRx9rsEjgTbP7ylq0tQonouzSnJmFP3TfBrYGHdSOIs6tGfj5fE2ZnMWmyal&#10;0D5NdR7Fl/fi9fyTl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6aWftoAAAAJAQAADwAAAAAA&#10;AAABACAAAAAiAAAAZHJzL2Rvd25yZXYueG1sUEsBAhQAFAAAAAgAh07iQHC24d0RAgAAEQQAAA4A&#10;AAAAAAAAAQAgAAAAKQEAAGRycy9lMm9Eb2MueG1sUEsFBgAAAAAGAAYAWQEAAKwFAAAAAA==&#10;">
                            <v:fill on="f" focussize="0,0"/>
                            <v:stroke color="#000000" joinstyle="round" dashstyle="dash" endarrow="block"/>
                            <v:imagedata o:title=""/>
                            <o:lock v:ext="edit" aspectratio="f"/>
                          </v:line>
                        </w:pict>
                      </mc:Fallback>
                    </mc:AlternateContent>
                  </w:r>
                  <w:r>
                    <mc:AlternateContent>
                      <mc:Choice Requires="wps">
                        <w:drawing>
                          <wp:anchor distT="0" distB="0" distL="114300" distR="114300" simplePos="0" relativeHeight="251653120" behindDoc="0" locked="0" layoutInCell="1" allowOverlap="1">
                            <wp:simplePos x="0" y="0"/>
                            <wp:positionH relativeFrom="column">
                              <wp:posOffset>2133600</wp:posOffset>
                            </wp:positionH>
                            <wp:positionV relativeFrom="paragraph">
                              <wp:posOffset>17780</wp:posOffset>
                            </wp:positionV>
                            <wp:extent cx="179705" cy="635"/>
                            <wp:effectExtent l="0" t="37465" r="10795" b="38100"/>
                            <wp:wrapNone/>
                            <wp:docPr id="142" name="直线 553"/>
                            <wp:cNvGraphicFramePr/>
                            <a:graphic xmlns:a="http://schemas.openxmlformats.org/drawingml/2006/main">
                              <a:graphicData uri="http://schemas.microsoft.com/office/word/2010/wordprocessingShape">
                                <wps:wsp>
                                  <wps:cNvCnPr>
                                    <a:cxnSpLocks noChangeShapeType="1"/>
                                  </wps:cNvCnPr>
                                  <wps:spPr bwMode="auto">
                                    <a:xfrm>
                                      <a:off x="0" y="0"/>
                                      <a:ext cx="179705" cy="635"/>
                                    </a:xfrm>
                                    <a:prstGeom prst="line">
                                      <a:avLst/>
                                    </a:prstGeom>
                                    <a:noFill/>
                                    <a:ln w="9525" cmpd="sng">
                                      <a:solidFill>
                                        <a:srgbClr val="000000"/>
                                      </a:solidFill>
                                      <a:round/>
                                      <a:headEnd type="none"/>
                                      <a:tailEnd type="triangle" w="med" len="med"/>
                                    </a:ln>
                                    <a:effectLst/>
                                  </wps:spPr>
                                  <wps:bodyPr/>
                                </wps:wsp>
                              </a:graphicData>
                            </a:graphic>
                          </wp:anchor>
                        </w:drawing>
                      </mc:Choice>
                      <mc:Fallback>
                        <w:pict>
                          <v:line id="直线 553" o:spid="_x0000_s1026" o:spt="20" style="position:absolute;left:0pt;margin-left:168pt;margin-top:1.4pt;height:0.05pt;width:14.15pt;z-index:251653120;mso-width-relative:page;mso-height-relative:page;" filled="f" stroked="t" coordsize="21600,21600" o:gfxdata="UEsDBAoAAAAAAIdO4kAAAAAAAAAAAAAAAAAEAAAAZHJzL1BLAwQUAAAACACHTuJATKXrudcAAAAH&#10;AQAADwAAAGRycy9kb3ducmV2LnhtbE2PwU7DMBBE70j8g7VI3KiTBkUhxOkBqVxaQG0RgpsbL0lE&#10;vI5spw1/z3KC42hGM2+q1WwHcUIfekcK0kUCAqlxpqdWwethfVOACFGT0YMjVPCNAVb15UWlS+PO&#10;tMPTPraCSyiUWkEX41hKGZoOrQ4LNyKx9+m81ZGlb6Xx+szldpDLJMml1T3xQqdHfOiw+dpPVsFu&#10;u94Ub5tpbvzHY/p8eNk+vYdCqeurNLkHEXGOf2H4xWd0qJnp6CYyQQwKsiznL1HBkh+wn+W3GYgj&#10;6zuQdSX/89c/UEsDBBQAAAAIAIdO4kBUmCYYCwIAAAUEAAAOAAAAZHJzL2Uyb0RvYy54bWytU0ty&#10;EzEQ3VPFHVTa47EdnJApj7OwCZsArko4QFvSeFRIapUke+yzcA1WbDhOrkFL/oSETRbMYkpqvX7q&#10;97o1vdlZw7YqRI2u4aPBkDPlBErt1g3/9nD77gNnMYGTYNCphu9V5Dezt2+mva/VGDs0UgVGJC7W&#10;vW94l5KvqyqKTlmIA/TK0WGLwUKibVhXMkBP7NZU4+HwsuoxSB9QqBgpujgc8iNjeA0htq0WaoFi&#10;Y5VLB9agDCSSFDvtI5+VattWifS1baNKzDSclKbyp0tovcr/ajaFeh3Ad1ocS4DXlPBCkwXt6NIz&#10;1QISsE3Q/1BZLQJGbNNAoK0OQoojpGI0fOHNfQdeFS1kdfRn0+P/oxVftsvAtKRJeD/mzIGllj/+&#10;+Pn46zebTC6yP72PNcHmbhmyQrFz9/4OxffIHM47cGtV6nzYe0od5YzqWUreRE+3rPrPKAkDm4TF&#10;rF0bbKYkG9iu9GR/7onaJSYoOLq6vhpOOBN0dHkxKfRQnzJ9iOmTQsvyouFGu+wX1LC9iylXAvUJ&#10;ksMOb7UxpefGsb7h15Nx5raeDIhuXXIjGi0zLmfEsF7NTWBbyANUvmMJz2ABN04W3k6B/OgkS8UO&#10;R08o46FOoM1TPAVNxhnFcxFWSc6MoteYV4eqjctJqkzwUcrJx0NHVij3y5DBOU7TUcQeJzmP39/7&#10;gnp6vb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KXrudcAAAAHAQAADwAAAAAAAAABACAAAAAi&#10;AAAAZHJzL2Rvd25yZXYueG1sUEsBAhQAFAAAAAgAh07iQFSYJhgLAgAABQQAAA4AAAAAAAAAAQAg&#10;AAAAJgEAAGRycy9lMm9Eb2MueG1sUEsFBgAAAAAGAAYAWQEAAKM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57216" behindDoc="0" locked="0" layoutInCell="1" allowOverlap="1">
                            <wp:simplePos x="0" y="0"/>
                            <wp:positionH relativeFrom="column">
                              <wp:posOffset>3848100</wp:posOffset>
                            </wp:positionH>
                            <wp:positionV relativeFrom="paragraph">
                              <wp:posOffset>8255</wp:posOffset>
                            </wp:positionV>
                            <wp:extent cx="179705" cy="635"/>
                            <wp:effectExtent l="0" t="37465" r="10795" b="38100"/>
                            <wp:wrapNone/>
                            <wp:docPr id="141" name="直线 559"/>
                            <wp:cNvGraphicFramePr/>
                            <a:graphic xmlns:a="http://schemas.openxmlformats.org/drawingml/2006/main">
                              <a:graphicData uri="http://schemas.microsoft.com/office/word/2010/wordprocessingShape">
                                <wps:wsp>
                                  <wps:cNvCnPr>
                                    <a:cxnSpLocks noChangeShapeType="1"/>
                                  </wps:cNvCnPr>
                                  <wps:spPr bwMode="auto">
                                    <a:xfrm>
                                      <a:off x="0" y="0"/>
                                      <a:ext cx="179705" cy="635"/>
                                    </a:xfrm>
                                    <a:prstGeom prst="line">
                                      <a:avLst/>
                                    </a:prstGeom>
                                    <a:noFill/>
                                    <a:ln w="9525" cmpd="sng">
                                      <a:solidFill>
                                        <a:srgbClr val="000000"/>
                                      </a:solidFill>
                                      <a:round/>
                                      <a:headEnd type="none"/>
                                      <a:tailEnd type="triangle" w="med" len="med"/>
                                    </a:ln>
                                    <a:effectLst/>
                                  </wps:spPr>
                                  <wps:bodyPr/>
                                </wps:wsp>
                              </a:graphicData>
                            </a:graphic>
                          </wp:anchor>
                        </w:drawing>
                      </mc:Choice>
                      <mc:Fallback>
                        <w:pict>
                          <v:line id="直线 559" o:spid="_x0000_s1026" o:spt="20" style="position:absolute;left:0pt;margin-left:303pt;margin-top:0.65pt;height:0.05pt;width:14.15pt;z-index:251657216;mso-width-relative:page;mso-height-relative:page;" filled="f" stroked="t" coordsize="21600,21600" o:gfxdata="UEsDBAoAAAAAAIdO4kAAAAAAAAAAAAAAAAAEAAAAZHJzL1BLAwQUAAAACACHTuJA3uUxCdcAAAAH&#10;AQAADwAAAGRycy9kb3ducmV2LnhtbE2PwU7DMAyG70i8Q2Qkbiwpm6qqa7oD0rhsgLYhxG5ZY9qK&#10;xqmadCtvjzmNm3991u/PxWpynTjjEFpPGpKZAoFUedtSreH9sH7IQIRoyJrOE2r4wQCr8vamMLn1&#10;F9rheR9rwSUUcqOhibHPpQxVg86Eme+RmH35wZnIcailHcyFy10nH5VKpTMt8YXG9PjUYPW9H52G&#10;3Xa9yT4241QNx+fk9fC2ffkMmdb3d4lagog4xesy/OmzOpTsdPIj2SA6DalK+ZfIYA6CeTpf8HDi&#10;vABZFvK/f/kLUEsDBBQAAAAIAIdO4kDMdJxtCwIAAAUEAAAOAAAAZHJzL2Uyb0RvYy54bWytU0ty&#10;EzEQ3VPFHVTak7ENTvCUx1nYhE0AVyUcoC31eFToV5Lssc/CNVix4Ti5RlryJyRssmAWU1Lr9VO/&#10;163p9c5otsUQlbMNH14MOEMrnFR23fDv9zfvPnIWE1gJ2lls+B4jv569fTPtfY0j1zktMTAisbHu&#10;fcO7lHxdVVF0aCBeOI+WDlsXDCTahnUlA/TEbnQ1Ggwuq94F6YMTGCNFF4dDfmQMryF0basELpzY&#10;GLTpwBpQQyJJsVM+8lmptm1RpG9tGzEx3XBSmsqfLqH1Kv+r2RTqdQDfKXEsAV5TwgtNBpSlS89U&#10;C0jANkH9Q2WUCC66Nl0IZ6qDkOIIqRgOXnhz14HHooWsjv5sevx/tOLrdhmYkjQJH4acWTDU8oef&#10;vx5+/2Hj8ST70/tYE2xulyErFDt752+d+BGZdfMO7BpLnfd7T6nDnFE9S8mb6OmWVf/FScLAJrli&#10;1q4NJlOSDWxXerI/9wR3iQkKDq8mV4MxZ4KOLt+PCz3Up0wfYvqMzrC8aLhWNvsFNWxvY8qVQH2C&#10;5LB1N0rr0nNtWd/wyXiUuY0nA6Jdl9zotJIZlzNiWK/mOrAt5AEq37GEZ7DgNlYW3g5BfrKSpWKH&#10;pSeU8VAnUPopnoIi4zTyXIRByZlGeo15daha25yEZYKPUk4+HjqycnK/DBmc4zQdRexxkvP4/b0v&#10;qKfXO3s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uUxCdcAAAAHAQAADwAAAAAAAAABACAAAAAi&#10;AAAAZHJzL2Rvd25yZXYueG1sUEsBAhQAFAAAAAgAh07iQMx0nG0LAgAABQQAAA4AAAAAAAAAAQAg&#10;AAAAJgEAAGRycy9lMm9Eb2MueG1sUEsFBgAAAAAGAAYAWQEAAKM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52096" behindDoc="0" locked="0" layoutInCell="1" allowOverlap="1">
                            <wp:simplePos x="0" y="0"/>
                            <wp:positionH relativeFrom="column">
                              <wp:posOffset>1381125</wp:posOffset>
                            </wp:positionH>
                            <wp:positionV relativeFrom="paragraph">
                              <wp:posOffset>27305</wp:posOffset>
                            </wp:positionV>
                            <wp:extent cx="179705" cy="635"/>
                            <wp:effectExtent l="0" t="37465" r="10795" b="38100"/>
                            <wp:wrapNone/>
                            <wp:docPr id="140" name="直线 550"/>
                            <wp:cNvGraphicFramePr/>
                            <a:graphic xmlns:a="http://schemas.openxmlformats.org/drawingml/2006/main">
                              <a:graphicData uri="http://schemas.microsoft.com/office/word/2010/wordprocessingShape">
                                <wps:wsp>
                                  <wps:cNvCnPr>
                                    <a:cxnSpLocks noChangeShapeType="1"/>
                                  </wps:cNvCnPr>
                                  <wps:spPr bwMode="auto">
                                    <a:xfrm>
                                      <a:off x="0" y="0"/>
                                      <a:ext cx="179705" cy="635"/>
                                    </a:xfrm>
                                    <a:prstGeom prst="line">
                                      <a:avLst/>
                                    </a:prstGeom>
                                    <a:noFill/>
                                    <a:ln w="9525" cmpd="sng">
                                      <a:solidFill>
                                        <a:srgbClr val="000000"/>
                                      </a:solidFill>
                                      <a:round/>
                                      <a:headEnd type="none"/>
                                      <a:tailEnd type="triangle" w="med" len="med"/>
                                    </a:ln>
                                    <a:effectLst/>
                                  </wps:spPr>
                                  <wps:bodyPr/>
                                </wps:wsp>
                              </a:graphicData>
                            </a:graphic>
                          </wp:anchor>
                        </w:drawing>
                      </mc:Choice>
                      <mc:Fallback>
                        <w:pict>
                          <v:line id="直线 550" o:spid="_x0000_s1026" o:spt="20" style="position:absolute;left:0pt;margin-left:108.75pt;margin-top:2.15pt;height:0.05pt;width:14.15pt;z-index:251652096;mso-width-relative:page;mso-height-relative:page;" filled="f" stroked="t" coordsize="21600,21600" o:gfxdata="UEsDBAoAAAAAAIdO4kAAAAAAAAAAAAAAAAAEAAAAZHJzL1BLAwQUAAAACACHTuJAuwuy09gAAAAH&#10;AQAADwAAAGRycy9kb3ducmV2LnhtbE2PQU+DQBSE7yb+h80z8WYXkCpBlh5M6qXVpq1p6m3LPoHI&#10;viXs0uK/93nS42QmM98Ui8l24oyDbx0piGcRCKTKmZZqBe/75V0GwgdNRneOUME3eliU11eFzo27&#10;0BbPu1ALLiGfawVNCH0upa8atNrPXI/E3qcbrA4sh1qaQV+43HYyiaIHaXVLvNDoHp8brL52o1Ww&#10;XS9X2WE1TtXw8RK/7Tfr16PPlLq9iaMnEAGn8BeGX3xGh5KZTm4k40WnIIkf5xxVkN6DYD9J53zl&#10;xDoFWRbyP3/5A1BLAwQUAAAACACHTuJA96JNAwsCAAAFBAAADgAAAGRycy9lMm9Eb2MueG1srVNL&#10;bhsxDN0X6B0E7eux3TppBh5nYTfdpK2BpAegJY5HqH6QZI99ll6jq256nFwjlPxJk26y6CwGIkU+&#10;8j1S0+ud0WyLISpnGz4aDDlDK5xUdt3w7/c37z5yFhNYCdpZbPgeI7+evX0z7X2NY9c5LTEwArGx&#10;7n3Du5R8XVVRdGggDpxHS5etCwYSmWFdyQA9oRtdjYfDi6p3QfrgBMZI3sXhkh8Rw2sAXdsqgQsn&#10;NgZtOqAG1JCIUuyUj3xWum1bFOlb20ZMTDecmKbypyJ0XuV/NZtCvQ7gOyWOLcBrWnjByYCyVPQM&#10;tYAEbBPUP1BGieCia9NAOFMdiBRFiMVo+EKbuw48Fi4kdfRn0eP/gxVft8vAlKRN+ECaWDA08oef&#10;vx5+/2GTSdGn97GmsLldhsxQ7Oydv3XiR2TWzTuwayx93u89pY6yotWzlGxET1VW/RcnKQY2yRWx&#10;dm0wGZJkYLsyk/15JrhLTJBzdHl1OZxwJujq4v2kwEN9yvQhps/oDMuHhmtls15Qw/Y2ptwJ1KeQ&#10;7LbuRmldZq4t6xt+NRlnbONJgGjXJTc6rWSOyxkxrFdzHdgW8gKV79jCs7DgNlYW3A5BfrKSpSKH&#10;pSd02LEESj/5U1AknEaemzAoOdNIrzGfDl1rm6tj2eAjlZOOebdjvXJyvww5OFu0HYXscZPz+v1t&#10;l6in1zt7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sLstPYAAAABwEAAA8AAAAAAAAAAQAgAAAA&#10;IgAAAGRycy9kb3ducmV2LnhtbFBLAQIUABQAAAAIAIdO4kD3ok0DCwIAAAUEAAAOAAAAAAAAAAEA&#10;IAAAACcBAABkcnMvZTJvRG9jLnhtbFBLBQYAAAAABgAGAFkBAACkBQAAAAA=&#10;">
                            <v:fill on="f" focussize="0,0"/>
                            <v:stroke color="#000000" joinstyle="round" endarrow="block"/>
                            <v:imagedata o:title=""/>
                            <o:lock v:ext="edit" aspectratio="f"/>
                          </v:line>
                        </w:pict>
                      </mc:Fallback>
                    </mc:AlternateContent>
                  </w:r>
                </w:p>
                <w:p>
                  <w:pPr>
                    <w:pStyle w:val="71"/>
                    <w:spacing w:afterLines="0"/>
                  </w:pPr>
                  <w:r>
                    <mc:AlternateContent>
                      <mc:Choice Requires="wps">
                        <w:drawing>
                          <wp:anchor distT="0" distB="0" distL="114300" distR="114300" simplePos="0" relativeHeight="251789312" behindDoc="0" locked="0" layoutInCell="1" allowOverlap="1">
                            <wp:simplePos x="0" y="0"/>
                            <wp:positionH relativeFrom="column">
                              <wp:posOffset>2338070</wp:posOffset>
                            </wp:positionH>
                            <wp:positionV relativeFrom="paragraph">
                              <wp:posOffset>140335</wp:posOffset>
                            </wp:positionV>
                            <wp:extent cx="814070" cy="265430"/>
                            <wp:effectExtent l="5080" t="4445" r="0" b="15875"/>
                            <wp:wrapNone/>
                            <wp:docPr id="71" name="文本框 567"/>
                            <wp:cNvGraphicFramePr/>
                            <a:graphic xmlns:a="http://schemas.openxmlformats.org/drawingml/2006/main">
                              <a:graphicData uri="http://schemas.microsoft.com/office/word/2010/wordprocessingShape">
                                <wps:wsp>
                                  <wps:cNvSpPr txBox="1">
                                    <a:spLocks noChangeArrowheads="1"/>
                                  </wps:cNvSpPr>
                                  <wps:spPr bwMode="auto">
                                    <a:xfrm>
                                      <a:off x="0" y="0"/>
                                      <a:ext cx="814070" cy="265430"/>
                                    </a:xfrm>
                                    <a:prstGeom prst="rect">
                                      <a:avLst/>
                                    </a:prstGeom>
                                    <a:noFill/>
                                    <a:ln w="9525" cmpd="sng">
                                      <a:solidFill>
                                        <a:srgbClr val="000000"/>
                                      </a:solidFill>
                                      <a:prstDash val="dash"/>
                                      <a:miter lim="800000"/>
                                    </a:ln>
                                    <a:effectLst/>
                                  </wps:spPr>
                                  <wps:txbx>
                                    <w:txbxContent>
                                      <w:p>
                                        <w:pPr>
                                          <w:spacing w:line="240" w:lineRule="auto"/>
                                          <w:ind w:firstLine="0" w:firstLineChars="0"/>
                                          <w:jc w:val="center"/>
                                          <w:rPr>
                                            <w:sz w:val="21"/>
                                            <w:szCs w:val="21"/>
                                          </w:rPr>
                                        </w:pPr>
                                        <w:r>
                                          <w:rPr>
                                            <w:rFonts w:hint="eastAsia"/>
                                            <w:sz w:val="21"/>
                                            <w:szCs w:val="21"/>
                                          </w:rPr>
                                          <w:t>废漆料S</w:t>
                                        </w:r>
                                        <w:r>
                                          <w:rPr>
                                            <w:rFonts w:hint="eastAsia"/>
                                            <w:sz w:val="21"/>
                                            <w:szCs w:val="21"/>
                                            <w:vertAlign w:val="subscript"/>
                                          </w:rPr>
                                          <w:t>5</w:t>
                                        </w:r>
                                      </w:p>
                                    </w:txbxContent>
                                  </wps:txbx>
                                  <wps:bodyPr rot="0" vert="horz" wrap="square" lIns="91440" tIns="45720" rIns="91440" bIns="45720" anchor="t" anchorCtr="0" upright="1">
                                    <a:noAutofit/>
                                  </wps:bodyPr>
                                </wps:wsp>
                              </a:graphicData>
                            </a:graphic>
                          </wp:anchor>
                        </w:drawing>
                      </mc:Choice>
                      <mc:Fallback>
                        <w:pict>
                          <v:shape id="文本框 567" o:spid="_x0000_s1026" o:spt="202" type="#_x0000_t202" style="position:absolute;left:0pt;margin-left:184.1pt;margin-top:11.05pt;height:20.9pt;width:64.1pt;z-index:251789312;mso-width-relative:page;mso-height-relative:page;" filled="f" stroked="t" coordsize="21600,21600" o:gfxdata="UEsDBAoAAAAAAIdO4kAAAAAAAAAAAAAAAAAEAAAAZHJzL1BLAwQUAAAACACHTuJANEnhB9oAAAAJ&#10;AQAADwAAAGRycy9kb3ducmV2LnhtbE2PTUvDQBCG74L/YRnBm918Gds0mx4EQUFarD20t0kyJqHZ&#10;2ZDdNvHfu570OLwP7/tMvpl1L6402s6wgnARgCCuTN1xo+Dw+fKwBGEdco29YVLwTRY2xe1Njllt&#10;Jv6g6941wpewzVBB69yQSWmrljTahRmIffZlRo3On2Mj6xEnX657GQVBKjV27BdaHOi5peq8v2gF&#10;p8NUJtvto5x370dy8esbnp9OSt3fhcEahKPZ/cHwq+/VofBOpblwbUWvIE6XkUcVRFEIwgPJKk1A&#10;lArSeAWyyOX/D4ofUEsDBBQAAAAIAIdO4kCh+kQNVwIAAJEEAAAOAAAAZHJzL2Uyb0RvYy54bWyt&#10;VEtu2zAQ3RfoHQjua9muP4lgOUhtpCiQfoC0B6ApSiJKcliStpQeoL1BV91033PlHB2STmqkmyyq&#10;hUBqZt7MezOj1cWgFTkI5yWYik5GY0qE4VBL01b008erF2eU+MBMzRQYUdFb4enF+vmzVW9LMYUO&#10;VC0cQRDjy95WtAvBlkXheSc08yOwwqCxAadZwKtri9qxHtG1Kqbj8aLowdXWARfe49dtNtIjonsK&#10;IDSN5GILfK+FCRnVCcUCUvKdtJ6uU7VNI3h43zReBKIqikxDemMSPO/iu1ivWNk6ZjvJjyWwp5Tw&#10;iJNm0mDSB6gtC4zsnfwHSkvuwEMTRhx0kYkkRZDFZPxIm5uOWZG4oNTePoju/x8sf3f44IisK7qc&#10;UGKYxo7f/fh+9/P33a9vZL5YRoV660t0vLHoGoZXMODcJLbeXgP/7ImBTcdMKy6dg74TrMYKJzGy&#10;OAnNOD6C7Pq3UGMmtg+QgIbG6SgfCkIQHbtz+9AdMQTC8ePZZDZeooWjabqYz16m7hWsvA+2zofX&#10;AjSJh4o6bH4CZ4drH2IxrLx3ibkMXEml0gAoQ/qKns+nc4TXFtXwps0MQck6+sUI79rdRjlyYHGa&#10;0pNIouXULSbZMt9lvxpPecy0DLg5SmrkchqsTAQXaVqPlUbZolJZszDshmMbdlDfooAO8iTjHuOh&#10;A/eVkh6nGAv/smdOUKLeGGzC+WQ2i2OfLrP5cooXd2rZnVqY4QhV0UBJPm5CXpW9dbLtMFNuu4FL&#10;bFwjk6ix1FzVsd04qUnr41bFVTi9J6+/f5L1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RJ4Qfa&#10;AAAACQEAAA8AAAAAAAAAAQAgAAAAIgAAAGRycy9kb3ducmV2LnhtbFBLAQIUABQAAAAIAIdO4kCh&#10;+kQNVwIAAJEEAAAOAAAAAAAAAAEAIAAAACkBAABkcnMvZTJvRG9jLnhtbFBLBQYAAAAABgAGAFkB&#10;AADyBQAAAAA=&#10;">
                            <v:fill on="f" focussize="0,0"/>
                            <v:stroke color="#000000" miterlimit="8" joinstyle="miter" dashstyle="dash"/>
                            <v:imagedata o:title=""/>
                            <o:lock v:ext="edit" aspectratio="f"/>
                            <v:textbox>
                              <w:txbxContent>
                                <w:p>
                                  <w:pPr>
                                    <w:spacing w:line="240" w:lineRule="auto"/>
                                    <w:ind w:firstLine="0" w:firstLineChars="0"/>
                                    <w:jc w:val="center"/>
                                    <w:rPr>
                                      <w:sz w:val="21"/>
                                      <w:szCs w:val="21"/>
                                    </w:rPr>
                                  </w:pPr>
                                  <w:r>
                                    <w:rPr>
                                      <w:rFonts w:hint="eastAsia"/>
                                      <w:sz w:val="21"/>
                                      <w:szCs w:val="21"/>
                                    </w:rPr>
                                    <w:t>废漆料S</w:t>
                                  </w:r>
                                  <w:r>
                                    <w:rPr>
                                      <w:rFonts w:hint="eastAsia"/>
                                      <w:sz w:val="21"/>
                                      <w:szCs w:val="21"/>
                                      <w:vertAlign w:val="subscript"/>
                                    </w:rPr>
                                    <w:t>5</w:t>
                                  </w:r>
                                </w:p>
                              </w:txbxContent>
                            </v:textbox>
                          </v:shape>
                        </w:pict>
                      </mc:Fallback>
                    </mc:AlternateContent>
                  </w:r>
                </w:p>
                <w:p>
                  <w:pPr>
                    <w:pStyle w:val="71"/>
                    <w:spacing w:afterLines="0"/>
                  </w:pPr>
                </w:p>
                <w:p>
                  <w:pPr>
                    <w:pStyle w:val="71"/>
                    <w:spacing w:afterLines="0"/>
                  </w:pPr>
                  <w:r>
                    <mc:AlternateContent>
                      <mc:Choice Requires="wps">
                        <w:drawing>
                          <wp:anchor distT="0" distB="0" distL="114300" distR="114300" simplePos="0" relativeHeight="251776000" behindDoc="0" locked="0" layoutInCell="1" allowOverlap="1">
                            <wp:simplePos x="0" y="0"/>
                            <wp:positionH relativeFrom="column">
                              <wp:posOffset>968375</wp:posOffset>
                            </wp:positionH>
                            <wp:positionV relativeFrom="paragraph">
                              <wp:posOffset>147320</wp:posOffset>
                            </wp:positionV>
                            <wp:extent cx="635" cy="278130"/>
                            <wp:effectExtent l="37465" t="0" r="38100" b="7620"/>
                            <wp:wrapNone/>
                            <wp:docPr id="139" name="直线 842"/>
                            <wp:cNvGraphicFramePr/>
                            <a:graphic xmlns:a="http://schemas.openxmlformats.org/drawingml/2006/main">
                              <a:graphicData uri="http://schemas.microsoft.com/office/word/2010/wordprocessingShape">
                                <wps:wsp>
                                  <wps:cNvCnPr>
                                    <a:cxnSpLocks noChangeShapeType="1"/>
                                  </wps:cNvCnPr>
                                  <wps:spPr bwMode="auto">
                                    <a:xfrm>
                                      <a:off x="0" y="0"/>
                                      <a:ext cx="635" cy="278130"/>
                                    </a:xfrm>
                                    <a:prstGeom prst="line">
                                      <a:avLst/>
                                    </a:prstGeom>
                                    <a:noFill/>
                                    <a:ln w="9525" cmpd="sng">
                                      <a:solidFill>
                                        <a:srgbClr val="000000"/>
                                      </a:solidFill>
                                      <a:round/>
                                      <a:headEnd type="none"/>
                                      <a:tailEnd type="triangle" w="med" len="med"/>
                                    </a:ln>
                                    <a:effectLst/>
                                  </wps:spPr>
                                  <wps:bodyPr/>
                                </wps:wsp>
                              </a:graphicData>
                            </a:graphic>
                          </wp:anchor>
                        </w:drawing>
                      </mc:Choice>
                      <mc:Fallback>
                        <w:pict>
                          <v:line id="直线 842" o:spid="_x0000_s1026" o:spt="20" style="position:absolute;left:0pt;margin-left:76.25pt;margin-top:11.6pt;height:21.9pt;width:0.05pt;z-index:251776000;mso-width-relative:page;mso-height-relative:page;" filled="f" stroked="t" coordsize="21600,21600" o:gfxdata="UEsDBAoAAAAAAIdO4kAAAAAAAAAAAAAAAAAEAAAAZHJzL1BLAwQUAAAACACHTuJA0ckw1NkAAAAJ&#10;AQAADwAAAGRycy9kb3ducmV2LnhtbE2PwU7DMBBE70j8g7VI3Kgdo4QoxOkBqVxaQG0RgpsbL0lE&#10;vI5ipw1/j3sqx9E+zbwtl7Pt2RFH3zlSkCwEMKTamY4aBe/71V0OzAdNRveOUMEvelhW11elLow7&#10;0RaPu9CwWEK+0AraEIaCc1+3aLVfuAEp3r7daHWIcWy4GfUpltueSyEybnVHcaHVAz61WP/sJqtg&#10;u1mt84/1NNfj13Pyun/bvHz6XKnbm0Q8Ags4hwsMZ/2oDlV0OriJjGd9zKlMI6pA3ktgZyCVGbCD&#10;guxBAK9K/v+D6g9QSwMEFAAAAAgAh07iQBYIi+wMAgAABQQAAA4AAABkcnMvZTJvRG9jLnhtbK1T&#10;S3IbIRDdpyp3oNjHo0/syFMaeSHF2TiJquwcoAWMhgrQFCCNdJZcI6tschxfIw362HE2XoQFBU33&#10;636vm+nNzhq2VSFqdA0fXgw4U06g1G7d8G8Pt+8mnMUEToJBpxq+V5HfzN6+mfa+ViPs0EgVGIG4&#10;WPe+4V1Kvq6qKDplIV6gV44eWwwWEl3DupIBekK3phoNBldVj0H6gELFSNbF4ZEfEcNrALFttVAL&#10;FBurXDqgBmUgEaXYaR/5rFTbtkqkr20bVWKm4cQ0lZ2S0HmV92o2hXodwHdaHEuA15TwgpMF7Sjp&#10;GWoBCdgm6H+grBYBI7bpQqCtDkSKIsRiOHihzX0HXhUuJHX0Z9Hj/4MVX7bLwLSkSRhfc+bAUssf&#10;f/x8/PWbTd6Psj69jzW5zd0yZIZi5+79HYrvkTmcd+DWqtT5sPcUOswR1V8h+RI9ZVn1n1GSD2wS&#10;FrF2bbAZkmRgu9KT/bknapeYIOPV+JIzQfbRh8lwXBpWQX2K9CGmTwoty4eGG+2yXlDD9i6mXAnU&#10;J5dsdnirjSk9N471Db++HGV460mA6NYlNqLRMvvliBjWq7kJbAt5gMoqDOnluVvAjZMFt1MgPzrJ&#10;UpHD0Rc6zFgCbZ7sKWgSziiei7BKcmYU/cZ8OlRtXM6uygQfqZx0PHRkhXK/DNk522k6CtnjJOfx&#10;e34vXk+/d/Y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ckw1NkAAAAJAQAADwAAAAAAAAABACAA&#10;AAAiAAAAZHJzL2Rvd25yZXYueG1sUEsBAhQAFAAAAAgAh07iQBYIi+wMAgAABQQAAA4AAAAAAAAA&#10;AQAgAAAAKAEAAGRycy9lMm9Eb2MueG1sUEsFBgAAAAAGAAYAWQEAAKY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74976" behindDoc="0" locked="0" layoutInCell="1" allowOverlap="1">
                            <wp:simplePos x="0" y="0"/>
                            <wp:positionH relativeFrom="column">
                              <wp:posOffset>1038860</wp:posOffset>
                            </wp:positionH>
                            <wp:positionV relativeFrom="paragraph">
                              <wp:posOffset>149225</wp:posOffset>
                            </wp:positionV>
                            <wp:extent cx="3894455" cy="635"/>
                            <wp:effectExtent l="0" t="37465" r="10795" b="38100"/>
                            <wp:wrapNone/>
                            <wp:docPr id="138" name="直线 841"/>
                            <wp:cNvGraphicFramePr/>
                            <a:graphic xmlns:a="http://schemas.openxmlformats.org/drawingml/2006/main">
                              <a:graphicData uri="http://schemas.microsoft.com/office/word/2010/wordprocessingShape">
                                <wps:wsp>
                                  <wps:cNvCnPr>
                                    <a:cxnSpLocks noChangeShapeType="1"/>
                                  </wps:cNvCnPr>
                                  <wps:spPr bwMode="auto">
                                    <a:xfrm flipH="1">
                                      <a:off x="0" y="0"/>
                                      <a:ext cx="3894455" cy="635"/>
                                    </a:xfrm>
                                    <a:prstGeom prst="line">
                                      <a:avLst/>
                                    </a:prstGeom>
                                    <a:noFill/>
                                    <a:ln w="9525" cmpd="sng">
                                      <a:solidFill>
                                        <a:srgbClr val="000000"/>
                                      </a:solidFill>
                                      <a:round/>
                                      <a:headEnd type="none"/>
                                      <a:tailEnd type="triangle" w="med" len="med"/>
                                    </a:ln>
                                    <a:effectLst/>
                                  </wps:spPr>
                                  <wps:bodyPr/>
                                </wps:wsp>
                              </a:graphicData>
                            </a:graphic>
                          </wp:anchor>
                        </w:drawing>
                      </mc:Choice>
                      <mc:Fallback>
                        <w:pict>
                          <v:line id="直线 841" o:spid="_x0000_s1026" o:spt="20" style="position:absolute;left:0pt;flip:x;margin-left:81.8pt;margin-top:11.75pt;height:0.05pt;width:306.65pt;z-index:251774976;mso-width-relative:page;mso-height-relative:page;" filled="f" stroked="t" coordsize="21600,21600" o:gfxdata="UEsDBAoAAAAAAIdO4kAAAAAAAAAAAAAAAAAEAAAAZHJzL1BLAwQUAAAACACHTuJAdnxYRtgAAAAJ&#10;AQAADwAAAGRycy9kb3ducmV2LnhtbE2PwU7DMAyG70i8Q2QkbiztxjJWmu6AQOKEYENI3LLGtGWN&#10;U5JsHTw93gmOv/3p9+dydXS9OGCInScN+SQDgVR721Gj4XXzcHUDIiZD1vSeUMM3RlhV52elKawf&#10;6QUP69QILqFYGA1tSkMhZaxbdCZO/IDEuw8fnEkcQyNtMCOXu15Os0xJZzriC60Z8K7FerfeOw3L&#10;zTj3z2H3dp13X+8/959peHxKWl9e5NktiITH9AfDSZ/VoWKnrd+TjaLnrGaKUQ3T2RwEA4uFWoLY&#10;ngYKZFXK/x9Uv1BLAwQUAAAACACHTuJAzd/hAxICAAAQBAAADgAAAGRycy9lMm9Eb2MueG1srVNL&#10;chshEN2nKneg2Eejr0ue0sgLKU4WTqIqOwdAwMxQAZoCpJHOkmtklU2O42u4YWQ5tjdeeBZT0Lx+&#10;vH7dLK4ORpO99EGBrehoMKREWg5C2aaiP++uP80pCZFZwTRYWdGjDPRq+fHDonOlHEMLWkhPkMSG&#10;snMVbWN0ZVEE3krDwgCctHhYgzcs4tY3hfCsQ3aji/FweFF04IXzwGUIGF33h/TE6N9CCHWtuFwD&#10;3xlpY8/qpWYRSwqtcoEus9q6ljz+qOsgI9EVxUpj/uMluN6mf7FcsLLxzLWKnySwt0h4UZNhyuKl&#10;Z6o1i4zsvHpFZRT3EKCOAw6m6AvJjmAVo+ELb25b5mSuBa0O7mx6eD9a/n2/8UQJnIQJNt4ygy2/&#10;//3n/u8/Mp+Okj+dCyXCVnbjU4X8YG/dDfBfgVhYtcw2Muu8OzpMzRnFs5S0CQ5v2XbfQCCG7SJk&#10;sw61N6TWyn1NiYkcDSGH3J3juTvyEAnH4GR+OZ3OZpRwPLuYzJK2gpWJJKU6H+IXCYakRUW1ssk6&#10;VrL9TYg99BGSwhaulda5/dqSrqKXs3HiNg69CLbJuQG0EgmXMoJvtivtyZ6lWcrfScIzmIedFZm3&#10;lUx8toLE7IzF19SPW2RKP8WjV+ihljSJMFJQoiU+zLTqVWubbpd5mE+lPFraN2cL4rjxCZziOCjZ&#10;l9NQp0n8f59RTw95+Q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2fFhG2AAAAAkBAAAPAAAAAAAA&#10;AAEAIAAAACIAAABkcnMvZG93bnJldi54bWxQSwECFAAUAAAACACHTuJAzd/hAxICAAAQBAAADgAA&#10;AAAAAAABACAAAAAnAQAAZHJzL2Uyb0RvYy54bWxQSwUGAAAAAAYABgBZAQAAqwUAAAAA&#10;">
                            <v:fill on="f" focussize="0,0"/>
                            <v:stroke color="#000000" joinstyle="round" endarrow="block"/>
                            <v:imagedata o:title=""/>
                            <o:lock v:ext="edit" aspectratio="f"/>
                          </v:line>
                        </w:pict>
                      </mc:Fallback>
                    </mc:AlternateContent>
                  </w:r>
                </w:p>
                <w:p>
                  <w:pPr>
                    <w:pStyle w:val="71"/>
                    <w:spacing w:afterLines="0"/>
                  </w:pPr>
                  <w:r>
                    <mc:AlternateContent>
                      <mc:Choice Requires="wps">
                        <w:drawing>
                          <wp:anchor distT="0" distB="0" distL="114300" distR="114300" simplePos="0" relativeHeight="251777024" behindDoc="0" locked="0" layoutInCell="1" allowOverlap="1">
                            <wp:simplePos x="0" y="0"/>
                            <wp:positionH relativeFrom="column">
                              <wp:posOffset>19685</wp:posOffset>
                            </wp:positionH>
                            <wp:positionV relativeFrom="paragraph">
                              <wp:posOffset>74295</wp:posOffset>
                            </wp:positionV>
                            <wp:extent cx="868680" cy="464185"/>
                            <wp:effectExtent l="635" t="0" r="0" b="4445"/>
                            <wp:wrapNone/>
                            <wp:docPr id="137" name="文本框 843"/>
                            <wp:cNvGraphicFramePr/>
                            <a:graphic xmlns:a="http://schemas.openxmlformats.org/drawingml/2006/main">
                              <a:graphicData uri="http://schemas.microsoft.com/office/word/2010/wordprocessingShape">
                                <wps:wsp>
                                  <wps:cNvSpPr txBox="1">
                                    <a:spLocks noChangeArrowheads="1"/>
                                  </wps:cNvSpPr>
                                  <wps:spPr bwMode="auto">
                                    <a:xfrm>
                                      <a:off x="0" y="0"/>
                                      <a:ext cx="868680" cy="464185"/>
                                    </a:xfrm>
                                    <a:prstGeom prst="rect">
                                      <a:avLst/>
                                    </a:prstGeom>
                                    <a:noFill/>
                                    <a:ln>
                                      <a:noFill/>
                                    </a:ln>
                                    <a:effectLst/>
                                  </wps:spPr>
                                  <wps:txbx>
                                    <w:txbxContent>
                                      <w:p>
                                        <w:pPr>
                                          <w:spacing w:line="240" w:lineRule="auto"/>
                                          <w:ind w:firstLine="0" w:firstLineChars="0"/>
                                          <w:jc w:val="center"/>
                                          <w:rPr>
                                            <w:sz w:val="21"/>
                                            <w:szCs w:val="21"/>
                                          </w:rPr>
                                        </w:pPr>
                                        <w:r>
                                          <w:rPr>
                                            <w:rFonts w:hint="eastAsia"/>
                                            <w:sz w:val="21"/>
                                            <w:szCs w:val="21"/>
                                          </w:rPr>
                                          <w:t>精密配件、其他零部件</w:t>
                                        </w:r>
                                      </w:p>
                                    </w:txbxContent>
                                  </wps:txbx>
                                  <wps:bodyPr rot="0" vert="horz" wrap="square" lIns="91440" tIns="45720" rIns="91440" bIns="45720" anchor="t" anchorCtr="0" upright="1">
                                    <a:noAutofit/>
                                  </wps:bodyPr>
                                </wps:wsp>
                              </a:graphicData>
                            </a:graphic>
                          </wp:anchor>
                        </w:drawing>
                      </mc:Choice>
                      <mc:Fallback>
                        <w:pict>
                          <v:shape id="文本框 843" o:spid="_x0000_s1026" o:spt="202" type="#_x0000_t202" style="position:absolute;left:0pt;margin-left:1.55pt;margin-top:5.85pt;height:36.55pt;width:68.4pt;z-index:251777024;mso-width-relative:page;mso-height-relative:page;" filled="f" stroked="f" coordsize="21600,21600" o:gfxdata="UEsDBAoAAAAAAIdO4kAAAAAAAAAAAAAAAAAEAAAAZHJzL1BLAwQUAAAACACHTuJAx9j9KdQAAAAH&#10;AQAADwAAAGRycy9kb3ducmV2LnhtbE2OzU7DMBCE70h9B2srcaPrtAWSEKeHIq4gClTqzY23SUS8&#10;jmK3CW+Pe4Lj/GjmKzaT7cSFBt86VpAsJAjiypmWawWfHy93KQgfNBvdOSYFP+RhU85uCp0bN/I7&#10;XXahFnGEfa4VNCH0OaKvGrLaL1xPHLOTG6wOUQ41mkGPcdx2uJTyAa1uOT40uqdtQ9X37mwVfL2e&#10;Dvu1fKuf7X0/ukki2wyVup0n8glEoCn8leGKH9GhjExHd2bjRadglcRitJNHENd4lWUgjgrSdQpY&#10;Fvifv/wFUEsDBBQAAAAIAIdO4kARJ+hbHgIAACYEAAAOAAAAZHJzL2Uyb0RvYy54bWytU0tu2zAQ&#10;3RfoHQjua9mO4riC5SCNkaJA+gHSHoCmKIuoxGGHtCX3AM0Nuuqm+57L5+iQUlw33WRRCBBIzvDN&#10;vDePi8uuqdlOodNgcj4ZjTlTRkKhzSbnnz7evJhz5rwwhajBqJzvleOXy+fPFq3N1BQqqAuFjECM&#10;y1qb88p7myWJk5VqhBuBVYaCJWAjPG1xkxQoWkJv6mQ6Hs+SFrCwCFI5R6erPsgHRHwKIJSllmoF&#10;ctso43tUVLXwRMlV2jq+jN2WpZL+fVk65Vmdc2Lq45+K0Hod/slyIbINCltpObQgntLCI06N0IaK&#10;HqFWwgu2Rf0PVKMlgoPSjyQ0SU8kKkIsJuNH2txVwqrIhaR29ii6+3+w8t3uAzJdkBPOLjgzoqGR&#10;H77fH378Ovz8xubpWZCotS6jzDtLub57BR2lR7rO3oL87JiB60qYjbpChLZSoqAWJ+FmcnK1x3EB&#10;ZN2+hYIqia2HCNSV2AT9SBFG6DSe/XE8qvNM0uF8Rh9FJIXSWTqZn8cKInu4bNH51woaFhY5R5p+&#10;BBe7W+dDMyJ7SAm1DNzouo4OqM1fB5TYn6hooeF2oBK673n4bt0N0qyh2BMphN5e9LhoUQF+5awl&#10;a+XcfdkKVJzVbwwJ83KSpsGLcZOeX0xpg6eR9WlEGElQOfec9ctr3/t3a1FvKqrUj8LAFYlZ6kg0&#10;tNp3NYyA7BP5D1YP/jzdx6w/z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fY/SnUAAAABwEA&#10;AA8AAAAAAAAAAQAgAAAAIgAAAGRycy9kb3ducmV2LnhtbFBLAQIUABQAAAAIAIdO4kARJ+hbHgIA&#10;ACYEAAAOAAAAAAAAAAEAIAAAACMBAABkcnMvZTJvRG9jLnhtbFBLBQYAAAAABgAGAFkBAACzBQAA&#10;AAA=&#10;">
                            <v:fill on="f" focussize="0,0"/>
                            <v:stroke on="f"/>
                            <v:imagedata o:title=""/>
                            <o:lock v:ext="edit" aspectratio="f"/>
                            <v:textbox>
                              <w:txbxContent>
                                <w:p>
                                  <w:pPr>
                                    <w:spacing w:line="240" w:lineRule="auto"/>
                                    <w:ind w:firstLine="0" w:firstLineChars="0"/>
                                    <w:jc w:val="center"/>
                                    <w:rPr>
                                      <w:sz w:val="21"/>
                                      <w:szCs w:val="21"/>
                                    </w:rPr>
                                  </w:pPr>
                                  <w:r>
                                    <w:rPr>
                                      <w:rFonts w:hint="eastAsia"/>
                                      <w:sz w:val="21"/>
                                      <w:szCs w:val="21"/>
                                    </w:rPr>
                                    <w:t>精密配件、其他零部件</w:t>
                                  </w:r>
                                </w:p>
                              </w:txbxContent>
                            </v:textbox>
                          </v:shape>
                        </w:pict>
                      </mc:Fallback>
                    </mc:AlternateContent>
                  </w:r>
                </w:p>
                <w:p>
                  <w:pPr>
                    <w:pStyle w:val="71"/>
                    <w:spacing w:afterLines="0"/>
                  </w:pPr>
                  <w:r>
                    <mc:AlternateContent>
                      <mc:Choice Requires="wps">
                        <w:drawing>
                          <wp:anchor distT="0" distB="0" distL="114300" distR="114300" simplePos="0" relativeHeight="251531264" behindDoc="1" locked="0" layoutInCell="1" allowOverlap="1">
                            <wp:simplePos x="0" y="0"/>
                            <wp:positionH relativeFrom="column">
                              <wp:posOffset>1209675</wp:posOffset>
                            </wp:positionH>
                            <wp:positionV relativeFrom="paragraph">
                              <wp:posOffset>34290</wp:posOffset>
                            </wp:positionV>
                            <wp:extent cx="514985" cy="266065"/>
                            <wp:effectExtent l="9525" t="5715" r="8890" b="13970"/>
                            <wp:wrapNone/>
                            <wp:docPr id="136" name="文本框 607"/>
                            <wp:cNvGraphicFramePr/>
                            <a:graphic xmlns:a="http://schemas.openxmlformats.org/drawingml/2006/main">
                              <a:graphicData uri="http://schemas.microsoft.com/office/word/2010/wordprocessingShape">
                                <wps:wsp>
                                  <wps:cNvSpPr txBox="1">
                                    <a:spLocks noChangeArrowheads="1"/>
                                  </wps:cNvSpPr>
                                  <wps:spPr bwMode="auto">
                                    <a:xfrm>
                                      <a:off x="0" y="0"/>
                                      <a:ext cx="514985" cy="266065"/>
                                    </a:xfrm>
                                    <a:prstGeom prst="rect">
                                      <a:avLst/>
                                    </a:prstGeom>
                                    <a:noFill/>
                                    <a:ln w="9525" cmpd="sng">
                                      <a:solidFill>
                                        <a:srgbClr val="000000"/>
                                      </a:solidFill>
                                      <a:miter lim="800000"/>
                                    </a:ln>
                                  </wps:spPr>
                                  <wps:txbx>
                                    <w:txbxContent>
                                      <w:p>
                                        <w:pPr>
                                          <w:spacing w:line="240" w:lineRule="auto"/>
                                          <w:ind w:firstLine="0" w:firstLineChars="0"/>
                                          <w:jc w:val="center"/>
                                          <w:rPr>
                                            <w:sz w:val="21"/>
                                            <w:szCs w:val="21"/>
                                          </w:rPr>
                                        </w:pPr>
                                        <w:r>
                                          <w:rPr>
                                            <w:rFonts w:hint="eastAsia"/>
                                            <w:sz w:val="21"/>
                                            <w:szCs w:val="21"/>
                                          </w:rPr>
                                          <w:t>组装</w:t>
                                        </w:r>
                                      </w:p>
                                    </w:txbxContent>
                                  </wps:txbx>
                                  <wps:bodyPr rot="0" vert="horz" wrap="square" lIns="91440" tIns="45720" rIns="91440" bIns="45720" anchor="t" anchorCtr="0" upright="1">
                                    <a:noAutofit/>
                                  </wps:bodyPr>
                                </wps:wsp>
                              </a:graphicData>
                            </a:graphic>
                          </wp:anchor>
                        </w:drawing>
                      </mc:Choice>
                      <mc:Fallback>
                        <w:pict>
                          <v:shape id="文本框 607" o:spid="_x0000_s1026" o:spt="202" type="#_x0000_t202" style="position:absolute;left:0pt;margin-left:95.25pt;margin-top:2.7pt;height:20.95pt;width:40.55pt;z-index:-251785216;mso-width-relative:page;mso-height-relative:page;" filled="f" stroked="t" coordsize="21600,21600" o:gfxdata="UEsDBAoAAAAAAIdO4kAAAAAAAAAAAAAAAAAEAAAAZHJzL1BLAwQUAAAACACHTuJA3LjA89YAAAAI&#10;AQAADwAAAGRycy9kb3ducmV2LnhtbE2PS0/DMBCE70j8B2uRuFE7Sdu0IU4PFO4QCr068TaJ8COK&#10;3Qf8epZTOY5mdvabcnOxhp1wCoN3EpKZAIau9XpwnYTd+8vDCliIymllvEMJ3xhgU93elKrQ/uze&#10;8FTHjlGJC4WS0Mc4FpyHtkerwsyP6Mg7+MmqSHLquJ7Umcqt4akQS27V4OhDr0Z86rH9qo+WMNL9&#10;Ltu+1pjnqsm2zz8f68OnkfL+LhGPwCJe4jUMf/h0AxUxNf7odGCG9FosKCphMQdGfponS2CNhHme&#10;Aa9K/n9A9QtQSwMEFAAAAAgAh07iQAfFI51GAgAAbAQAAA4AAABkcnMvZTJvRG9jLnhtbK1US27b&#10;MBDdF+gdCO5r2a7tOILlIE2QokD6AdIegKIoiSjJYUnaknuA9gZdddN9z+VzdEgpqZFusqgWBIcz&#10;fPPmzVCbi14rshfOSzAFnU2mlAjDoZKmKeinjzcv1pT4wEzFFBhR0IPw9GL7/Nmms7mYQwuqEo4g&#10;iPF5ZwvahmDzLPO8FZr5CVhh0FmD0yyg6ZqscqxDdK2y+XS6yjpwlXXAhfd4ej046YjongIIdS25&#10;uAa+08KEAdUJxQKW5FtpPd0mtnUteHhf114EogqKlYa0YhLcl3HNthuWN47ZVvKRAnsKhUc1aSYN&#10;Jn2AumaBkZ2T/0BpyR14qMOEg86GQpIiWMVs+kibu5ZZkWpBqb19EN3/P1j+bv/BEVnhJLxcUWKY&#10;xpYff3w//vx9/PWNrKZnUaLO+hwj7yzGhv4V9BieyvX2FvhnTwxctcw04tI56FrBKqQ4izezk6sD&#10;jo8gZfcWKszEdgESUF87HfVDRQiiY3sOD+0RfSAcD5ezxfl6SQlH13y1mq6WKQPL7y9b58NrAZrE&#10;TUEddj+Bs/2tD5EMy+9DYi4DN1KpNAHKkK6g58t5hNcW5fCmGSoEJasYF29415RXypE9i+OUvpGC&#10;Pw3TMuATUVIXdH0apMwoSNRgUCP0ZT8KXEJ1QGkcDEOKTxQ3LbivlHQ4oEjpy445QYl6Y1De89li&#10;ESc6GYvl2RwNd+opTz3McIQqaKBk2F6F4RXsrJNNi5mGhhq4xJbUMskVezewGnnjECYVxwcTp/zU&#10;TlF/fxLb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y4wPPWAAAACAEAAA8AAAAAAAAAAQAgAAAA&#10;IgAAAGRycy9kb3ducmV2LnhtbFBLAQIUABQAAAAIAIdO4kAHxSOdRgIAAGwEAAAOAAAAAAAAAAEA&#10;IAAAACUBAABkcnMvZTJvRG9jLnhtbFBLBQYAAAAABgAGAFkBAADdBQAAAAA=&#10;">
                            <v:fill on="f" focussize="0,0"/>
                            <v:stroke color="#000000" miterlimit="8" joinstyle="miter"/>
                            <v:imagedata o:title=""/>
                            <o:lock v:ext="edit" aspectratio="f"/>
                            <v:textbox>
                              <w:txbxContent>
                                <w:p>
                                  <w:pPr>
                                    <w:spacing w:line="240" w:lineRule="auto"/>
                                    <w:ind w:firstLine="0" w:firstLineChars="0"/>
                                    <w:jc w:val="center"/>
                                    <w:rPr>
                                      <w:sz w:val="21"/>
                                      <w:szCs w:val="21"/>
                                    </w:rPr>
                                  </w:pPr>
                                  <w:r>
                                    <w:rPr>
                                      <w:rFonts w:hint="eastAsia"/>
                                      <w:sz w:val="21"/>
                                      <w:szCs w:val="21"/>
                                    </w:rPr>
                                    <w:t>组装</w:t>
                                  </w:r>
                                </w:p>
                              </w:txbxContent>
                            </v:textbox>
                          </v:shape>
                        </w:pict>
                      </mc:Fallback>
                    </mc:AlternateContent>
                  </w:r>
                  <w:r>
                    <mc:AlternateContent>
                      <mc:Choice Requires="wps">
                        <w:drawing>
                          <wp:anchor distT="0" distB="0" distL="114300" distR="114300" simplePos="0" relativeHeight="251529216" behindDoc="1" locked="0" layoutInCell="1" allowOverlap="1">
                            <wp:simplePos x="0" y="0"/>
                            <wp:positionH relativeFrom="column">
                              <wp:posOffset>3457575</wp:posOffset>
                            </wp:positionH>
                            <wp:positionV relativeFrom="paragraph">
                              <wp:posOffset>27940</wp:posOffset>
                            </wp:positionV>
                            <wp:extent cx="742950" cy="266065"/>
                            <wp:effectExtent l="9525" t="8890" r="9525" b="10795"/>
                            <wp:wrapNone/>
                            <wp:docPr id="135" name="文本框 572"/>
                            <wp:cNvGraphicFramePr/>
                            <a:graphic xmlns:a="http://schemas.openxmlformats.org/drawingml/2006/main">
                              <a:graphicData uri="http://schemas.microsoft.com/office/word/2010/wordprocessingShape">
                                <wps:wsp>
                                  <wps:cNvSpPr txBox="1">
                                    <a:spLocks noChangeArrowheads="1"/>
                                  </wps:cNvSpPr>
                                  <wps:spPr bwMode="auto">
                                    <a:xfrm>
                                      <a:off x="0" y="0"/>
                                      <a:ext cx="742950" cy="266065"/>
                                    </a:xfrm>
                                    <a:prstGeom prst="rect">
                                      <a:avLst/>
                                    </a:prstGeom>
                                    <a:noFill/>
                                    <a:ln w="9525" cmpd="sng">
                                      <a:solidFill>
                                        <a:srgbClr val="000000"/>
                                      </a:solidFill>
                                      <a:miter lim="800000"/>
                                    </a:ln>
                                    <a:effectLst/>
                                  </wps:spPr>
                                  <wps:txbx>
                                    <w:txbxContent>
                                      <w:p>
                                        <w:pPr>
                                          <w:spacing w:line="240" w:lineRule="auto"/>
                                          <w:ind w:firstLine="0" w:firstLineChars="0"/>
                                          <w:jc w:val="center"/>
                                          <w:rPr>
                                            <w:sz w:val="21"/>
                                            <w:szCs w:val="21"/>
                                          </w:rPr>
                                        </w:pPr>
                                        <w:r>
                                          <w:rPr>
                                            <w:rFonts w:hint="eastAsia"/>
                                            <w:sz w:val="21"/>
                                            <w:szCs w:val="21"/>
                                          </w:rPr>
                                          <w:t>综合测试</w:t>
                                        </w:r>
                                      </w:p>
                                    </w:txbxContent>
                                  </wps:txbx>
                                  <wps:bodyPr rot="0" vert="horz" wrap="square" lIns="91440" tIns="45720" rIns="91440" bIns="45720" anchor="t" anchorCtr="0" upright="1">
                                    <a:noAutofit/>
                                  </wps:bodyPr>
                                </wps:wsp>
                              </a:graphicData>
                            </a:graphic>
                          </wp:anchor>
                        </w:drawing>
                      </mc:Choice>
                      <mc:Fallback>
                        <w:pict>
                          <v:shape id="文本框 572" o:spid="_x0000_s1026" o:spt="202" type="#_x0000_t202" style="position:absolute;left:0pt;margin-left:272.25pt;margin-top:2.2pt;height:20.95pt;width:58.5pt;z-index:-251787264;mso-width-relative:page;mso-height-relative:page;" filled="f" stroked="t" coordsize="21600,21600" o:gfxdata="UEsDBAoAAAAAAIdO4kAAAAAAAAAAAAAAAAAEAAAAZHJzL1BLAwQUAAAACACHTuJA37cL59UAAAAI&#10;AQAADwAAAGRycy9kb3ducmV2LnhtbE2PzU7DMBCE70i8g7VI3KiTJk0hxOmBwh1CgasTb5MIex3F&#10;7g88PcsJjp9mdnam2pydFUecw+hJQbpIQCB13ozUK9i9Pt3cgghRk9HWEyr4wgCb+vKi0qXxJ3rB&#10;YxN7wSEUSq1giHEqpQzdgE6HhZ+QWNv72enIOPfSzPrE4c7KZZIU0umR+MOgJ3wYsPtsDo5rLD92&#10;2fa5wfVat9n28fvtbv9ulbq+SpN7EBHP8c8Mv/X5Bmru1PoDmSCsglWer9iqIM9BsF4UKXPLXGQg&#10;60r+H1D/AFBLAwQUAAAACACHTuJA1YBagUsCAAB6BAAADgAAAGRycy9lMm9Eb2MueG1srVTNjtMw&#10;EL4j8Q6W7zRtabvbqOlqabUIafmRFh7AdZzEwvYY222yPAC8AScu3HmuPgdjJ1uq5bIHcojszPib&#10;b775nNVVpxU5COclmIJORmNKhOFQSlMX9NPHmxeXlPjATMkUGFHQe+Hp1fr5s1VrczGFBlQpHEEQ&#10;4/PWFrQJweZZ5nkjNPMjsMJgsAKnWcCtq7PSsRbRtcqm4/Eia8GV1gEX3uPXbR+kA6J7CiBUleRi&#10;C3yvhQk9qhOKBWzJN9J6uk5sq0rw8L6qvAhEFRQ7DemNRXC9i+9svWJ57ZhtJB8osKdQeNSTZtJg&#10;0RPUlgVG9k7+A6Uld+ChCiMOOusbSYpgF5PxI23uGmZF6gWl9vYkuv9/sPzd4YMjskQnvJxTYpjG&#10;kR9/fD/+/H389Y3ML6ZRotb6HDPvLOaG7hV0mJ7a9fYW+GdPDGwaZmpx7Ry0jWAlUpzEk9nZ0R7H&#10;R5Bd+xZKrMT2ARJQVzkd9UNFCKLjeO5P4xFdIBw/XsymyzlGOIami8V4MU8VWP5w2DofXgvQJC4K&#10;6nD6CZwdbn2IZFj+kBJrGbiRSiUHKEPagi7nU9SAa4tyeFP3HYKSZcyLJ7yrdxvlyIFFO6VnoODP&#10;07QMeEWU1AW9PE9SJoKIZMuBUZQnKtJrE7pdN8i9g/IehXLQWxYvLC4acF8padGuSPDLnjlBiXpj&#10;UOzlZDaL/k6bGY4NN+48sjuPMMMRqqCBkn65Cf2d2Fsn6wYr9eM1cI0DqmQSL1LtWQ1jRUsmTYfr&#10;Ez1/vk9Zf38Z6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ftwvn1QAAAAgBAAAPAAAAAAAAAAEA&#10;IAAAACIAAABkcnMvZG93bnJldi54bWxQSwECFAAUAAAACACHTuJA1YBagUsCAAB6BAAADgAAAAAA&#10;AAABACAAAAAkAQAAZHJzL2Uyb0RvYy54bWxQSwUGAAAAAAYABgBZAQAA4QUAAAAA&#10;">
                            <v:fill on="f" focussize="0,0"/>
                            <v:stroke color="#000000" miterlimit="8" joinstyle="miter"/>
                            <v:imagedata o:title=""/>
                            <o:lock v:ext="edit" aspectratio="f"/>
                            <v:textbox>
                              <w:txbxContent>
                                <w:p>
                                  <w:pPr>
                                    <w:spacing w:line="240" w:lineRule="auto"/>
                                    <w:ind w:firstLine="0" w:firstLineChars="0"/>
                                    <w:jc w:val="center"/>
                                    <w:rPr>
                                      <w:sz w:val="21"/>
                                      <w:szCs w:val="21"/>
                                    </w:rPr>
                                  </w:pPr>
                                  <w:r>
                                    <w:rPr>
                                      <w:rFonts w:hint="eastAsia"/>
                                      <w:sz w:val="21"/>
                                      <w:szCs w:val="21"/>
                                    </w:rPr>
                                    <w:t>综合测试</w:t>
                                  </w:r>
                                </w:p>
                              </w:txbxContent>
                            </v:textbox>
                          </v:shape>
                        </w:pict>
                      </mc:Fallback>
                    </mc:AlternateContent>
                  </w:r>
                  <w:r>
                    <mc:AlternateContent>
                      <mc:Choice Requires="wps">
                        <w:drawing>
                          <wp:anchor distT="0" distB="0" distL="114300" distR="114300" simplePos="0" relativeHeight="251528192" behindDoc="1" locked="0" layoutInCell="1" allowOverlap="1">
                            <wp:simplePos x="0" y="0"/>
                            <wp:positionH relativeFrom="column">
                              <wp:posOffset>2714625</wp:posOffset>
                            </wp:positionH>
                            <wp:positionV relativeFrom="paragraph">
                              <wp:posOffset>46990</wp:posOffset>
                            </wp:positionV>
                            <wp:extent cx="514985" cy="266065"/>
                            <wp:effectExtent l="9525" t="8890" r="8890" b="10795"/>
                            <wp:wrapNone/>
                            <wp:docPr id="134" name="文本框 570"/>
                            <wp:cNvGraphicFramePr/>
                            <a:graphic xmlns:a="http://schemas.openxmlformats.org/drawingml/2006/main">
                              <a:graphicData uri="http://schemas.microsoft.com/office/word/2010/wordprocessingShape">
                                <wps:wsp>
                                  <wps:cNvSpPr txBox="1">
                                    <a:spLocks noChangeArrowheads="1"/>
                                  </wps:cNvSpPr>
                                  <wps:spPr bwMode="auto">
                                    <a:xfrm>
                                      <a:off x="0" y="0"/>
                                      <a:ext cx="514985" cy="266065"/>
                                    </a:xfrm>
                                    <a:prstGeom prst="rect">
                                      <a:avLst/>
                                    </a:prstGeom>
                                    <a:noFill/>
                                    <a:ln w="9525" cmpd="sng">
                                      <a:solidFill>
                                        <a:srgbClr val="000000"/>
                                      </a:solidFill>
                                      <a:miter lim="800000"/>
                                    </a:ln>
                                  </wps:spPr>
                                  <wps:txbx>
                                    <w:txbxContent>
                                      <w:p>
                                        <w:pPr>
                                          <w:spacing w:line="240" w:lineRule="auto"/>
                                          <w:ind w:firstLine="0" w:firstLineChars="0"/>
                                          <w:jc w:val="center"/>
                                          <w:rPr>
                                            <w:sz w:val="21"/>
                                            <w:szCs w:val="21"/>
                                          </w:rPr>
                                        </w:pPr>
                                        <w:r>
                                          <w:rPr>
                                            <w:rFonts w:hint="eastAsia"/>
                                            <w:sz w:val="21"/>
                                            <w:szCs w:val="21"/>
                                          </w:rPr>
                                          <w:t>老化</w:t>
                                        </w:r>
                                      </w:p>
                                    </w:txbxContent>
                                  </wps:txbx>
                                  <wps:bodyPr rot="0" vert="horz" wrap="square" lIns="91440" tIns="45720" rIns="91440" bIns="45720" anchor="t" anchorCtr="0" upright="1">
                                    <a:noAutofit/>
                                  </wps:bodyPr>
                                </wps:wsp>
                              </a:graphicData>
                            </a:graphic>
                          </wp:anchor>
                        </w:drawing>
                      </mc:Choice>
                      <mc:Fallback>
                        <w:pict>
                          <v:shape id="文本框 570" o:spid="_x0000_s1026" o:spt="202" type="#_x0000_t202" style="position:absolute;left:0pt;margin-left:213.75pt;margin-top:3.7pt;height:20.95pt;width:40.55pt;z-index:-251788288;mso-width-relative:page;mso-height-relative:page;" filled="f" stroked="t" coordsize="21600,21600" o:gfxdata="UEsDBAoAAAAAAIdO4kAAAAAAAAAAAAAAAAAEAAAAZHJzL1BLAwQUAAAACACHTuJANhuc1dYAAAAI&#10;AQAADwAAAGRycy9kb3ducmV2LnhtbE2PTU/DMAyG70j8h8hI3Fiydlu30nQHBncoA65p47UVjVM1&#10;2Qf8eswJjtbz+vXjYntxgzjhFHpPGuYzBQKp8banVsP+9eluDSJEQ9YMnlDDFwbYltdXhcmtP9ML&#10;nqrYCi6hkBsNXYxjLmVoOnQmzPyIxOzgJ2cij1Mr7WTOXO4GmSi1ks70xBc6M+JDh81ndXSskXzs&#10;091zhVlm6nT3+P22ObwPWt/ezNU9iIiX+BeGX33egZKdan8kG8SgYZFkS45qyBYgmC/VegWiZrBJ&#10;QZaF/P9A+QNQSwMEFAAAAAgAh07iQClyun9HAgAAbAQAAA4AAABkcnMvZTJvRG9jLnhtbK1US27b&#10;MBDdF+gdCO4b2a7tJELkIE2QokD6AdIegKYoiSjJYYe0pfQAzQ266qb7nivn6JByEiPdZFEtCJIz&#10;fPPmzYxOTgdr2FZh0OAqPj2YcKachFq7tuJfPl++OuIsROFqYcCpit+owE9XL1+c9L5UM+jA1AoZ&#10;gbhQ9r7iXYy+LIogO2VFOACvHBkbQCsiHbEtahQ9oVtTzCaTZdED1h5BqhDo9mI08h0iPgcQmkZL&#10;dQFyY5WLIyoqIyKlFDrtA19ltk2jZPzYNEFFZipOmca8UhDar9NarE5E2aLwnZY7CuI5FJ7kZIV2&#10;FPQB6kJEwTao/4GyWiIEaOKBBFuMiWRFKIvp5Ik2153wKudCUgf/IHr4f7Dyw/YTMl1TJ7yec+aE&#10;pZLf/by9+/Xn7vcPtjjMEvU+lOR57ck3Dm9gIPecbvBXIL8G5uC8E65VZ4jQd0rURHGaxC32nqai&#10;hDIkkHX/HmqKJDYRMtDQoE36kSKM0Kk8Nw/lUUNkki4X0/nx0YIzSabZcjlZLnIEUd4/9hjiWwWW&#10;pU3FkaqfwcX2KsRERpT3LimWg0ttTO4A41hf8ePFLMFbT3IE144ZgtF18ksvArbrc4NsK1I75W9H&#10;Iey7WR1pRIy2FT/adzJuJ0jSYFQjDuuBGCRh1lDfkDQIY5PSiNKmA/zOWU8NSpS+bQQqzsw7R/Ie&#10;T+fz1NH5MF8czuiA+5b1vkU4SVAVj5yN2/M4TsHGo247ijQW1MEZlaTRWa5HVjve1IRZxd3ApC7f&#10;P2evx5/E6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2G5zV1gAAAAgBAAAPAAAAAAAAAAEAIAAA&#10;ACIAAABkcnMvZG93bnJldi54bWxQSwECFAAUAAAACACHTuJAKXK6f0cCAABsBAAADgAAAAAAAAAB&#10;ACAAAAAlAQAAZHJzL2Uyb0RvYy54bWxQSwUGAAAAAAYABgBZAQAA3gUAAAAA&#10;">
                            <v:fill on="f" focussize="0,0"/>
                            <v:stroke color="#000000" miterlimit="8" joinstyle="miter"/>
                            <v:imagedata o:title=""/>
                            <o:lock v:ext="edit" aspectratio="f"/>
                            <v:textbox>
                              <w:txbxContent>
                                <w:p>
                                  <w:pPr>
                                    <w:spacing w:line="240" w:lineRule="auto"/>
                                    <w:ind w:firstLine="0" w:firstLineChars="0"/>
                                    <w:jc w:val="center"/>
                                    <w:rPr>
                                      <w:sz w:val="21"/>
                                      <w:szCs w:val="21"/>
                                    </w:rPr>
                                  </w:pPr>
                                  <w:r>
                                    <w:rPr>
                                      <w:rFonts w:hint="eastAsia"/>
                                      <w:sz w:val="21"/>
                                      <w:szCs w:val="21"/>
                                    </w:rPr>
                                    <w:t>老化</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1971675</wp:posOffset>
                            </wp:positionH>
                            <wp:positionV relativeFrom="paragraph">
                              <wp:posOffset>37465</wp:posOffset>
                            </wp:positionV>
                            <wp:extent cx="514985" cy="266065"/>
                            <wp:effectExtent l="9525" t="8890" r="8890" b="10795"/>
                            <wp:wrapNone/>
                            <wp:docPr id="133" name="文本框 569"/>
                            <wp:cNvGraphicFramePr/>
                            <a:graphic xmlns:a="http://schemas.openxmlformats.org/drawingml/2006/main">
                              <a:graphicData uri="http://schemas.microsoft.com/office/word/2010/wordprocessingShape">
                                <wps:wsp>
                                  <wps:cNvSpPr txBox="1">
                                    <a:spLocks noChangeArrowheads="1"/>
                                  </wps:cNvSpPr>
                                  <wps:spPr bwMode="auto">
                                    <a:xfrm>
                                      <a:off x="0" y="0"/>
                                      <a:ext cx="514985" cy="266065"/>
                                    </a:xfrm>
                                    <a:prstGeom prst="rect">
                                      <a:avLst/>
                                    </a:prstGeom>
                                    <a:noFill/>
                                    <a:ln w="9525" cmpd="sng">
                                      <a:solidFill>
                                        <a:srgbClr val="000000"/>
                                      </a:solidFill>
                                      <a:miter lim="800000"/>
                                    </a:ln>
                                  </wps:spPr>
                                  <wps:txbx>
                                    <w:txbxContent>
                                      <w:p>
                                        <w:pPr>
                                          <w:spacing w:line="240" w:lineRule="auto"/>
                                          <w:ind w:firstLine="0" w:firstLineChars="0"/>
                                          <w:jc w:val="center"/>
                                          <w:rPr>
                                            <w:sz w:val="21"/>
                                            <w:szCs w:val="21"/>
                                          </w:rPr>
                                        </w:pPr>
                                        <w:r>
                                          <w:rPr>
                                            <w:rFonts w:hint="eastAsia"/>
                                            <w:sz w:val="21"/>
                                            <w:szCs w:val="21"/>
                                          </w:rPr>
                                          <w:t>测试</w:t>
                                        </w:r>
                                      </w:p>
                                    </w:txbxContent>
                                  </wps:txbx>
                                  <wps:bodyPr rot="0" vert="horz" wrap="square" lIns="91440" tIns="45720" rIns="91440" bIns="45720" anchor="t" anchorCtr="0" upright="1">
                                    <a:noAutofit/>
                                  </wps:bodyPr>
                                </wps:wsp>
                              </a:graphicData>
                            </a:graphic>
                          </wp:anchor>
                        </w:drawing>
                      </mc:Choice>
                      <mc:Fallback>
                        <w:pict>
                          <v:shape id="文本框 569" o:spid="_x0000_s1026" o:spt="202" type="#_x0000_t202" style="position:absolute;left:0pt;margin-left:155.25pt;margin-top:2.95pt;height:20.95pt;width:40.55pt;z-index:251663360;mso-width-relative:page;mso-height-relative:page;" filled="f" stroked="t" coordsize="21600,21600" o:gfxdata="UEsDBAoAAAAAAIdO4kAAAAAAAAAAAAAAAAAEAAAAZHJzL1BLAwQUAAAACACHTuJAbo4fZNcAAAAI&#10;AQAADwAAAGRycy9kb3ducmV2LnhtbE2PzU7DMBCE70i8g7VI3KidhjZNGqcHCncIhV6deJtE2Oso&#10;dn/g6TGnchzN7My35eZiDTvh5AdHEpKZAIbUOj1QJ2H3/vKwAuaDIq2MI5TwjR421e1NqQrtzvSG&#10;pzp0LJaQL5SEPoSx4Ny3PVrlZ25Eit7BTVaFKKeO60mdY7k1fC7Ekls1UFzo1YhPPbZf9dFGjPl+&#10;l25fa8wy1aTb55+P/PBppLy/S8QaWMBLuIbhDz/eQBWZGnck7ZmRkCZiEaMSFjmw6Kd5sgTWSHjM&#10;VsCrkv9/oPoFUEsDBBQAAAAIAIdO4kCj03O6RgIAAGwEAAAOAAAAZHJzL2Uyb0RvYy54bWytVEtu&#10;2zAQ3RfoHQjua9mO7dqC5SBNkKJA+gHSHoCiKIkoyWFJ2pJ7gPYGXXXTfc+Vc3RIKamRbrKoFgSH&#10;M3zz5s1Q2/NeK3IQzkswBZ1NppQIw6GSpinop4/XL9aU+MBMxRQYUdCj8PR89/zZtrO5mEMLqhKO&#10;IIjxeWcL2oZg8yzzvBWa+QlYYdBZg9MsoOmarHKsQ3Stsvl0uso6cJV1wIX3eHo1OOmI6J4CCHUt&#10;ubgCvtfChAHVCcUCluRbaT3dJbZ1LXh4X9deBKIKipWGtGIS3JdxzXZbljeO2VbykQJ7CoVHNWkm&#10;DSZ9gLpigZG9k/9AackdeKjDhIPOhkKSIljFbPpIm9uWWZFqQam9fRDd/z9Y/u7wwRFZ4SScnVFi&#10;mMaW3/34fvfz992vb2S52kSJOutzjLy1GBv6V9BjeCrX2xvgnz0xcNky04gL56BrBauQ4izezE6u&#10;Djg+gpTdW6gwE9sHSEB97XTUDxUhiI7tOT60R/SBcDxczhab9ZISjq75ajVdLVMGlt9fts6H1wI0&#10;iZuCOux+AmeHGx8iGZbfh8RcBq6lUmkClCFdQTfLeYTXFuXwphkqBCWrGBdveNeUl8qRA4vjlL6R&#10;gj8N0zLgE1FSF3R9GqTMKEjUYFAj9GU/ClxCdURpHAxDik8UNy24r5R0OKBI6cueOUGJemNQ3s1s&#10;sYgTnYzF8uUcDXfqKU89zHCEKmigZNhehuEV7K2TTYuZhoYauMCW1DLJFXs3sBp54xAmFccHE6f8&#10;1E5Rf38Su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ujh9k1wAAAAgBAAAPAAAAAAAAAAEAIAAA&#10;ACIAAABkcnMvZG93bnJldi54bWxQSwECFAAUAAAACACHTuJAo9NzukYCAABsBAAADgAAAAAAAAAB&#10;ACAAAAAmAQAAZHJzL2Uyb0RvYy54bWxQSwUGAAAAAAYABgBZAQAA3gUAAAAA&#10;">
                            <v:fill on="f" focussize="0,0"/>
                            <v:stroke color="#000000" miterlimit="8" joinstyle="miter"/>
                            <v:imagedata o:title=""/>
                            <o:lock v:ext="edit" aspectratio="f"/>
                            <v:textbox>
                              <w:txbxContent>
                                <w:p>
                                  <w:pPr>
                                    <w:spacing w:line="240" w:lineRule="auto"/>
                                    <w:ind w:firstLine="0" w:firstLineChars="0"/>
                                    <w:jc w:val="center"/>
                                    <w:rPr>
                                      <w:sz w:val="21"/>
                                      <w:szCs w:val="21"/>
                                    </w:rPr>
                                  </w:pPr>
                                  <w:r>
                                    <w:rPr>
                                      <w:rFonts w:hint="eastAsia"/>
                                      <w:sz w:val="21"/>
                                      <w:szCs w:val="21"/>
                                    </w:rPr>
                                    <w:t>测试</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4238625</wp:posOffset>
                            </wp:positionH>
                            <wp:positionV relativeFrom="paragraph">
                              <wp:posOffset>133985</wp:posOffset>
                            </wp:positionV>
                            <wp:extent cx="179705" cy="635"/>
                            <wp:effectExtent l="0" t="37465" r="10795" b="38100"/>
                            <wp:wrapNone/>
                            <wp:docPr id="132" name="直线 575"/>
                            <wp:cNvGraphicFramePr/>
                            <a:graphic xmlns:a="http://schemas.openxmlformats.org/drawingml/2006/main">
                              <a:graphicData uri="http://schemas.microsoft.com/office/word/2010/wordprocessingShape">
                                <wps:wsp>
                                  <wps:cNvCnPr>
                                    <a:cxnSpLocks noChangeShapeType="1"/>
                                  </wps:cNvCnPr>
                                  <wps:spPr bwMode="auto">
                                    <a:xfrm>
                                      <a:off x="0" y="0"/>
                                      <a:ext cx="179705" cy="635"/>
                                    </a:xfrm>
                                    <a:prstGeom prst="line">
                                      <a:avLst/>
                                    </a:prstGeom>
                                    <a:noFill/>
                                    <a:ln w="9525" cmpd="sng">
                                      <a:solidFill>
                                        <a:srgbClr val="000000"/>
                                      </a:solidFill>
                                      <a:round/>
                                      <a:headEnd type="none"/>
                                      <a:tailEnd type="triangle" w="med" len="med"/>
                                    </a:ln>
                                  </wps:spPr>
                                  <wps:bodyPr/>
                                </wps:wsp>
                              </a:graphicData>
                            </a:graphic>
                          </wp:anchor>
                        </w:drawing>
                      </mc:Choice>
                      <mc:Fallback>
                        <w:pict>
                          <v:line id="直线 575" o:spid="_x0000_s1026" o:spt="20" style="position:absolute;left:0pt;margin-left:333.75pt;margin-top:10.55pt;height:0.05pt;width:14.15pt;z-index:251666432;mso-width-relative:page;mso-height-relative:page;" filled="f" stroked="t" coordsize="21600,21600" o:gfxdata="UEsDBAoAAAAAAIdO4kAAAAAAAAAAAAAAAAAEAAAAZHJzL1BLAwQUAAAACACHTuJA6mp0u9oAAAAJ&#10;AQAADwAAAGRycy9kb3ducmV2LnhtbE2PwU7DMAyG70i8Q2QkbixNpZVSmu6ANC4boG0IbbesMW1F&#10;41RJupW3JzuNo+1Pv7+/XEymZyd0vrMkQcwSYEi11R01Ej53y4ccmA+KtOotoYRf9LCobm9KVWh7&#10;pg2etqFhMYR8oSS0IQwF575u0Sg/swNSvH1bZ1SIo2u4duocw03P0yTJuFEdxQ+tGvClxfpnOxoJ&#10;m/VylX+txql2h1fxvvtYv+19LuX9nUiegQWcwhWGi35Uhyo6He1I2rNeQpY9ziMqIRUCWASyp3ns&#10;crwsUuBVyf83qP4AUEsDBBQAAAAIAIdO4kAp/0eLBwIAAPcDAAAOAAAAZHJzL2Uyb0RvYy54bWyt&#10;U0FyGjEQvKcqf1DpHhZwYeItFh8gzsVJqLL9gEHSsqpIGpUkWHhLvpFTLnmOv5GRwNhxLj5kD1uS&#10;ZqbV3TOaXe+tYTsVokbX8NFgyJlyAqV2m4Y/3N98+MhZTOAkGHSq4QcV+fX8/btZ72s1xg6NVIER&#10;iIt17xvepeTrqoqiUxbiAL1yFGwxWEi0DZtKBugJ3ZpqPBxeVj0G6QMKFSOdLo9BfkIMbwHEttVC&#10;LVFsrXLpiBqUgUSSYqd95PPCtm2VSN/aNqrETMNJaSp/uoTW6/yv5jOoNwF8p8WJAryFwitNFrSj&#10;S89QS0jAtkH/A2W1CBixTQOBtjoKKY6QitHwlTd3HXhVtJDV0Z9Nj/8PVnzdrQLTkibhYsyZA0st&#10;f/zx8/HXbzaZTrI/vY81pS3cKmSFYu/u/C2K75E5XHTgNqrwvD94Kh3liuqvkryJnm5Z919QUg5s&#10;Exaz9m2wGZJsYPvSk8O5J2qfmKDD0fRqOpxwJih0eVEIVVA/VfoQ02eFluVFw4122S+oYXcbU2YC&#10;9VNKPnZ4o40pPTeO9Q2/mowztvVkQHSbUhvRaJnzckUMm/XCBLaDPEDlKwop8jIt4NbJgtspkJ+c&#10;ZKnY4egJHWcsgTbP5yloMs4onklYJTkzil5jXh1ZG3eyMTt37MEa5WEVcjg7SvNQ5J1mNw/cy33J&#10;en6v8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qanS72gAAAAkBAAAPAAAAAAAAAAEAIAAAACIA&#10;AABkcnMvZG93bnJldi54bWxQSwECFAAUAAAACACHTuJAKf9HiwcCAAD3AwAADgAAAAAAAAABACAA&#10;AAApAQAAZHJzL2Uyb0RvYy54bWxQSwUGAAAAAAYABgBZAQAAo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3248025</wp:posOffset>
                            </wp:positionH>
                            <wp:positionV relativeFrom="paragraph">
                              <wp:posOffset>153035</wp:posOffset>
                            </wp:positionV>
                            <wp:extent cx="179705" cy="635"/>
                            <wp:effectExtent l="0" t="37465" r="10795" b="38100"/>
                            <wp:wrapNone/>
                            <wp:docPr id="131" name="直线 573"/>
                            <wp:cNvGraphicFramePr/>
                            <a:graphic xmlns:a="http://schemas.openxmlformats.org/drawingml/2006/main">
                              <a:graphicData uri="http://schemas.microsoft.com/office/word/2010/wordprocessingShape">
                                <wps:wsp>
                                  <wps:cNvCnPr>
                                    <a:cxnSpLocks noChangeShapeType="1"/>
                                  </wps:cNvCnPr>
                                  <wps:spPr bwMode="auto">
                                    <a:xfrm>
                                      <a:off x="0" y="0"/>
                                      <a:ext cx="179705" cy="635"/>
                                    </a:xfrm>
                                    <a:prstGeom prst="line">
                                      <a:avLst/>
                                    </a:prstGeom>
                                    <a:noFill/>
                                    <a:ln w="9525" cmpd="sng">
                                      <a:solidFill>
                                        <a:srgbClr val="000000"/>
                                      </a:solidFill>
                                      <a:round/>
                                      <a:headEnd type="none"/>
                                      <a:tailEnd type="triangle" w="med" len="med"/>
                                    </a:ln>
                                  </wps:spPr>
                                  <wps:bodyPr/>
                                </wps:wsp>
                              </a:graphicData>
                            </a:graphic>
                          </wp:anchor>
                        </w:drawing>
                      </mc:Choice>
                      <mc:Fallback>
                        <w:pict>
                          <v:line id="直线 573" o:spid="_x0000_s1026" o:spt="20" style="position:absolute;left:0pt;margin-left:255.75pt;margin-top:12.05pt;height:0.05pt;width:14.15pt;z-index:251665408;mso-width-relative:page;mso-height-relative:page;" filled="f" stroked="t" coordsize="21600,21600" o:gfxdata="UEsDBAoAAAAAAIdO4kAAAAAAAAAAAAAAAAAEAAAAZHJzL1BLAwQUAAAACACHTuJABpFHOdkAAAAJ&#10;AQAADwAAAGRycy9kb3ducmV2LnhtbE2PwU7DMAyG70i8Q2QkbixNoagrTXdAGpcNpm1oglvWhLai&#10;caok3crb453gaPvT7+8vF5Pt2cn40DmUIGYJMIO10x02Et73y7scWIgKteodGgk/JsCiur4qVaHd&#10;GbfmtIsNoxAMhZLQxjgUnIe6NVaFmRsM0u3Leasijb7h2qszhduep0nyyK3qkD60ajDPram/d6OV&#10;sF0vV/lhNU61/3wRb/vN+vUj5FLe3ojkCVg0U/yD4aJP6lCR09GNqAPrJWRCZIRKSB8EMAKy+zl1&#10;OV4WKfCq5P8bVL9QSwMEFAAAAAgAh07iQGU4xLIHAgAA9wMAAA4AAABkcnMvZTJvRG9jLnhtbK1T&#10;S3IbIRDdpyp3oNhHo0/Jiqc08kKKs3ESV9k+QAsYDRWgKUAa6Sy5RlbZ5Di+Rhoky7Gz8SKzmIKm&#10;+/He62Z+tbeG7VSIGl3DR4MhZ8oJlNptGv5wf/3hI2cxgZNg0KmGH1TkV4v37+a9r9UYOzRSBUYg&#10;Lta9b3iXkq+rKopOWYgD9MrRYYvBQqJt2FQyQE/o1lTj4fCi6jFIH1CoGCm6Oh7yE2J4CyC2rRZq&#10;hWJrlUtH1KAMJJIUO+0jXxS2batE+ta2USVmGk5KU/nTJbRe53+1mEO9CeA7LU4U4C0UXmmyoB1d&#10;eoZaQQK2DfofKKtFwIhtGgi01VFIcYRUjIavvLnrwKuihayO/mx6/H+w4uvuNjAtaRImI84cWGr5&#10;44+fj79+s+lskv3pfawpbeluQ1Yo9u7O36D4HpnDZQduowrP+4On0lGuqF6U5E30dMu6/4KScmCb&#10;sJi1b4PNkGQD25eeHM49UfvEBAVHs8vZcMqZoKOLybTAQ/1U6UNMnxValhcNN9plv6CG3U1MmQnU&#10;Tyk57PBaG1N6bhzrG345HWds68mA6DalNqLRMuflihg266UJbAd5gMp3ovAiLeDWyYLbKZCfnGSp&#10;2OHoCeV8qBNo8xxPQZNxRvFMwirJmVH0GvPqyNq4k43ZuWMP1igPtyEfZ0dpHoq80+zmgft7X7Ke&#10;3+vi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aRRznZAAAACQEAAA8AAAAAAAAAAQAgAAAAIgAA&#10;AGRycy9kb3ducmV2LnhtbFBLAQIUABQAAAAIAIdO4kBlOMSyBwIAAPcDAAAOAAAAAAAAAAEAIAAA&#10;ACg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530240" behindDoc="1" locked="0" layoutInCell="1" allowOverlap="1">
                            <wp:simplePos x="0" y="0"/>
                            <wp:positionH relativeFrom="column">
                              <wp:posOffset>4419600</wp:posOffset>
                            </wp:positionH>
                            <wp:positionV relativeFrom="paragraph">
                              <wp:posOffset>8890</wp:posOffset>
                            </wp:positionV>
                            <wp:extent cx="514985" cy="266065"/>
                            <wp:effectExtent l="0" t="0" r="0" b="1270"/>
                            <wp:wrapNone/>
                            <wp:docPr id="130" name="文本框 574"/>
                            <wp:cNvGraphicFramePr/>
                            <a:graphic xmlns:a="http://schemas.openxmlformats.org/drawingml/2006/main">
                              <a:graphicData uri="http://schemas.microsoft.com/office/word/2010/wordprocessingShape">
                                <wps:wsp>
                                  <wps:cNvSpPr txBox="1">
                                    <a:spLocks noChangeArrowheads="1"/>
                                  </wps:cNvSpPr>
                                  <wps:spPr bwMode="auto">
                                    <a:xfrm>
                                      <a:off x="0" y="0"/>
                                      <a:ext cx="514985" cy="266065"/>
                                    </a:xfrm>
                                    <a:prstGeom prst="rect">
                                      <a:avLst/>
                                    </a:prstGeom>
                                    <a:noFill/>
                                    <a:ln>
                                      <a:noFill/>
                                    </a:ln>
                                    <a:effectLst/>
                                  </wps:spPr>
                                  <wps:txbx>
                                    <w:txbxContent>
                                      <w:p>
                                        <w:pPr>
                                          <w:spacing w:line="240" w:lineRule="auto"/>
                                          <w:ind w:firstLine="0" w:firstLineChars="0"/>
                                          <w:jc w:val="center"/>
                                          <w:rPr>
                                            <w:sz w:val="21"/>
                                            <w:szCs w:val="21"/>
                                          </w:rPr>
                                        </w:pPr>
                                        <w:r>
                                          <w:rPr>
                                            <w:rFonts w:hint="eastAsia"/>
                                            <w:sz w:val="21"/>
                                            <w:szCs w:val="21"/>
                                          </w:rPr>
                                          <w:t>成品</w:t>
                                        </w:r>
                                      </w:p>
                                    </w:txbxContent>
                                  </wps:txbx>
                                  <wps:bodyPr rot="0" vert="horz" wrap="square" lIns="91440" tIns="45720" rIns="91440" bIns="45720" anchor="t" anchorCtr="0" upright="1">
                                    <a:noAutofit/>
                                  </wps:bodyPr>
                                </wps:wsp>
                              </a:graphicData>
                            </a:graphic>
                          </wp:anchor>
                        </w:drawing>
                      </mc:Choice>
                      <mc:Fallback>
                        <w:pict>
                          <v:shape id="文本框 574" o:spid="_x0000_s1026" o:spt="202" type="#_x0000_t202" style="position:absolute;left:0pt;margin-left:348pt;margin-top:0.7pt;height:20.95pt;width:40.55pt;z-index:-251786240;mso-width-relative:page;mso-height-relative:page;" filled="f" stroked="f" coordsize="21600,21600" o:gfxdata="UEsDBAoAAAAAAIdO4kAAAAAAAAAAAAAAAAAEAAAAZHJzL1BLAwQUAAAACACHTuJA2FbpJtYAAAAI&#10;AQAADwAAAGRycy9kb3ducmV2LnhtbE2PwU7DMBBE70j9B2uRuFE7bUhoiNMDiCuI0iJxc+NtEhGv&#10;o9htwt+znOC4equZN+V2dr244Bg6TxqSpQKBVHvbUaNh//58ew8iREPW9J5QwzcG2FaLq9IU1k/0&#10;hpddbASHUCiMhjbGoZAy1C06E5Z+QGJ28qMzkc+xkXY0E4e7Xq6UyqQzHXFDawZ8bLH+2p2dhsPL&#10;6fMjVa/Nk7sbJj8rSW4jtb65TtQDiIhz/HuGX31Wh4qdjv5MNoheQ7bJeEtkkIJgnud5AuKoIV2v&#10;QVal/D+g+gFQSwMEFAAAAAgAh07iQBzvuisfAgAAJgQAAA4AAABkcnMvZTJvRG9jLnhtbK1TS27b&#10;MBDdF+gdCO5rWa7tJILlII2RokD6AdIegKYoi6jEYYe0JfcAzQ266qb7nsvn6JBSXDfdZNENQXKG&#10;b+a9eVxcdk3NdgqdBpPzdDTmTBkJhTabnH/6ePPinDPnhSlEDUblfK8cv1w+f7ZobaYmUEFdKGQE&#10;YlzW2pxX3tssSZysVCPcCKwyFCwBG+HpiJukQNESelMnk/F4nrSAhUWQyjm6XfVBPiDiUwChLLVU&#10;K5DbRhnfo6KqhSdKrtLW8WXstiyV9O/L0inP6pwTUx9XKkL7dViT5UJkGxS20nJoQTylhUecGqEN&#10;FT1CrYQXbIv6H6hGSwQHpR9JaJKeSFSEWKTjR9rcVcKqyIWkdvYouvt/sPLd7gMyXZATXpImRjQ0&#10;8sP3+8OPX4ef39jsbBokaq3LKPPOUq7vXkFH6ZGus7cgPztm4LoSZqOuEKGtlCioxTS8TE6e9jgu&#10;gKzbt1BQJbH1EIG6EpugHynCCJ1a2R/HozrPJF3O0unF+YwzSaHJfD6ez2IFkT08tuj8awUNC5uc&#10;I00/govdrfOhGZE9pIRaBm50XUcH1OavC0rsb1S00PA6UAnd9zx8t+4GadZQ7IkUQm8v+ly0qQC/&#10;ctaStXLuvmwFKs7qN4aEuUin0+DFeJjOziZ0wNPI+jQijCSonHvO+u217/27tag3FVXqR2HgisQs&#10;dSQaWu27GkZA9on8B6sHf56e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hW6SbWAAAA&#10;CAEAAA8AAAAAAAAAAQAgAAAAIgAAAGRycy9kb3ducmV2LnhtbFBLAQIUABQAAAAIAIdO4kAc77or&#10;HwIAACYEAAAOAAAAAAAAAAEAIAAAACUBAABkcnMvZTJvRG9jLnhtbFBLBQYAAAAABgAGAFkBAAC2&#10;BQAAAAA=&#10;">
                            <v:fill on="f" focussize="0,0"/>
                            <v:stroke on="f"/>
                            <v:imagedata o:title=""/>
                            <o:lock v:ext="edit" aspectratio="f"/>
                            <v:textbox>
                              <w:txbxContent>
                                <w:p>
                                  <w:pPr>
                                    <w:spacing w:line="240" w:lineRule="auto"/>
                                    <w:ind w:firstLine="0" w:firstLineChars="0"/>
                                    <w:jc w:val="center"/>
                                    <w:rPr>
                                      <w:sz w:val="21"/>
                                      <w:szCs w:val="21"/>
                                    </w:rPr>
                                  </w:pPr>
                                  <w:r>
                                    <w:rPr>
                                      <w:rFonts w:hint="eastAsia"/>
                                      <w:sz w:val="21"/>
                                      <w:szCs w:val="21"/>
                                    </w:rPr>
                                    <w:t>成品</w:t>
                                  </w:r>
                                </w:p>
                              </w:txbxContent>
                            </v:textbox>
                          </v:shape>
                        </w:pict>
                      </mc:Fallback>
                    </mc:AlternateContent>
                  </w:r>
                </w:p>
                <w:p>
                  <w:pPr>
                    <w:pStyle w:val="71"/>
                    <w:spacing w:afterLines="0"/>
                  </w:pPr>
                  <w:r>
                    <mc:AlternateContent>
                      <mc:Choice Requires="wps">
                        <w:drawing>
                          <wp:anchor distT="0" distB="0" distL="114300" distR="114300" simplePos="0" relativeHeight="251667456" behindDoc="0" locked="0" layoutInCell="1" allowOverlap="1">
                            <wp:simplePos x="0" y="0"/>
                            <wp:positionH relativeFrom="column">
                              <wp:posOffset>809625</wp:posOffset>
                            </wp:positionH>
                            <wp:positionV relativeFrom="paragraph">
                              <wp:posOffset>40005</wp:posOffset>
                            </wp:positionV>
                            <wp:extent cx="360045" cy="635"/>
                            <wp:effectExtent l="0" t="37465" r="1905" b="38100"/>
                            <wp:wrapNone/>
                            <wp:docPr id="129" name="直线 608"/>
                            <wp:cNvGraphicFramePr/>
                            <a:graphic xmlns:a="http://schemas.openxmlformats.org/drawingml/2006/main">
                              <a:graphicData uri="http://schemas.microsoft.com/office/word/2010/wordprocessingShape">
                                <wps:wsp>
                                  <wps:cNvCnPr>
                                    <a:cxnSpLocks noChangeShapeType="1"/>
                                  </wps:cNvCnPr>
                                  <wps:spPr bwMode="auto">
                                    <a:xfrm>
                                      <a:off x="0" y="0"/>
                                      <a:ext cx="360045" cy="635"/>
                                    </a:xfrm>
                                    <a:prstGeom prst="line">
                                      <a:avLst/>
                                    </a:prstGeom>
                                    <a:noFill/>
                                    <a:ln w="9525" cmpd="sng">
                                      <a:solidFill>
                                        <a:srgbClr val="000000"/>
                                      </a:solidFill>
                                      <a:round/>
                                      <a:headEnd type="none"/>
                                      <a:tailEnd type="triangle" w="med" len="med"/>
                                    </a:ln>
                                    <a:effectLst/>
                                  </wps:spPr>
                                  <wps:bodyPr/>
                                </wps:wsp>
                              </a:graphicData>
                            </a:graphic>
                          </wp:anchor>
                        </w:drawing>
                      </mc:Choice>
                      <mc:Fallback>
                        <w:pict>
                          <v:line id="直线 608" o:spid="_x0000_s1026" o:spt="20" style="position:absolute;left:0pt;margin-left:63.75pt;margin-top:3.15pt;height:0.05pt;width:28.35pt;z-index:251667456;mso-width-relative:page;mso-height-relative:page;" filled="f" stroked="t" coordsize="21600,21600" o:gfxdata="UEsDBAoAAAAAAIdO4kAAAAAAAAAAAAAAAAAEAAAAZHJzL1BLAwQUAAAACACHTuJADe7AKdYAAAAH&#10;AQAADwAAAGRycy9kb3ducmV2LnhtbE2OwU7DMBBE70j8g7VI3KiTUEoU4vSAVC4toLYIwc2NlyQi&#10;Xke204a/Z3uC49OMZl65nGwvjuhD50hBOktAINXOdNQoeNuvbnIQIWoyuneECn4wwLK6vCh1YdyJ&#10;tnjcxUbwCIVCK2hjHAopQ92i1WHmBiTOvpy3OjL6RhqvTzxue5klyUJa3RE/tHrAxxbr791oFWw3&#10;q3X+vh6n2n8+pS/7183zR8iVur5KkwcQEaf4V4azPqtDxU4HN5IJomfO7u+4qmBxC+Kc5/MMxIF5&#10;DrIq5X//6hdQSwMEFAAAAAgAh07iQJm4M6gLAgAABQQAAA4AAABkcnMvZTJvRG9jLnhtbK1TS27b&#10;MBDdF+gdCO5ryU5tJILlLOymm7QNkOQAY3JkEeUPJG3ZZ+k1uuqmx8k1OqSdpEk3WVQLgRy+eZz3&#10;Zji/3BvNdhiicrbl41HNGVrhpLKblt/fXX045ywmsBK0s9jyA0Z+uXj/bj74Bieud1piYERiYzP4&#10;lvcp+aaqoujRQBw5j5YOOxcMJNqGTSUDDMRudDWp61k1uCB9cAJjpOjqeMhPjOEthK7rlMCVE1uD&#10;Nh1ZA2pIJCn2yke+KNV2HYr0resiJqZbTkpT+dMltF7nf7WYQ7MJ4HslTiXAW0p4pcmAsnTpE9UK&#10;ErBtUP9QGSWCi65LI+FMdRRSHCEV4/qVN7c9eCxayOron0yP/49WfN3dBKYkTcLkgjMLhlr+8OPn&#10;w6/fbFafZ38GHxuCLe1NyArF3t76aye+R2bdsge7wVLn3cFT6jhnVC9S8iZ6umU9fHGSMLBNrpi1&#10;74LJlGQD25eeHJ56gvvEBAXPZnX9ccqZoKPZ2bTQQ/OY6UNMn9EZlhct18pmv6CB3XVMuRJoHiE5&#10;bN2V0rr0XFs2tPxiOsncxpMB0W5KbnRayYzLGTFs1ksd2A7yAJXvVMILWHBbKwtvjyA/WclSscPS&#10;E8p4aBIo/RxPQZFxGnkuwqDkTCO9xrw6Vq1tTsIywScpjz4eO7J28nATMjjHaTqK2NMk5/H7e19Q&#10;z6938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N7sAp1gAAAAcBAAAPAAAAAAAAAAEAIAAAACIA&#10;AABkcnMvZG93bnJldi54bWxQSwECFAAUAAAACACHTuJAmbgzqAsCAAAFBAAADgAAAAAAAAABACAA&#10;AAAlAQAAZHJzL2Uyb0RvYy54bWxQSwUGAAAAAAYABgBZAQAAo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22400" behindDoc="0" locked="0" layoutInCell="1" allowOverlap="1">
                            <wp:simplePos x="0" y="0"/>
                            <wp:positionH relativeFrom="column">
                              <wp:posOffset>1762125</wp:posOffset>
                            </wp:positionH>
                            <wp:positionV relativeFrom="paragraph">
                              <wp:posOffset>9525</wp:posOffset>
                            </wp:positionV>
                            <wp:extent cx="179705" cy="635"/>
                            <wp:effectExtent l="0" t="37465" r="10795" b="38100"/>
                            <wp:wrapNone/>
                            <wp:docPr id="128" name="直线 403"/>
                            <wp:cNvGraphicFramePr/>
                            <a:graphic xmlns:a="http://schemas.openxmlformats.org/drawingml/2006/main">
                              <a:graphicData uri="http://schemas.microsoft.com/office/word/2010/wordprocessingShape">
                                <wps:wsp>
                                  <wps:cNvCnPr>
                                    <a:cxnSpLocks noChangeShapeType="1"/>
                                  </wps:cNvCnPr>
                                  <wps:spPr bwMode="auto">
                                    <a:xfrm>
                                      <a:off x="0" y="0"/>
                                      <a:ext cx="179705" cy="635"/>
                                    </a:xfrm>
                                    <a:prstGeom prst="line">
                                      <a:avLst/>
                                    </a:prstGeom>
                                    <a:noFill/>
                                    <a:ln w="9525" cmpd="sng">
                                      <a:solidFill>
                                        <a:srgbClr val="000000"/>
                                      </a:solidFill>
                                      <a:round/>
                                      <a:headEnd type="none"/>
                                      <a:tailEnd type="triangle" w="med" len="med"/>
                                    </a:ln>
                                    <a:effectLst/>
                                  </wps:spPr>
                                  <wps:bodyPr/>
                                </wps:wsp>
                              </a:graphicData>
                            </a:graphic>
                          </wp:anchor>
                        </w:drawing>
                      </mc:Choice>
                      <mc:Fallback>
                        <w:pict>
                          <v:line id="直线 403" o:spid="_x0000_s1026" o:spt="20" style="position:absolute;left:0pt;margin-left:138.75pt;margin-top:0.75pt;height:0.05pt;width:14.15pt;z-index:251622400;mso-width-relative:page;mso-height-relative:page;" filled="f" stroked="t" coordsize="21600,21600" o:gfxdata="UEsDBAoAAAAAAIdO4kAAAAAAAAAAAAAAAAAEAAAAZHJzL1BLAwQUAAAACACHTuJAOJdbdNgAAAAH&#10;AQAADwAAAGRycy9kb3ducmV2LnhtbE2PwU7DMBBE70j8g7VI3KidorZRGqcHpHJpAbVFiN7ceEki&#10;4nUUO234e5ZTOa1GM5p9k69G14oz9qHxpCGZKBBIpbcNVRreD+uHFESIhqxpPaGGHwywKm5vcpNZ&#10;f6EdnvexElxCITMa6hi7TMpQ1uhMmPgOib0v3zsTWfaVtL25cLlr5VSpuXSmIf5Qmw6faiy/94PT&#10;sNuuN+nHZhjL/vicvB7eti+fIdX6/i5RSxARx3gNwx8+o0PBTCc/kA2i1TBdLGYcZYMP+49qxlNO&#10;rOcgi1z+5y9+AVBLAwQUAAAACACHTuJAtpzinwsCAAAFBAAADgAAAGRycy9lMm9Eb2MueG1srVNL&#10;chMxEN1TxR1U2uOxHZyQKY+zsAmbAK5KOEBb0nhUSGqVJHvss3ANVmw4Tq5BS/6EhE0WzGJKanU/&#10;vfe6Nb3ZWcO2KkSNruGjwZAz5QRK7dYN//Zw++4DZzGBk2DQqYbvVeQ3s7dvpr2v1Rg7NFIFRiAu&#10;1r1veJeSr6sqik5ZiAP0ytFhi8FCom1YVzJAT+jWVOPh8LLqMUgfUKgYKbo4HPIjYngNILatFmqB&#10;YmOVSwfUoAwkkhQ77SOfFbZtq0T62rZRJWYaTkpT+dMltF7lfzWbQr0O4DstjhTgNRReaLKgHV16&#10;hlpAArYJ+h8oq0XAiG0aCLTVQUhxhFSMhi+8ue/Aq6KFrI7+bHr8f7Diy3YZmJY0CWNqvANLLX/8&#10;8fPx12/2fniR/el9rClt7pYhKxQ7d+/vUHyPzOG8A7dWhefD3lPpKFdUz0ryJnq6ZdV/Rkk5sElY&#10;zNq1wWZIsoHtSk/2556oXWKCgqOr66vhhDNBR5cXkwIP9anSh5g+KbQsLxputMt+QQ3bu5gyE6hP&#10;KTns8FYbU3puHOsbfj0ZZ2zryYDo1qU2otEy5+WKGNaruQlsC3mAynek8Cwt4MbJgtspkB+dZKnY&#10;4egJ5XyoE2jzFE9Bk3FG8UzCKsmZUfQa8+rA2rhcpMoEH6WcfDx0ZIVyvww5OcdpOorY4yTn8ft7&#10;X7KeXu/s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iXW3TYAAAABwEAAA8AAAAAAAAAAQAgAAAA&#10;IgAAAGRycy9kb3ducmV2LnhtbFBLAQIUABQAAAAIAIdO4kC2nOKfCwIAAAUEAAAOAAAAAAAAAAEA&#10;IAAAACcBAABkcnMvZTJvRG9jLnhtbFBLBQYAAAAABgAGAFkBAACk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2505075</wp:posOffset>
                            </wp:positionH>
                            <wp:positionV relativeFrom="paragraph">
                              <wp:posOffset>19050</wp:posOffset>
                            </wp:positionV>
                            <wp:extent cx="179705" cy="635"/>
                            <wp:effectExtent l="0" t="37465" r="10795" b="38100"/>
                            <wp:wrapNone/>
                            <wp:docPr id="511" name="直线 571"/>
                            <wp:cNvGraphicFramePr/>
                            <a:graphic xmlns:a="http://schemas.openxmlformats.org/drawingml/2006/main">
                              <a:graphicData uri="http://schemas.microsoft.com/office/word/2010/wordprocessingShape">
                                <wps:wsp>
                                  <wps:cNvCnPr>
                                    <a:cxnSpLocks noChangeShapeType="1"/>
                                  </wps:cNvCnPr>
                                  <wps:spPr bwMode="auto">
                                    <a:xfrm>
                                      <a:off x="0" y="0"/>
                                      <a:ext cx="179705" cy="635"/>
                                    </a:xfrm>
                                    <a:prstGeom prst="line">
                                      <a:avLst/>
                                    </a:prstGeom>
                                    <a:noFill/>
                                    <a:ln w="9525" cmpd="sng">
                                      <a:solidFill>
                                        <a:srgbClr val="000000"/>
                                      </a:solidFill>
                                      <a:round/>
                                      <a:headEnd type="none"/>
                                      <a:tailEnd type="triangle" w="med" len="med"/>
                                    </a:ln>
                                  </wps:spPr>
                                  <wps:bodyPr/>
                                </wps:wsp>
                              </a:graphicData>
                            </a:graphic>
                          </wp:anchor>
                        </w:drawing>
                      </mc:Choice>
                      <mc:Fallback>
                        <w:pict>
                          <v:line id="直线 571" o:spid="_x0000_s1026" o:spt="20" style="position:absolute;left:0pt;margin-left:197.25pt;margin-top:1.5pt;height:0.05pt;width:14.15pt;z-index:251664384;mso-width-relative:page;mso-height-relative:page;" filled="f" stroked="t" coordsize="21600,21600" o:gfxdata="UEsDBAoAAAAAAIdO4kAAAAAAAAAAAAAAAAAEAAAAZHJzL1BLAwQUAAAACACHTuJAo1OFfdcAAAAH&#10;AQAADwAAAGRycy9kb3ducmV2LnhtbE2PwU7DMBBE70j8g7VI3KiTUFAa4vSAVC4toLYIlZsbL0lE&#10;vI5spw1/z3KC245mNPumXE62Fyf0oXOkIJ0lIJBqZzpqFLztVzc5iBA1Gd07QgXfGGBZXV6UujDu&#10;TFs87WIjuIRCoRW0MQ6FlKFu0eowcwMSe5/OWx1Z+kYar89cbnuZJcm9tLoj/tDqAR9brL92o1Ww&#10;3azW+ft6nGr/8ZS+7F83z4eQK3V9lSYPICJO8S8Mv/iMDhUzHd1IJohewe1ifsdRPngS+/Ms4ylH&#10;1inIqpT/+asfUEsDBBQAAAAIAIdO4kCEJ32kBQIAAPcDAAAOAAAAZHJzL2Uyb0RvYy54bWytU8Fy&#10;2yAQvXem/8BwryW547jRWM7BbnpJW88k/QAMSGIKLAPYsr+lv9FTL/2c/EYXZDtNesmhOmhg2X28&#10;93ZZ3ByMJnvpgwLb0GpSUiItB6Fs19BvD7fvPlASIrOCabCyoUcZ6M3y7ZvF4Go5hR60kJ4giA31&#10;4Brax+jqogi8l4aFCThp8bAFb1jEre8K4dmA6EYX07K8KgbwwnngMgSMrsdDekL0rwGEtlVcroHv&#10;jLRxRPVSs4iSQq9coMvMtm0lj1/bNshIdENRacx/vATX2/QvlgtWd565XvETBfYaCi80GaYsXnqB&#10;WrPIyM6rf6CM4h4CtHHCwRSjkOwIqqjKF97c98zJrAWtDu5ievh/sPzLfuOJEg2dVRUllhls+eOP&#10;n4+/fpPZvEr+DC7UmLayG58U8oO9d3fAvwdiYdUz28nM8+HosDRXFM9K0iY4vGU7fAaBOWwXIZt1&#10;aL1JkGgDOeSeHC89kYdIOAar+fW8nFHC8ejq/SwRKlh9rnQ+xE8SDEmLhmplk1+sZvu7EMfUc0oK&#10;W7hVWueea0uGhl7PpgnbODQg2C7XBtBKpLxUEXy3XWlP9iwNUP5OFJ6ledhZkXF7ycRHK0jMdlh8&#10;QuOMRab0Uzx6hcZpSRMJIwUlWuJrTKuRtbao8+zc2IMtiOPGp+MUx3nITpxmNw3c3/uc9fRel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1OFfdcAAAAHAQAADwAAAAAAAAABACAAAAAiAAAAZHJz&#10;L2Rvd25yZXYueG1sUEsBAhQAFAAAAAgAh07iQIQnfaQFAgAA9wMAAA4AAAAAAAAAAQAgAAAAJgEA&#10;AGRycy9lMm9Eb2MueG1sUEsFBgAAAAAGAAYAWQEAAJ0FAAAAAA==&#10;">
                            <v:fill on="f" focussize="0,0"/>
                            <v:stroke color="#000000" joinstyle="round" endarrow="block"/>
                            <v:imagedata o:title=""/>
                            <o:lock v:ext="edit" aspectratio="f"/>
                          </v:line>
                        </w:pict>
                      </mc:Fallback>
                    </mc:AlternateContent>
                  </w:r>
                </w:p>
                <w:p>
                  <w:pPr>
                    <w:pStyle w:val="71"/>
                    <w:spacing w:afterLines="0"/>
                    <w:jc w:val="both"/>
                  </w:pPr>
                </w:p>
              </w:tc>
            </w:tr>
          </w:tbl>
          <w:p>
            <w:pPr>
              <w:pStyle w:val="71"/>
              <w:spacing w:afterLines="0"/>
            </w:pPr>
            <w:r>
              <w:t>图5-2  风机生产工艺流程及产污环节图</w:t>
            </w:r>
          </w:p>
          <w:p>
            <w:pPr>
              <w:ind w:firstLine="480"/>
            </w:pPr>
            <w:r>
              <w:t>工艺流程说明：</w:t>
            </w:r>
            <w:bookmarkStart w:id="126" w:name="_Toc29380627"/>
            <w:bookmarkStart w:id="127" w:name="_Toc29388578"/>
          </w:p>
          <w:p>
            <w:pPr>
              <w:ind w:firstLine="480"/>
            </w:pPr>
            <w:r>
              <w:t>风轮部分：</w:t>
            </w:r>
            <w:r>
              <w:rPr>
                <w:rFonts w:hint="eastAsia"/>
              </w:rPr>
              <w:t>将</w:t>
            </w:r>
            <w:r>
              <w:t>外购风机</w:t>
            </w:r>
            <w:r>
              <w:rPr>
                <w:rFonts w:hint="eastAsia"/>
              </w:rPr>
              <w:t>壳体</w:t>
            </w:r>
            <w:r>
              <w:t>、轴承等根据设计图纸</w:t>
            </w:r>
            <w:r>
              <w:rPr>
                <w:rFonts w:hint="eastAsia"/>
              </w:rPr>
              <w:t>进行下料</w:t>
            </w:r>
            <w:r>
              <w:t>切割</w:t>
            </w:r>
            <w:r>
              <w:rPr>
                <w:rFonts w:hint="eastAsia"/>
              </w:rPr>
              <w:t>，并加工出</w:t>
            </w:r>
            <w:r>
              <w:t>合适</w:t>
            </w:r>
            <w:r>
              <w:rPr>
                <w:rFonts w:hint="eastAsia"/>
              </w:rPr>
              <w:t>弧度</w:t>
            </w:r>
            <w:r>
              <w:t>，将材料焊接成整体后进行检测，经检测合格后得到成型风轮。</w:t>
            </w:r>
          </w:p>
          <w:p>
            <w:pPr>
              <w:ind w:firstLine="480"/>
            </w:pPr>
            <w:r>
              <w:t>电机部分：将外购</w:t>
            </w:r>
            <w:r>
              <w:rPr>
                <w:rFonts w:hint="eastAsia"/>
              </w:rPr>
              <w:t>电机毛坯、</w:t>
            </w:r>
            <w:r>
              <w:t>定子</w:t>
            </w:r>
            <w:r>
              <w:rPr>
                <w:rFonts w:hint="eastAsia"/>
              </w:rPr>
              <w:t>组件</w:t>
            </w:r>
            <w:r>
              <w:t>、转子</w:t>
            </w:r>
            <w:r>
              <w:rPr>
                <w:rFonts w:hint="eastAsia"/>
              </w:rPr>
              <w:t>组件</w:t>
            </w:r>
            <w:r>
              <w:t>、电路等各类电子元器件进行组装，在真空含浸机中进行浸漆处理，使电机内的线圈得到更稳定的效果，浸泡约半小时后取出烘干</w:t>
            </w:r>
            <w:r>
              <w:rPr>
                <w:rFonts w:hint="eastAsia"/>
              </w:rPr>
              <w:t>，根据不同产品性能选择烘干温度，温度范围在135~200℃之间</w:t>
            </w:r>
            <w:r>
              <w:t>，烘干约半小时后取出即为电机。</w:t>
            </w:r>
          </w:p>
          <w:p>
            <w:pPr>
              <w:ind w:firstLine="480"/>
            </w:pPr>
            <w:r>
              <w:t>将</w:t>
            </w:r>
            <w:r>
              <w:rPr>
                <w:rFonts w:hint="eastAsia"/>
              </w:rPr>
              <w:t>加工成的</w:t>
            </w:r>
            <w:r>
              <w:t>风轮</w:t>
            </w:r>
            <w:r>
              <w:rPr>
                <w:rFonts w:hint="eastAsia"/>
              </w:rPr>
              <w:t>、</w:t>
            </w:r>
            <w:r>
              <w:t>电机</w:t>
            </w:r>
            <w:r>
              <w:rPr>
                <w:rFonts w:hint="eastAsia"/>
              </w:rPr>
              <w:t>、精密配件和其他零部件</w:t>
            </w:r>
            <w:r>
              <w:t>进行组装，经测试、老化综合测试合格后即为</w:t>
            </w:r>
            <w:r>
              <w:rPr>
                <w:rFonts w:hint="eastAsia"/>
              </w:rPr>
              <w:t>风机</w:t>
            </w:r>
            <w:r>
              <w:t>成品。</w:t>
            </w:r>
          </w:p>
          <w:p>
            <w:pPr>
              <w:pStyle w:val="6"/>
            </w:pPr>
          </w:p>
          <w:p>
            <w:pPr>
              <w:pStyle w:val="6"/>
            </w:pPr>
          </w:p>
          <w:p>
            <w:pPr>
              <w:pStyle w:val="6"/>
            </w:pPr>
            <w:r>
              <w:t>5.2.2主要污染工序</w:t>
            </w:r>
            <w:bookmarkEnd w:id="126"/>
            <w:bookmarkEnd w:id="127"/>
          </w:p>
          <w:p>
            <w:pPr>
              <w:ind w:firstLine="480"/>
            </w:pPr>
            <w:r>
              <w:t>本项目主要污染工序及污染因子见下表。</w:t>
            </w:r>
          </w:p>
          <w:p>
            <w:pPr>
              <w:pStyle w:val="46"/>
            </w:pPr>
            <w:r>
              <w:t>表5-</w:t>
            </w:r>
            <w:r>
              <w:rPr>
                <w:rFonts w:hint="eastAsia"/>
              </w:rPr>
              <w:t>1</w:t>
            </w:r>
            <w:r>
              <w:t xml:space="preserve"> 主要污染工序</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1953"/>
              <w:gridCol w:w="2388"/>
              <w:gridCol w:w="743"/>
              <w:gridCol w:w="2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vAlign w:val="center"/>
                </w:tcPr>
                <w:p>
                  <w:pPr>
                    <w:pStyle w:val="46"/>
                  </w:pPr>
                  <w:r>
                    <w:t>项目</w:t>
                  </w:r>
                </w:p>
              </w:tc>
              <w:tc>
                <w:tcPr>
                  <w:tcW w:w="1119" w:type="pct"/>
                  <w:tcBorders>
                    <w:top w:val="single" w:color="auto" w:sz="4" w:space="0"/>
                    <w:left w:val="single" w:color="auto" w:sz="4" w:space="0"/>
                    <w:bottom w:val="single" w:color="auto" w:sz="4" w:space="0"/>
                    <w:right w:val="single" w:color="auto" w:sz="4" w:space="0"/>
                  </w:tcBorders>
                  <w:vAlign w:val="center"/>
                </w:tcPr>
                <w:p>
                  <w:pPr>
                    <w:pStyle w:val="46"/>
                  </w:pPr>
                  <w:r>
                    <w:t>污染物类型</w:t>
                  </w:r>
                </w:p>
              </w:tc>
              <w:tc>
                <w:tcPr>
                  <w:tcW w:w="1369" w:type="pct"/>
                  <w:tcBorders>
                    <w:top w:val="single" w:color="auto" w:sz="4" w:space="0"/>
                    <w:left w:val="single" w:color="auto" w:sz="4" w:space="0"/>
                    <w:bottom w:val="single" w:color="auto" w:sz="4" w:space="0"/>
                    <w:right w:val="single" w:color="auto" w:sz="4" w:space="0"/>
                  </w:tcBorders>
                  <w:vAlign w:val="center"/>
                </w:tcPr>
                <w:p>
                  <w:pPr>
                    <w:pStyle w:val="46"/>
                  </w:pPr>
                  <w:r>
                    <w:t>污染工序</w:t>
                  </w:r>
                </w:p>
              </w:tc>
              <w:tc>
                <w:tcPr>
                  <w:tcW w:w="426" w:type="pct"/>
                  <w:tcBorders>
                    <w:top w:val="single" w:color="auto" w:sz="4" w:space="0"/>
                    <w:left w:val="single" w:color="auto" w:sz="4" w:space="0"/>
                    <w:bottom w:val="single" w:color="auto" w:sz="4" w:space="0"/>
                    <w:right w:val="single" w:color="auto" w:sz="4" w:space="0"/>
                  </w:tcBorders>
                  <w:vAlign w:val="center"/>
                </w:tcPr>
                <w:p>
                  <w:pPr>
                    <w:pStyle w:val="46"/>
                  </w:pPr>
                  <w:r>
                    <w:t>编号</w:t>
                  </w:r>
                </w:p>
              </w:tc>
              <w:tc>
                <w:tcPr>
                  <w:tcW w:w="1471" w:type="pct"/>
                  <w:tcBorders>
                    <w:top w:val="single" w:color="auto" w:sz="4" w:space="0"/>
                    <w:left w:val="single" w:color="auto" w:sz="4" w:space="0"/>
                    <w:bottom w:val="single" w:color="auto" w:sz="4" w:space="0"/>
                    <w:right w:val="single" w:color="auto" w:sz="4" w:space="0"/>
                  </w:tcBorders>
                  <w:vAlign w:val="center"/>
                </w:tcPr>
                <w:p>
                  <w:pPr>
                    <w:pStyle w:val="46"/>
                  </w:pPr>
                  <w:r>
                    <w:t>主要污染因子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vMerge w:val="restart"/>
                  <w:tcBorders>
                    <w:top w:val="single" w:color="auto" w:sz="4" w:space="0"/>
                    <w:left w:val="single" w:color="auto" w:sz="4" w:space="0"/>
                    <w:right w:val="single" w:color="auto" w:sz="4" w:space="0"/>
                  </w:tcBorders>
                  <w:vAlign w:val="center"/>
                </w:tcPr>
                <w:p>
                  <w:pPr>
                    <w:pStyle w:val="47"/>
                  </w:pPr>
                  <w:r>
                    <w:t>废水</w:t>
                  </w:r>
                </w:p>
              </w:tc>
              <w:tc>
                <w:tcPr>
                  <w:tcW w:w="1119"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打磨废水</w:t>
                  </w:r>
                </w:p>
              </w:tc>
              <w:tc>
                <w:tcPr>
                  <w:tcW w:w="1369"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粗磨、精磨</w:t>
                  </w:r>
                </w:p>
              </w:tc>
              <w:tc>
                <w:tcPr>
                  <w:tcW w:w="426" w:type="pct"/>
                  <w:tcBorders>
                    <w:top w:val="single" w:color="auto" w:sz="4" w:space="0"/>
                    <w:left w:val="single" w:color="auto" w:sz="4" w:space="0"/>
                    <w:bottom w:val="single" w:color="auto" w:sz="4" w:space="0"/>
                    <w:right w:val="single" w:color="auto" w:sz="4" w:space="0"/>
                  </w:tcBorders>
                  <w:vAlign w:val="center"/>
                </w:tcPr>
                <w:p>
                  <w:pPr>
                    <w:pStyle w:val="47"/>
                  </w:pPr>
                  <w:r>
                    <w:t>W</w:t>
                  </w:r>
                  <w:r>
                    <w:rPr>
                      <w:vertAlign w:val="subscript"/>
                    </w:rPr>
                    <w:t>1</w:t>
                  </w:r>
                </w:p>
              </w:tc>
              <w:tc>
                <w:tcPr>
                  <w:tcW w:w="147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vMerge w:val="continue"/>
                  <w:tcBorders>
                    <w:left w:val="single" w:color="auto" w:sz="4" w:space="0"/>
                    <w:bottom w:val="single" w:color="auto" w:sz="4" w:space="0"/>
                    <w:right w:val="single" w:color="auto" w:sz="4" w:space="0"/>
                  </w:tcBorders>
                  <w:vAlign w:val="center"/>
                </w:tcPr>
                <w:p>
                  <w:pPr>
                    <w:pStyle w:val="47"/>
                  </w:pPr>
                </w:p>
              </w:tc>
              <w:tc>
                <w:tcPr>
                  <w:tcW w:w="1119" w:type="pct"/>
                  <w:tcBorders>
                    <w:top w:val="single" w:color="auto" w:sz="4" w:space="0"/>
                    <w:left w:val="single" w:color="auto" w:sz="4" w:space="0"/>
                    <w:bottom w:val="single" w:color="auto" w:sz="4" w:space="0"/>
                    <w:right w:val="single" w:color="auto" w:sz="4" w:space="0"/>
                  </w:tcBorders>
                  <w:vAlign w:val="center"/>
                </w:tcPr>
                <w:p>
                  <w:pPr>
                    <w:pStyle w:val="47"/>
                  </w:pPr>
                  <w:r>
                    <w:t>生活污水</w:t>
                  </w:r>
                </w:p>
              </w:tc>
              <w:tc>
                <w:tcPr>
                  <w:tcW w:w="1369" w:type="pct"/>
                  <w:tcBorders>
                    <w:top w:val="single" w:color="auto" w:sz="4" w:space="0"/>
                    <w:left w:val="single" w:color="auto" w:sz="4" w:space="0"/>
                    <w:bottom w:val="single" w:color="auto" w:sz="4" w:space="0"/>
                    <w:right w:val="single" w:color="auto" w:sz="4" w:space="0"/>
                  </w:tcBorders>
                  <w:vAlign w:val="center"/>
                </w:tcPr>
                <w:p>
                  <w:pPr>
                    <w:pStyle w:val="47"/>
                  </w:pPr>
                  <w:r>
                    <w:t>职工生活</w:t>
                  </w:r>
                </w:p>
              </w:tc>
              <w:tc>
                <w:tcPr>
                  <w:tcW w:w="426" w:type="pct"/>
                  <w:tcBorders>
                    <w:top w:val="single" w:color="auto" w:sz="4" w:space="0"/>
                    <w:left w:val="single" w:color="auto" w:sz="4" w:space="0"/>
                    <w:bottom w:val="single" w:color="auto" w:sz="4" w:space="0"/>
                    <w:right w:val="single" w:color="auto" w:sz="4" w:space="0"/>
                  </w:tcBorders>
                  <w:vAlign w:val="center"/>
                </w:tcPr>
                <w:p>
                  <w:pPr>
                    <w:pStyle w:val="47"/>
                  </w:pPr>
                  <w:r>
                    <w:t>W</w:t>
                  </w:r>
                  <w:r>
                    <w:rPr>
                      <w:rFonts w:hint="eastAsia"/>
                      <w:vertAlign w:val="subscript"/>
                    </w:rPr>
                    <w:t>2</w:t>
                  </w:r>
                </w:p>
              </w:tc>
              <w:tc>
                <w:tcPr>
                  <w:tcW w:w="1471" w:type="pct"/>
                  <w:tcBorders>
                    <w:top w:val="single" w:color="auto" w:sz="4" w:space="0"/>
                    <w:left w:val="single" w:color="auto" w:sz="4" w:space="0"/>
                    <w:bottom w:val="single" w:color="auto" w:sz="4" w:space="0"/>
                    <w:right w:val="single" w:color="auto" w:sz="4" w:space="0"/>
                  </w:tcBorders>
                  <w:vAlign w:val="center"/>
                </w:tcPr>
                <w:p>
                  <w:pPr>
                    <w:pStyle w:val="47"/>
                  </w:pPr>
                  <w:r>
                    <w:t>COD</w:t>
                  </w:r>
                  <w:r>
                    <w:rPr>
                      <w:vertAlign w:val="subscript"/>
                    </w:rPr>
                    <w:t>Cr</w:t>
                  </w:r>
                  <w:r>
                    <w:t>、NH</w:t>
                  </w:r>
                  <w:r>
                    <w:rPr>
                      <w:vertAlign w:val="subscript"/>
                    </w:rPr>
                    <w:t>3</w:t>
                  </w:r>
                  <w: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vMerge w:val="restart"/>
                  <w:tcBorders>
                    <w:top w:val="single" w:color="auto" w:sz="4" w:space="0"/>
                    <w:left w:val="single" w:color="auto" w:sz="4" w:space="0"/>
                    <w:right w:val="single" w:color="auto" w:sz="4" w:space="0"/>
                  </w:tcBorders>
                  <w:vAlign w:val="center"/>
                </w:tcPr>
                <w:p>
                  <w:pPr>
                    <w:pStyle w:val="47"/>
                  </w:pPr>
                  <w:r>
                    <w:t>废气</w:t>
                  </w:r>
                </w:p>
              </w:tc>
              <w:tc>
                <w:tcPr>
                  <w:tcW w:w="1119" w:type="pct"/>
                  <w:tcBorders>
                    <w:top w:val="single" w:color="auto" w:sz="4" w:space="0"/>
                    <w:left w:val="single" w:color="auto" w:sz="4" w:space="0"/>
                    <w:bottom w:val="single" w:color="auto" w:sz="4" w:space="0"/>
                    <w:right w:val="single" w:color="auto" w:sz="4" w:space="0"/>
                  </w:tcBorders>
                  <w:vAlign w:val="center"/>
                </w:tcPr>
                <w:p>
                  <w:pPr>
                    <w:pStyle w:val="47"/>
                  </w:pPr>
                  <w:r>
                    <w:t>焊接烟尘</w:t>
                  </w:r>
                </w:p>
              </w:tc>
              <w:tc>
                <w:tcPr>
                  <w:tcW w:w="1369" w:type="pct"/>
                  <w:tcBorders>
                    <w:top w:val="single" w:color="auto" w:sz="4" w:space="0"/>
                    <w:left w:val="single" w:color="auto" w:sz="4" w:space="0"/>
                    <w:bottom w:val="single" w:color="auto" w:sz="4" w:space="0"/>
                    <w:right w:val="single" w:color="auto" w:sz="4" w:space="0"/>
                  </w:tcBorders>
                  <w:vAlign w:val="center"/>
                </w:tcPr>
                <w:p>
                  <w:pPr>
                    <w:pStyle w:val="47"/>
                  </w:pPr>
                  <w:r>
                    <w:t>焊接</w:t>
                  </w:r>
                </w:p>
              </w:tc>
              <w:tc>
                <w:tcPr>
                  <w:tcW w:w="426" w:type="pct"/>
                  <w:tcBorders>
                    <w:top w:val="single" w:color="auto" w:sz="4" w:space="0"/>
                    <w:left w:val="single" w:color="auto" w:sz="4" w:space="0"/>
                    <w:bottom w:val="single" w:color="auto" w:sz="4" w:space="0"/>
                    <w:right w:val="single" w:color="auto" w:sz="4" w:space="0"/>
                  </w:tcBorders>
                  <w:vAlign w:val="center"/>
                </w:tcPr>
                <w:p>
                  <w:pPr>
                    <w:pStyle w:val="47"/>
                  </w:pPr>
                  <w:r>
                    <w:t>G</w:t>
                  </w:r>
                  <w:r>
                    <w:rPr>
                      <w:rFonts w:hint="eastAsia"/>
                      <w:vertAlign w:val="subscript"/>
                    </w:rPr>
                    <w:t>1</w:t>
                  </w:r>
                </w:p>
              </w:tc>
              <w:tc>
                <w:tcPr>
                  <w:tcW w:w="1471" w:type="pct"/>
                  <w:tcBorders>
                    <w:top w:val="single" w:color="auto" w:sz="4" w:space="0"/>
                    <w:left w:val="single" w:color="auto" w:sz="4" w:space="0"/>
                    <w:bottom w:val="single" w:color="auto" w:sz="4" w:space="0"/>
                    <w:right w:val="single" w:color="auto" w:sz="4" w:space="0"/>
                  </w:tcBorders>
                  <w:vAlign w:val="center"/>
                </w:tcPr>
                <w:p>
                  <w:pPr>
                    <w:pStyle w:val="47"/>
                  </w:pPr>
                  <w: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vMerge w:val="continue"/>
                  <w:tcBorders>
                    <w:left w:val="single" w:color="auto" w:sz="4" w:space="0"/>
                    <w:right w:val="single" w:color="auto" w:sz="4" w:space="0"/>
                  </w:tcBorders>
                  <w:vAlign w:val="center"/>
                </w:tcPr>
                <w:p>
                  <w:pPr>
                    <w:pStyle w:val="47"/>
                  </w:pPr>
                </w:p>
              </w:tc>
              <w:tc>
                <w:tcPr>
                  <w:tcW w:w="1119" w:type="pct"/>
                  <w:tcBorders>
                    <w:top w:val="single" w:color="auto" w:sz="4" w:space="0"/>
                    <w:left w:val="single" w:color="auto" w:sz="4" w:space="0"/>
                    <w:bottom w:val="single" w:color="auto" w:sz="4" w:space="0"/>
                    <w:right w:val="single" w:color="auto" w:sz="4" w:space="0"/>
                  </w:tcBorders>
                  <w:vAlign w:val="center"/>
                </w:tcPr>
                <w:p>
                  <w:pPr>
                    <w:pStyle w:val="47"/>
                  </w:pPr>
                  <w:r>
                    <w:t>有机废气</w:t>
                  </w:r>
                </w:p>
              </w:tc>
              <w:tc>
                <w:tcPr>
                  <w:tcW w:w="1369" w:type="pct"/>
                  <w:tcBorders>
                    <w:top w:val="single" w:color="auto" w:sz="4" w:space="0"/>
                    <w:left w:val="single" w:color="auto" w:sz="4" w:space="0"/>
                    <w:bottom w:val="single" w:color="auto" w:sz="4" w:space="0"/>
                    <w:right w:val="single" w:color="auto" w:sz="4" w:space="0"/>
                  </w:tcBorders>
                  <w:vAlign w:val="center"/>
                </w:tcPr>
                <w:p>
                  <w:pPr>
                    <w:pStyle w:val="47"/>
                  </w:pPr>
                  <w:r>
                    <w:t>浸漆、烘干</w:t>
                  </w:r>
                </w:p>
              </w:tc>
              <w:tc>
                <w:tcPr>
                  <w:tcW w:w="426" w:type="pct"/>
                  <w:tcBorders>
                    <w:top w:val="single" w:color="auto" w:sz="4" w:space="0"/>
                    <w:left w:val="single" w:color="auto" w:sz="4" w:space="0"/>
                    <w:bottom w:val="single" w:color="auto" w:sz="4" w:space="0"/>
                    <w:right w:val="single" w:color="auto" w:sz="4" w:space="0"/>
                  </w:tcBorders>
                  <w:vAlign w:val="center"/>
                </w:tcPr>
                <w:p>
                  <w:pPr>
                    <w:pStyle w:val="47"/>
                  </w:pPr>
                  <w:r>
                    <w:t>G</w:t>
                  </w:r>
                  <w:r>
                    <w:rPr>
                      <w:rFonts w:hint="eastAsia"/>
                      <w:vertAlign w:val="subscript"/>
                    </w:rPr>
                    <w:t>2</w:t>
                  </w:r>
                </w:p>
              </w:tc>
              <w:tc>
                <w:tcPr>
                  <w:tcW w:w="1471" w:type="pct"/>
                  <w:tcBorders>
                    <w:top w:val="single" w:color="auto" w:sz="4" w:space="0"/>
                    <w:left w:val="single" w:color="auto" w:sz="4" w:space="0"/>
                    <w:bottom w:val="single" w:color="auto" w:sz="4" w:space="0"/>
                    <w:right w:val="single" w:color="auto" w:sz="4" w:space="0"/>
                  </w:tcBorders>
                  <w:vAlign w:val="center"/>
                </w:tcPr>
                <w:p>
                  <w:pPr>
                    <w:pStyle w:val="47"/>
                  </w:pPr>
                  <w:r>
                    <w:t>非甲烷总烃、</w:t>
                  </w:r>
                  <w:r>
                    <w:rPr>
                      <w:rFonts w:hint="eastAsia"/>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vMerge w:val="restart"/>
                  <w:tcBorders>
                    <w:left w:val="single" w:color="auto" w:sz="4" w:space="0"/>
                    <w:right w:val="single" w:color="auto" w:sz="4" w:space="0"/>
                  </w:tcBorders>
                  <w:vAlign w:val="center"/>
                </w:tcPr>
                <w:p>
                  <w:pPr>
                    <w:pStyle w:val="47"/>
                  </w:pPr>
                  <w:r>
                    <w:t>固体废物</w:t>
                  </w:r>
                </w:p>
              </w:tc>
              <w:tc>
                <w:tcPr>
                  <w:tcW w:w="1119" w:type="pct"/>
                  <w:tcBorders>
                    <w:top w:val="single" w:color="auto" w:sz="4" w:space="0"/>
                    <w:left w:val="single" w:color="auto" w:sz="4" w:space="0"/>
                    <w:bottom w:val="single" w:color="auto" w:sz="4" w:space="0"/>
                    <w:right w:val="single" w:color="auto" w:sz="4" w:space="0"/>
                  </w:tcBorders>
                  <w:vAlign w:val="center"/>
                </w:tcPr>
                <w:p>
                  <w:pPr>
                    <w:pStyle w:val="47"/>
                  </w:pPr>
                  <w:r>
                    <w:t>一般包装材料</w:t>
                  </w:r>
                </w:p>
              </w:tc>
              <w:tc>
                <w:tcPr>
                  <w:tcW w:w="1369" w:type="pct"/>
                  <w:tcBorders>
                    <w:top w:val="single" w:color="auto" w:sz="4" w:space="0"/>
                    <w:left w:val="single" w:color="auto" w:sz="4" w:space="0"/>
                    <w:bottom w:val="single" w:color="auto" w:sz="4" w:space="0"/>
                    <w:right w:val="single" w:color="auto" w:sz="4" w:space="0"/>
                  </w:tcBorders>
                  <w:vAlign w:val="center"/>
                </w:tcPr>
                <w:p>
                  <w:pPr>
                    <w:pStyle w:val="47"/>
                  </w:pPr>
                  <w:r>
                    <w:t>原料使用</w:t>
                  </w:r>
                </w:p>
              </w:tc>
              <w:tc>
                <w:tcPr>
                  <w:tcW w:w="426" w:type="pct"/>
                  <w:tcBorders>
                    <w:top w:val="single" w:color="auto" w:sz="4" w:space="0"/>
                    <w:left w:val="single" w:color="auto" w:sz="4" w:space="0"/>
                    <w:bottom w:val="single" w:color="auto" w:sz="4" w:space="0"/>
                    <w:right w:val="single" w:color="auto" w:sz="4" w:space="0"/>
                  </w:tcBorders>
                  <w:vAlign w:val="center"/>
                </w:tcPr>
                <w:p>
                  <w:pPr>
                    <w:pStyle w:val="47"/>
                  </w:pPr>
                  <w:r>
                    <w:t>S</w:t>
                  </w:r>
                  <w:r>
                    <w:rPr>
                      <w:vertAlign w:val="subscript"/>
                    </w:rPr>
                    <w:t>1</w:t>
                  </w:r>
                </w:p>
              </w:tc>
              <w:tc>
                <w:tcPr>
                  <w:tcW w:w="1471" w:type="pct"/>
                  <w:tcBorders>
                    <w:top w:val="single" w:color="auto" w:sz="4" w:space="0"/>
                    <w:left w:val="single" w:color="auto" w:sz="4" w:space="0"/>
                    <w:bottom w:val="single" w:color="auto" w:sz="4" w:space="0"/>
                    <w:right w:val="single" w:color="auto" w:sz="4" w:space="0"/>
                  </w:tcBorders>
                  <w:vAlign w:val="center"/>
                </w:tcPr>
                <w:p>
                  <w:pPr>
                    <w:pStyle w:val="47"/>
                  </w:pPr>
                  <w:r>
                    <w:t>塑料袋、纸箱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vMerge w:val="continue"/>
                  <w:tcBorders>
                    <w:left w:val="single" w:color="auto" w:sz="4" w:space="0"/>
                    <w:right w:val="single" w:color="auto" w:sz="4" w:space="0"/>
                  </w:tcBorders>
                  <w:vAlign w:val="center"/>
                </w:tcPr>
                <w:p>
                  <w:pPr>
                    <w:pStyle w:val="47"/>
                  </w:pPr>
                </w:p>
              </w:tc>
              <w:tc>
                <w:tcPr>
                  <w:tcW w:w="1119" w:type="pct"/>
                  <w:tcBorders>
                    <w:top w:val="single" w:color="auto" w:sz="4" w:space="0"/>
                    <w:left w:val="single" w:color="auto" w:sz="4" w:space="0"/>
                    <w:right w:val="single" w:color="auto" w:sz="4" w:space="0"/>
                  </w:tcBorders>
                  <w:vAlign w:val="center"/>
                </w:tcPr>
                <w:p>
                  <w:pPr>
                    <w:pStyle w:val="47"/>
                  </w:pPr>
                  <w:r>
                    <w:rPr>
                      <w:rFonts w:hint="eastAsia"/>
                    </w:rPr>
                    <w:t>金属边角料</w:t>
                  </w:r>
                </w:p>
              </w:tc>
              <w:tc>
                <w:tcPr>
                  <w:tcW w:w="1369"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下料、粗车、普铣、精车、打孔、攻丝</w:t>
                  </w:r>
                </w:p>
              </w:tc>
              <w:tc>
                <w:tcPr>
                  <w:tcW w:w="426" w:type="pct"/>
                  <w:tcBorders>
                    <w:top w:val="single" w:color="auto" w:sz="4" w:space="0"/>
                    <w:left w:val="single" w:color="auto" w:sz="4" w:space="0"/>
                    <w:bottom w:val="single" w:color="auto" w:sz="4" w:space="0"/>
                    <w:right w:val="single" w:color="auto" w:sz="4" w:space="0"/>
                  </w:tcBorders>
                  <w:vAlign w:val="center"/>
                </w:tcPr>
                <w:p>
                  <w:pPr>
                    <w:pStyle w:val="47"/>
                  </w:pPr>
                  <w:r>
                    <w:t>S</w:t>
                  </w:r>
                  <w:r>
                    <w:rPr>
                      <w:vertAlign w:val="subscript"/>
                    </w:rPr>
                    <w:t>2</w:t>
                  </w:r>
                </w:p>
              </w:tc>
              <w:tc>
                <w:tcPr>
                  <w:tcW w:w="147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废钢材、铝材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vMerge w:val="continue"/>
                  <w:tcBorders>
                    <w:left w:val="single" w:color="auto" w:sz="4" w:space="0"/>
                    <w:right w:val="single" w:color="auto" w:sz="4" w:space="0"/>
                  </w:tcBorders>
                  <w:vAlign w:val="center"/>
                </w:tcPr>
                <w:p>
                  <w:pPr>
                    <w:pStyle w:val="47"/>
                  </w:pPr>
                </w:p>
              </w:tc>
              <w:tc>
                <w:tcPr>
                  <w:tcW w:w="1119" w:type="pct"/>
                  <w:tcBorders>
                    <w:top w:val="single" w:color="auto" w:sz="4" w:space="0"/>
                    <w:left w:val="single" w:color="auto" w:sz="4" w:space="0"/>
                    <w:right w:val="single" w:color="auto" w:sz="4" w:space="0"/>
                  </w:tcBorders>
                  <w:vAlign w:val="center"/>
                </w:tcPr>
                <w:p>
                  <w:pPr>
                    <w:pStyle w:val="47"/>
                  </w:pPr>
                  <w:r>
                    <w:t>次品</w:t>
                  </w:r>
                </w:p>
              </w:tc>
              <w:tc>
                <w:tcPr>
                  <w:tcW w:w="1369" w:type="pct"/>
                  <w:tcBorders>
                    <w:top w:val="single" w:color="auto" w:sz="4" w:space="0"/>
                    <w:left w:val="single" w:color="auto" w:sz="4" w:space="0"/>
                    <w:bottom w:val="single" w:color="auto" w:sz="4" w:space="0"/>
                    <w:right w:val="single" w:color="auto" w:sz="4" w:space="0"/>
                  </w:tcBorders>
                  <w:vAlign w:val="center"/>
                </w:tcPr>
                <w:p>
                  <w:pPr>
                    <w:pStyle w:val="47"/>
                  </w:pPr>
                  <w:r>
                    <w:t>检测</w:t>
                  </w:r>
                </w:p>
              </w:tc>
              <w:tc>
                <w:tcPr>
                  <w:tcW w:w="426" w:type="pct"/>
                  <w:tcBorders>
                    <w:top w:val="single" w:color="auto" w:sz="4" w:space="0"/>
                    <w:left w:val="single" w:color="auto" w:sz="4" w:space="0"/>
                    <w:bottom w:val="single" w:color="auto" w:sz="4" w:space="0"/>
                    <w:right w:val="single" w:color="auto" w:sz="4" w:space="0"/>
                  </w:tcBorders>
                  <w:vAlign w:val="center"/>
                </w:tcPr>
                <w:p>
                  <w:pPr>
                    <w:pStyle w:val="47"/>
                  </w:pPr>
                  <w:r>
                    <w:t>S</w:t>
                  </w:r>
                  <w:r>
                    <w:rPr>
                      <w:rFonts w:hint="eastAsia"/>
                      <w:vertAlign w:val="subscript"/>
                    </w:rPr>
                    <w:t>3</w:t>
                  </w:r>
                </w:p>
              </w:tc>
              <w:tc>
                <w:tcPr>
                  <w:tcW w:w="147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钢材、铝材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vMerge w:val="continue"/>
                  <w:tcBorders>
                    <w:left w:val="single" w:color="auto" w:sz="4" w:space="0"/>
                    <w:right w:val="single" w:color="auto" w:sz="4" w:space="0"/>
                  </w:tcBorders>
                  <w:vAlign w:val="center"/>
                </w:tcPr>
                <w:p>
                  <w:pPr>
                    <w:pStyle w:val="47"/>
                  </w:pPr>
                </w:p>
              </w:tc>
              <w:tc>
                <w:tcPr>
                  <w:tcW w:w="1119" w:type="pct"/>
                  <w:tcBorders>
                    <w:left w:val="single" w:color="auto" w:sz="4" w:space="0"/>
                    <w:right w:val="single" w:color="auto" w:sz="4" w:space="0"/>
                  </w:tcBorders>
                  <w:vAlign w:val="center"/>
                </w:tcPr>
                <w:p>
                  <w:pPr>
                    <w:pStyle w:val="47"/>
                  </w:pPr>
                  <w:r>
                    <w:t>废乳化液</w:t>
                  </w:r>
                </w:p>
              </w:tc>
              <w:tc>
                <w:tcPr>
                  <w:tcW w:w="1369" w:type="pct"/>
                  <w:tcBorders>
                    <w:top w:val="single" w:color="auto" w:sz="4" w:space="0"/>
                    <w:left w:val="single" w:color="auto" w:sz="4" w:space="0"/>
                    <w:bottom w:val="single" w:color="auto" w:sz="4" w:space="0"/>
                    <w:right w:val="single" w:color="auto" w:sz="4" w:space="0"/>
                  </w:tcBorders>
                  <w:vAlign w:val="center"/>
                </w:tcPr>
                <w:p>
                  <w:pPr>
                    <w:pStyle w:val="47"/>
                  </w:pPr>
                  <w:r>
                    <w:t>粗车、普铣、精车</w:t>
                  </w:r>
                </w:p>
              </w:tc>
              <w:tc>
                <w:tcPr>
                  <w:tcW w:w="426" w:type="pct"/>
                  <w:tcBorders>
                    <w:top w:val="single" w:color="auto" w:sz="4" w:space="0"/>
                    <w:left w:val="single" w:color="auto" w:sz="4" w:space="0"/>
                    <w:bottom w:val="single" w:color="auto" w:sz="4" w:space="0"/>
                    <w:right w:val="single" w:color="auto" w:sz="4" w:space="0"/>
                  </w:tcBorders>
                  <w:vAlign w:val="center"/>
                </w:tcPr>
                <w:p>
                  <w:pPr>
                    <w:pStyle w:val="47"/>
                  </w:pPr>
                  <w:r>
                    <w:t>S</w:t>
                  </w:r>
                  <w:r>
                    <w:rPr>
                      <w:rFonts w:hint="eastAsia"/>
                      <w:vertAlign w:val="subscript"/>
                    </w:rPr>
                    <w:t>4</w:t>
                  </w:r>
                </w:p>
              </w:tc>
              <w:tc>
                <w:tcPr>
                  <w:tcW w:w="1471" w:type="pct"/>
                  <w:tcBorders>
                    <w:top w:val="single" w:color="auto" w:sz="4" w:space="0"/>
                    <w:left w:val="single" w:color="auto" w:sz="4" w:space="0"/>
                    <w:bottom w:val="single" w:color="auto" w:sz="4" w:space="0"/>
                    <w:right w:val="single" w:color="auto" w:sz="4" w:space="0"/>
                  </w:tcBorders>
                  <w:vAlign w:val="center"/>
                </w:tcPr>
                <w:p>
                  <w:pPr>
                    <w:pStyle w:val="47"/>
                  </w:pPr>
                  <w:r>
                    <w:t>乳化液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vMerge w:val="continue"/>
                  <w:tcBorders>
                    <w:left w:val="single" w:color="auto" w:sz="4" w:space="0"/>
                    <w:right w:val="single" w:color="auto" w:sz="4" w:space="0"/>
                  </w:tcBorders>
                  <w:vAlign w:val="center"/>
                </w:tcPr>
                <w:p>
                  <w:pPr>
                    <w:pStyle w:val="47"/>
                  </w:pPr>
                </w:p>
              </w:tc>
              <w:tc>
                <w:tcPr>
                  <w:tcW w:w="1119" w:type="pct"/>
                  <w:tcBorders>
                    <w:left w:val="single" w:color="auto" w:sz="4" w:space="0"/>
                    <w:right w:val="single" w:color="auto" w:sz="4" w:space="0"/>
                  </w:tcBorders>
                  <w:vAlign w:val="center"/>
                </w:tcPr>
                <w:p>
                  <w:pPr>
                    <w:pStyle w:val="47"/>
                  </w:pPr>
                  <w:r>
                    <w:rPr>
                      <w:rFonts w:hint="eastAsia"/>
                    </w:rPr>
                    <w:t>废漆料</w:t>
                  </w:r>
                </w:p>
              </w:tc>
              <w:tc>
                <w:tcPr>
                  <w:tcW w:w="1369"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真空浸漆</w:t>
                  </w:r>
                </w:p>
              </w:tc>
              <w:tc>
                <w:tcPr>
                  <w:tcW w:w="426" w:type="pct"/>
                  <w:tcBorders>
                    <w:top w:val="single" w:color="auto" w:sz="4" w:space="0"/>
                    <w:left w:val="single" w:color="auto" w:sz="4" w:space="0"/>
                    <w:bottom w:val="single" w:color="auto" w:sz="4" w:space="0"/>
                    <w:right w:val="single" w:color="auto" w:sz="4" w:space="0"/>
                  </w:tcBorders>
                  <w:vAlign w:val="center"/>
                </w:tcPr>
                <w:p>
                  <w:pPr>
                    <w:pStyle w:val="47"/>
                  </w:pPr>
                  <w:r>
                    <w:t>S</w:t>
                  </w:r>
                  <w:r>
                    <w:rPr>
                      <w:rFonts w:hint="eastAsia"/>
                      <w:vertAlign w:val="subscript"/>
                    </w:rPr>
                    <w:t>5</w:t>
                  </w:r>
                </w:p>
              </w:tc>
              <w:tc>
                <w:tcPr>
                  <w:tcW w:w="147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绝缘漆残渣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vMerge w:val="continue"/>
                  <w:tcBorders>
                    <w:left w:val="single" w:color="auto" w:sz="4" w:space="0"/>
                    <w:right w:val="single" w:color="auto" w:sz="4" w:space="0"/>
                  </w:tcBorders>
                  <w:vAlign w:val="center"/>
                </w:tcPr>
                <w:p>
                  <w:pPr>
                    <w:pStyle w:val="47"/>
                  </w:pPr>
                </w:p>
              </w:tc>
              <w:tc>
                <w:tcPr>
                  <w:tcW w:w="1119" w:type="pct"/>
                  <w:tcBorders>
                    <w:left w:val="single" w:color="auto" w:sz="4" w:space="0"/>
                    <w:right w:val="single" w:color="auto" w:sz="4" w:space="0"/>
                  </w:tcBorders>
                  <w:vAlign w:val="center"/>
                </w:tcPr>
                <w:p>
                  <w:pPr>
                    <w:pStyle w:val="47"/>
                  </w:pPr>
                  <w:r>
                    <w:t>废包装桶</w:t>
                  </w:r>
                </w:p>
              </w:tc>
              <w:tc>
                <w:tcPr>
                  <w:tcW w:w="1369" w:type="pct"/>
                  <w:tcBorders>
                    <w:top w:val="single" w:color="auto" w:sz="4" w:space="0"/>
                    <w:left w:val="single" w:color="auto" w:sz="4" w:space="0"/>
                    <w:bottom w:val="single" w:color="auto" w:sz="4" w:space="0"/>
                    <w:right w:val="single" w:color="auto" w:sz="4" w:space="0"/>
                  </w:tcBorders>
                  <w:vAlign w:val="center"/>
                </w:tcPr>
                <w:p>
                  <w:pPr>
                    <w:pStyle w:val="47"/>
                  </w:pPr>
                  <w:r>
                    <w:t>乳化液</w:t>
                  </w:r>
                  <w:r>
                    <w:rPr>
                      <w:rFonts w:hint="eastAsia"/>
                    </w:rPr>
                    <w:t>、绝缘漆</w:t>
                  </w:r>
                  <w:r>
                    <w:t>使用</w:t>
                  </w:r>
                </w:p>
              </w:tc>
              <w:tc>
                <w:tcPr>
                  <w:tcW w:w="426" w:type="pct"/>
                  <w:tcBorders>
                    <w:top w:val="single" w:color="auto" w:sz="4" w:space="0"/>
                    <w:left w:val="single" w:color="auto" w:sz="4" w:space="0"/>
                    <w:bottom w:val="single" w:color="auto" w:sz="4" w:space="0"/>
                    <w:right w:val="single" w:color="auto" w:sz="4" w:space="0"/>
                  </w:tcBorders>
                  <w:vAlign w:val="center"/>
                </w:tcPr>
                <w:p>
                  <w:pPr>
                    <w:pStyle w:val="47"/>
                  </w:pPr>
                  <w:r>
                    <w:t>S</w:t>
                  </w:r>
                  <w:r>
                    <w:rPr>
                      <w:rFonts w:hint="eastAsia"/>
                      <w:vertAlign w:val="subscript"/>
                    </w:rPr>
                    <w:t>6</w:t>
                  </w:r>
                </w:p>
              </w:tc>
              <w:tc>
                <w:tcPr>
                  <w:tcW w:w="1471" w:type="pct"/>
                  <w:tcBorders>
                    <w:top w:val="single" w:color="auto" w:sz="4" w:space="0"/>
                    <w:left w:val="single" w:color="auto" w:sz="4" w:space="0"/>
                    <w:bottom w:val="single" w:color="auto" w:sz="4" w:space="0"/>
                    <w:right w:val="single" w:color="auto" w:sz="4" w:space="0"/>
                  </w:tcBorders>
                  <w:vAlign w:val="center"/>
                </w:tcPr>
                <w:p>
                  <w:pPr>
                    <w:pStyle w:val="47"/>
                  </w:pPr>
                  <w:r>
                    <w:t>乳化液</w:t>
                  </w:r>
                  <w:r>
                    <w:rPr>
                      <w:rFonts w:hint="eastAsia"/>
                    </w:rPr>
                    <w:t>、绝缘漆、废包装</w:t>
                  </w:r>
                  <w:r>
                    <w:t>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vMerge w:val="continue"/>
                  <w:tcBorders>
                    <w:left w:val="single" w:color="auto" w:sz="4" w:space="0"/>
                    <w:right w:val="single" w:color="auto" w:sz="4" w:space="0"/>
                  </w:tcBorders>
                  <w:vAlign w:val="center"/>
                </w:tcPr>
                <w:p>
                  <w:pPr>
                    <w:pStyle w:val="47"/>
                  </w:pPr>
                </w:p>
              </w:tc>
              <w:tc>
                <w:tcPr>
                  <w:tcW w:w="1119" w:type="pct"/>
                  <w:tcBorders>
                    <w:left w:val="single" w:color="auto" w:sz="4" w:space="0"/>
                    <w:right w:val="single" w:color="auto" w:sz="4" w:space="0"/>
                  </w:tcBorders>
                  <w:vAlign w:val="center"/>
                </w:tcPr>
                <w:p>
                  <w:pPr>
                    <w:pStyle w:val="47"/>
                  </w:pPr>
                  <w:r>
                    <w:rPr>
                      <w:rFonts w:hint="eastAsia"/>
                    </w:rPr>
                    <w:t>废机油</w:t>
                  </w:r>
                </w:p>
              </w:tc>
              <w:tc>
                <w:tcPr>
                  <w:tcW w:w="1369"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设备保养</w:t>
                  </w:r>
                </w:p>
              </w:tc>
              <w:tc>
                <w:tcPr>
                  <w:tcW w:w="426" w:type="pct"/>
                  <w:tcBorders>
                    <w:top w:val="single" w:color="auto" w:sz="4" w:space="0"/>
                    <w:left w:val="single" w:color="auto" w:sz="4" w:space="0"/>
                    <w:bottom w:val="single" w:color="auto" w:sz="4" w:space="0"/>
                    <w:right w:val="single" w:color="auto" w:sz="4" w:space="0"/>
                  </w:tcBorders>
                  <w:vAlign w:val="center"/>
                </w:tcPr>
                <w:p>
                  <w:pPr>
                    <w:pStyle w:val="47"/>
                  </w:pPr>
                  <w:r>
                    <w:t>S</w:t>
                  </w:r>
                  <w:r>
                    <w:rPr>
                      <w:rFonts w:hint="eastAsia"/>
                      <w:vertAlign w:val="subscript"/>
                    </w:rPr>
                    <w:t>7</w:t>
                  </w:r>
                </w:p>
              </w:tc>
              <w:tc>
                <w:tcPr>
                  <w:tcW w:w="147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机油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vMerge w:val="continue"/>
                  <w:tcBorders>
                    <w:left w:val="single" w:color="auto" w:sz="4" w:space="0"/>
                    <w:right w:val="single" w:color="auto" w:sz="4" w:space="0"/>
                  </w:tcBorders>
                  <w:vAlign w:val="center"/>
                </w:tcPr>
                <w:p>
                  <w:pPr>
                    <w:pStyle w:val="47"/>
                  </w:pPr>
                </w:p>
              </w:tc>
              <w:tc>
                <w:tcPr>
                  <w:tcW w:w="1119" w:type="pct"/>
                  <w:tcBorders>
                    <w:left w:val="single" w:color="auto" w:sz="4" w:space="0"/>
                    <w:right w:val="single" w:color="auto" w:sz="4" w:space="0"/>
                  </w:tcBorders>
                  <w:vAlign w:val="center"/>
                </w:tcPr>
                <w:p>
                  <w:pPr>
                    <w:pStyle w:val="47"/>
                  </w:pPr>
                  <w:r>
                    <w:rPr>
                      <w:rFonts w:hint="eastAsia"/>
                    </w:rPr>
                    <w:t>废油桶</w:t>
                  </w:r>
                </w:p>
              </w:tc>
              <w:tc>
                <w:tcPr>
                  <w:tcW w:w="1369"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机油、液压油使用</w:t>
                  </w:r>
                </w:p>
              </w:tc>
              <w:tc>
                <w:tcPr>
                  <w:tcW w:w="426" w:type="pct"/>
                  <w:tcBorders>
                    <w:top w:val="single" w:color="auto" w:sz="4" w:space="0"/>
                    <w:left w:val="single" w:color="auto" w:sz="4" w:space="0"/>
                    <w:bottom w:val="single" w:color="auto" w:sz="4" w:space="0"/>
                    <w:right w:val="single" w:color="auto" w:sz="4" w:space="0"/>
                  </w:tcBorders>
                  <w:vAlign w:val="center"/>
                </w:tcPr>
                <w:p>
                  <w:pPr>
                    <w:pStyle w:val="47"/>
                  </w:pPr>
                  <w:r>
                    <w:t>S</w:t>
                  </w:r>
                  <w:r>
                    <w:rPr>
                      <w:rFonts w:hint="eastAsia"/>
                      <w:vertAlign w:val="subscript"/>
                    </w:rPr>
                    <w:t>8</w:t>
                  </w:r>
                </w:p>
              </w:tc>
              <w:tc>
                <w:tcPr>
                  <w:tcW w:w="147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机油、液压油、废包装</w:t>
                  </w:r>
                  <w:r>
                    <w:t>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vMerge w:val="continue"/>
                  <w:tcBorders>
                    <w:left w:val="single" w:color="auto" w:sz="4" w:space="0"/>
                    <w:right w:val="single" w:color="auto" w:sz="4" w:space="0"/>
                  </w:tcBorders>
                  <w:vAlign w:val="center"/>
                </w:tcPr>
                <w:p>
                  <w:pPr>
                    <w:pStyle w:val="47"/>
                  </w:pPr>
                </w:p>
              </w:tc>
              <w:tc>
                <w:tcPr>
                  <w:tcW w:w="1119" w:type="pct"/>
                  <w:tcBorders>
                    <w:left w:val="single" w:color="auto" w:sz="4" w:space="0"/>
                    <w:right w:val="single" w:color="auto" w:sz="4" w:space="0"/>
                  </w:tcBorders>
                  <w:vAlign w:val="center"/>
                </w:tcPr>
                <w:p>
                  <w:pPr>
                    <w:pStyle w:val="47"/>
                  </w:pPr>
                  <w:r>
                    <w:rPr>
                      <w:rFonts w:hint="eastAsia"/>
                    </w:rPr>
                    <w:t>金属沉渣</w:t>
                  </w:r>
                </w:p>
              </w:tc>
              <w:tc>
                <w:tcPr>
                  <w:tcW w:w="1369"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废水处理</w:t>
                  </w:r>
                </w:p>
              </w:tc>
              <w:tc>
                <w:tcPr>
                  <w:tcW w:w="426" w:type="pct"/>
                  <w:tcBorders>
                    <w:top w:val="single" w:color="auto" w:sz="4" w:space="0"/>
                    <w:left w:val="single" w:color="auto" w:sz="4" w:space="0"/>
                    <w:bottom w:val="single" w:color="auto" w:sz="4" w:space="0"/>
                    <w:right w:val="single" w:color="auto" w:sz="4" w:space="0"/>
                  </w:tcBorders>
                  <w:vAlign w:val="center"/>
                </w:tcPr>
                <w:p>
                  <w:pPr>
                    <w:pStyle w:val="47"/>
                  </w:pPr>
                  <w:r>
                    <w:t>S</w:t>
                  </w:r>
                  <w:r>
                    <w:rPr>
                      <w:rFonts w:hint="eastAsia"/>
                      <w:vertAlign w:val="subscript"/>
                    </w:rPr>
                    <w:t>9</w:t>
                  </w:r>
                </w:p>
              </w:tc>
              <w:tc>
                <w:tcPr>
                  <w:tcW w:w="147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金属屑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vMerge w:val="continue"/>
                  <w:tcBorders>
                    <w:left w:val="single" w:color="auto" w:sz="4" w:space="0"/>
                    <w:right w:val="single" w:color="auto" w:sz="4" w:space="0"/>
                  </w:tcBorders>
                  <w:vAlign w:val="center"/>
                </w:tcPr>
                <w:p>
                  <w:pPr>
                    <w:pStyle w:val="47"/>
                  </w:pPr>
                </w:p>
              </w:tc>
              <w:tc>
                <w:tcPr>
                  <w:tcW w:w="1119" w:type="pct"/>
                  <w:tcBorders>
                    <w:left w:val="single" w:color="auto" w:sz="4" w:space="0"/>
                    <w:right w:val="single" w:color="auto" w:sz="4" w:space="0"/>
                  </w:tcBorders>
                  <w:vAlign w:val="center"/>
                </w:tcPr>
                <w:p>
                  <w:pPr>
                    <w:pStyle w:val="47"/>
                  </w:pPr>
                  <w:r>
                    <w:t>废活性炭</w:t>
                  </w:r>
                </w:p>
              </w:tc>
              <w:tc>
                <w:tcPr>
                  <w:tcW w:w="1369" w:type="pct"/>
                  <w:tcBorders>
                    <w:top w:val="single" w:color="auto" w:sz="4" w:space="0"/>
                    <w:left w:val="single" w:color="auto" w:sz="4" w:space="0"/>
                    <w:bottom w:val="single" w:color="auto" w:sz="4" w:space="0"/>
                    <w:right w:val="single" w:color="auto" w:sz="4" w:space="0"/>
                  </w:tcBorders>
                  <w:vAlign w:val="center"/>
                </w:tcPr>
                <w:p>
                  <w:pPr>
                    <w:pStyle w:val="47"/>
                  </w:pPr>
                  <w:r>
                    <w:t>废气处理</w:t>
                  </w:r>
                </w:p>
              </w:tc>
              <w:tc>
                <w:tcPr>
                  <w:tcW w:w="744" w:type="dxa"/>
                  <w:tcBorders>
                    <w:top w:val="single" w:color="auto" w:sz="4" w:space="0"/>
                    <w:left w:val="single" w:color="auto" w:sz="4" w:space="0"/>
                    <w:bottom w:val="single" w:color="auto" w:sz="4" w:space="0"/>
                    <w:right w:val="single" w:color="auto" w:sz="4" w:space="0"/>
                  </w:tcBorders>
                  <w:vAlign w:val="center"/>
                </w:tcPr>
                <w:p>
                  <w:pPr>
                    <w:pStyle w:val="47"/>
                  </w:pPr>
                  <w:r>
                    <w:t>S</w:t>
                  </w:r>
                  <w:r>
                    <w:rPr>
                      <w:rFonts w:hint="eastAsia"/>
                      <w:vertAlign w:val="subscript"/>
                    </w:rPr>
                    <w:t>10</w:t>
                  </w:r>
                </w:p>
              </w:tc>
              <w:tc>
                <w:tcPr>
                  <w:tcW w:w="1471" w:type="pct"/>
                  <w:tcBorders>
                    <w:top w:val="single" w:color="auto" w:sz="4" w:space="0"/>
                    <w:left w:val="single" w:color="auto" w:sz="4" w:space="0"/>
                    <w:bottom w:val="single" w:color="auto" w:sz="4" w:space="0"/>
                    <w:right w:val="single" w:color="auto" w:sz="4" w:space="0"/>
                  </w:tcBorders>
                  <w:vAlign w:val="center"/>
                </w:tcPr>
                <w:p>
                  <w:pPr>
                    <w:pStyle w:val="47"/>
                  </w:pPr>
                  <w:r>
                    <w:t>活性炭、有机废气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vMerge w:val="continue"/>
                  <w:tcBorders>
                    <w:left w:val="single" w:color="auto" w:sz="4" w:space="0"/>
                    <w:right w:val="single" w:color="auto" w:sz="4" w:space="0"/>
                  </w:tcBorders>
                  <w:vAlign w:val="center"/>
                </w:tcPr>
                <w:p>
                  <w:pPr>
                    <w:pStyle w:val="47"/>
                  </w:pPr>
                </w:p>
              </w:tc>
              <w:tc>
                <w:tcPr>
                  <w:tcW w:w="1119" w:type="pct"/>
                  <w:tcBorders>
                    <w:left w:val="single" w:color="auto" w:sz="4" w:space="0"/>
                    <w:right w:val="single" w:color="auto" w:sz="4" w:space="0"/>
                  </w:tcBorders>
                  <w:vAlign w:val="center"/>
                </w:tcPr>
                <w:p>
                  <w:pPr>
                    <w:pStyle w:val="47"/>
                  </w:pPr>
                  <w:r>
                    <w:rPr>
                      <w:rFonts w:hint="eastAsia"/>
                    </w:rPr>
                    <w:t>废滤芯</w:t>
                  </w:r>
                </w:p>
              </w:tc>
              <w:tc>
                <w:tcPr>
                  <w:tcW w:w="1369"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废气处理</w:t>
                  </w:r>
                </w:p>
              </w:tc>
              <w:tc>
                <w:tcPr>
                  <w:tcW w:w="744" w:type="dxa"/>
                  <w:tcBorders>
                    <w:top w:val="single" w:color="auto" w:sz="4" w:space="0"/>
                    <w:left w:val="single" w:color="auto" w:sz="4" w:space="0"/>
                    <w:bottom w:val="single" w:color="auto" w:sz="4" w:space="0"/>
                    <w:right w:val="single" w:color="auto" w:sz="4" w:space="0"/>
                  </w:tcBorders>
                  <w:vAlign w:val="center"/>
                </w:tcPr>
                <w:p>
                  <w:pPr>
                    <w:pStyle w:val="47"/>
                  </w:pPr>
                  <w:r>
                    <w:t>S</w:t>
                  </w:r>
                  <w:r>
                    <w:rPr>
                      <w:rFonts w:hint="eastAsia"/>
                      <w:vertAlign w:val="subscript"/>
                    </w:rPr>
                    <w:t>11</w:t>
                  </w:r>
                </w:p>
              </w:tc>
              <w:tc>
                <w:tcPr>
                  <w:tcW w:w="147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滤芯、焊接烟尘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vMerge w:val="continue"/>
                  <w:tcBorders>
                    <w:left w:val="single" w:color="auto" w:sz="4" w:space="0"/>
                    <w:right w:val="single" w:color="auto" w:sz="4" w:space="0"/>
                  </w:tcBorders>
                  <w:vAlign w:val="center"/>
                </w:tcPr>
                <w:p>
                  <w:pPr>
                    <w:pStyle w:val="47"/>
                  </w:pPr>
                </w:p>
              </w:tc>
              <w:tc>
                <w:tcPr>
                  <w:tcW w:w="1119" w:type="pct"/>
                  <w:tcBorders>
                    <w:left w:val="single" w:color="auto" w:sz="4" w:space="0"/>
                    <w:right w:val="single" w:color="auto" w:sz="4" w:space="0"/>
                  </w:tcBorders>
                  <w:vAlign w:val="center"/>
                </w:tcPr>
                <w:p>
                  <w:pPr>
                    <w:pStyle w:val="47"/>
                  </w:pPr>
                  <w:r>
                    <w:rPr>
                      <w:rFonts w:hint="eastAsia"/>
                    </w:rPr>
                    <w:t>含漆废抹布和手套</w:t>
                  </w:r>
                </w:p>
              </w:tc>
              <w:tc>
                <w:tcPr>
                  <w:tcW w:w="1369"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绝缘漆使用</w:t>
                  </w:r>
                </w:p>
              </w:tc>
              <w:tc>
                <w:tcPr>
                  <w:tcW w:w="744" w:type="dxa"/>
                  <w:tcBorders>
                    <w:top w:val="single" w:color="auto" w:sz="4" w:space="0"/>
                    <w:left w:val="single" w:color="auto" w:sz="4" w:space="0"/>
                    <w:bottom w:val="single" w:color="auto" w:sz="4" w:space="0"/>
                    <w:right w:val="single" w:color="auto" w:sz="4" w:space="0"/>
                  </w:tcBorders>
                  <w:vAlign w:val="center"/>
                </w:tcPr>
                <w:p>
                  <w:pPr>
                    <w:pStyle w:val="47"/>
                  </w:pPr>
                  <w:r>
                    <w:t>S</w:t>
                  </w:r>
                  <w:r>
                    <w:rPr>
                      <w:rFonts w:hint="eastAsia"/>
                      <w:vertAlign w:val="subscript"/>
                    </w:rPr>
                    <w:t>12</w:t>
                  </w:r>
                </w:p>
              </w:tc>
              <w:tc>
                <w:tcPr>
                  <w:tcW w:w="1471" w:type="pct"/>
                  <w:tcBorders>
                    <w:top w:val="single" w:color="auto" w:sz="4" w:space="0"/>
                    <w:left w:val="single" w:color="auto" w:sz="4" w:space="0"/>
                    <w:bottom w:val="single" w:color="auto" w:sz="4" w:space="0"/>
                    <w:right w:val="single" w:color="auto" w:sz="4" w:space="0"/>
                  </w:tcBorders>
                  <w:vAlign w:val="center"/>
                </w:tcPr>
                <w:p>
                  <w:pPr>
                    <w:pStyle w:val="47"/>
                  </w:pPr>
                  <w:r>
                    <w:t>手套、抹布、</w:t>
                  </w:r>
                  <w:r>
                    <w:rPr>
                      <w:rFonts w:hint="eastAsia"/>
                    </w:rPr>
                    <w:t>绝缘漆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vMerge w:val="continue"/>
                  <w:tcBorders>
                    <w:left w:val="single" w:color="auto" w:sz="4" w:space="0"/>
                    <w:right w:val="single" w:color="auto" w:sz="4" w:space="0"/>
                  </w:tcBorders>
                  <w:vAlign w:val="center"/>
                </w:tcPr>
                <w:p>
                  <w:pPr>
                    <w:pStyle w:val="47"/>
                  </w:pPr>
                </w:p>
              </w:tc>
              <w:tc>
                <w:tcPr>
                  <w:tcW w:w="1119" w:type="pct"/>
                  <w:tcBorders>
                    <w:left w:val="single" w:color="auto" w:sz="4" w:space="0"/>
                    <w:right w:val="single" w:color="auto" w:sz="4" w:space="0"/>
                  </w:tcBorders>
                  <w:vAlign w:val="center"/>
                </w:tcPr>
                <w:p>
                  <w:pPr>
                    <w:pStyle w:val="47"/>
                  </w:pPr>
                  <w:r>
                    <w:rPr>
                      <w:rFonts w:hint="eastAsia"/>
                    </w:rPr>
                    <w:t>含油废抹布和手套</w:t>
                  </w:r>
                </w:p>
              </w:tc>
              <w:tc>
                <w:tcPr>
                  <w:tcW w:w="1369"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设备保养</w:t>
                  </w:r>
                </w:p>
              </w:tc>
              <w:tc>
                <w:tcPr>
                  <w:tcW w:w="744" w:type="dxa"/>
                  <w:tcBorders>
                    <w:top w:val="single" w:color="auto" w:sz="4" w:space="0"/>
                    <w:left w:val="single" w:color="auto" w:sz="4" w:space="0"/>
                    <w:bottom w:val="single" w:color="auto" w:sz="4" w:space="0"/>
                    <w:right w:val="single" w:color="auto" w:sz="4" w:space="0"/>
                  </w:tcBorders>
                  <w:vAlign w:val="center"/>
                </w:tcPr>
                <w:p>
                  <w:pPr>
                    <w:pStyle w:val="47"/>
                  </w:pPr>
                  <w:r>
                    <w:t>S</w:t>
                  </w:r>
                  <w:r>
                    <w:rPr>
                      <w:rFonts w:hint="eastAsia"/>
                      <w:vertAlign w:val="subscript"/>
                    </w:rPr>
                    <w:t>13</w:t>
                  </w:r>
                </w:p>
              </w:tc>
              <w:tc>
                <w:tcPr>
                  <w:tcW w:w="1471" w:type="pct"/>
                  <w:tcBorders>
                    <w:top w:val="single" w:color="auto" w:sz="4" w:space="0"/>
                    <w:left w:val="single" w:color="auto" w:sz="4" w:space="0"/>
                    <w:bottom w:val="single" w:color="auto" w:sz="4" w:space="0"/>
                    <w:right w:val="single" w:color="auto" w:sz="4" w:space="0"/>
                  </w:tcBorders>
                  <w:vAlign w:val="center"/>
                </w:tcPr>
                <w:p>
                  <w:pPr>
                    <w:pStyle w:val="47"/>
                  </w:pPr>
                  <w:r>
                    <w:t>手套、抹布、</w:t>
                  </w:r>
                  <w:r>
                    <w:rPr>
                      <w:rFonts w:hint="eastAsia"/>
                    </w:rPr>
                    <w:t>机油、液压油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vMerge w:val="continue"/>
                  <w:tcBorders>
                    <w:left w:val="single" w:color="auto" w:sz="4" w:space="0"/>
                    <w:bottom w:val="single" w:color="auto" w:sz="4" w:space="0"/>
                    <w:right w:val="single" w:color="auto" w:sz="4" w:space="0"/>
                  </w:tcBorders>
                  <w:vAlign w:val="center"/>
                </w:tcPr>
                <w:p>
                  <w:pPr>
                    <w:pStyle w:val="47"/>
                  </w:pPr>
                </w:p>
              </w:tc>
              <w:tc>
                <w:tcPr>
                  <w:tcW w:w="1119" w:type="pct"/>
                  <w:tcBorders>
                    <w:top w:val="single" w:color="auto" w:sz="4" w:space="0"/>
                    <w:left w:val="single" w:color="auto" w:sz="4" w:space="0"/>
                    <w:bottom w:val="single" w:color="auto" w:sz="4" w:space="0"/>
                    <w:right w:val="single" w:color="auto" w:sz="4" w:space="0"/>
                  </w:tcBorders>
                  <w:vAlign w:val="center"/>
                </w:tcPr>
                <w:p>
                  <w:pPr>
                    <w:pStyle w:val="47"/>
                  </w:pPr>
                  <w:r>
                    <w:t>生活垃圾</w:t>
                  </w:r>
                </w:p>
              </w:tc>
              <w:tc>
                <w:tcPr>
                  <w:tcW w:w="1369" w:type="pct"/>
                  <w:tcBorders>
                    <w:top w:val="single" w:color="auto" w:sz="4" w:space="0"/>
                    <w:left w:val="single" w:color="auto" w:sz="4" w:space="0"/>
                    <w:bottom w:val="single" w:color="auto" w:sz="4" w:space="0"/>
                    <w:right w:val="single" w:color="auto" w:sz="4" w:space="0"/>
                  </w:tcBorders>
                  <w:vAlign w:val="center"/>
                </w:tcPr>
                <w:p>
                  <w:pPr>
                    <w:pStyle w:val="47"/>
                  </w:pPr>
                  <w:r>
                    <w:t>职工生活</w:t>
                  </w:r>
                </w:p>
              </w:tc>
              <w:tc>
                <w:tcPr>
                  <w:tcW w:w="744" w:type="dxa"/>
                  <w:tcBorders>
                    <w:top w:val="single" w:color="auto" w:sz="4" w:space="0"/>
                    <w:left w:val="single" w:color="auto" w:sz="4" w:space="0"/>
                    <w:bottom w:val="single" w:color="auto" w:sz="4" w:space="0"/>
                    <w:right w:val="single" w:color="auto" w:sz="4" w:space="0"/>
                  </w:tcBorders>
                  <w:vAlign w:val="center"/>
                </w:tcPr>
                <w:p>
                  <w:pPr>
                    <w:pStyle w:val="47"/>
                  </w:pPr>
                  <w:r>
                    <w:t>S</w:t>
                  </w:r>
                  <w:r>
                    <w:rPr>
                      <w:rFonts w:hint="eastAsia"/>
                      <w:vertAlign w:val="subscript"/>
                    </w:rPr>
                    <w:t>14</w:t>
                  </w:r>
                </w:p>
              </w:tc>
              <w:tc>
                <w:tcPr>
                  <w:tcW w:w="1471" w:type="pct"/>
                  <w:tcBorders>
                    <w:top w:val="single" w:color="auto" w:sz="4" w:space="0"/>
                    <w:left w:val="single" w:color="auto" w:sz="4" w:space="0"/>
                    <w:bottom w:val="single" w:color="auto" w:sz="4" w:space="0"/>
                    <w:right w:val="single" w:color="auto" w:sz="4" w:space="0"/>
                  </w:tcBorders>
                  <w:vAlign w:val="center"/>
                </w:tcPr>
                <w:p>
                  <w:pPr>
                    <w:pStyle w:val="47"/>
                  </w:pPr>
                  <w:r>
                    <w:t>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vAlign w:val="center"/>
                </w:tcPr>
                <w:p>
                  <w:pPr>
                    <w:pStyle w:val="47"/>
                  </w:pPr>
                  <w:r>
                    <w:t>噪声</w:t>
                  </w:r>
                </w:p>
              </w:tc>
              <w:tc>
                <w:tcPr>
                  <w:tcW w:w="1119" w:type="pct"/>
                  <w:tcBorders>
                    <w:top w:val="single" w:color="auto" w:sz="4" w:space="0"/>
                    <w:left w:val="single" w:color="auto" w:sz="4" w:space="0"/>
                    <w:bottom w:val="single" w:color="auto" w:sz="4" w:space="0"/>
                    <w:right w:val="single" w:color="auto" w:sz="4" w:space="0"/>
                  </w:tcBorders>
                  <w:vAlign w:val="center"/>
                </w:tcPr>
                <w:p>
                  <w:pPr>
                    <w:pStyle w:val="47"/>
                  </w:pPr>
                  <w:r>
                    <w:t>机械噪声</w:t>
                  </w:r>
                </w:p>
              </w:tc>
              <w:tc>
                <w:tcPr>
                  <w:tcW w:w="1369" w:type="pct"/>
                  <w:tcBorders>
                    <w:top w:val="single" w:color="auto" w:sz="4" w:space="0"/>
                    <w:left w:val="single" w:color="auto" w:sz="4" w:space="0"/>
                    <w:bottom w:val="single" w:color="auto" w:sz="4" w:space="0"/>
                    <w:right w:val="single" w:color="auto" w:sz="4" w:space="0"/>
                  </w:tcBorders>
                  <w:vAlign w:val="center"/>
                </w:tcPr>
                <w:p>
                  <w:pPr>
                    <w:pStyle w:val="47"/>
                  </w:pPr>
                  <w:r>
                    <w:t>生产设备</w:t>
                  </w:r>
                </w:p>
              </w:tc>
              <w:tc>
                <w:tcPr>
                  <w:tcW w:w="426" w:type="pct"/>
                  <w:tcBorders>
                    <w:top w:val="single" w:color="auto" w:sz="4" w:space="0"/>
                    <w:left w:val="single" w:color="auto" w:sz="4" w:space="0"/>
                    <w:bottom w:val="single" w:color="auto" w:sz="4" w:space="0"/>
                    <w:right w:val="single" w:color="auto" w:sz="4" w:space="0"/>
                  </w:tcBorders>
                  <w:vAlign w:val="center"/>
                </w:tcPr>
                <w:p>
                  <w:pPr>
                    <w:pStyle w:val="47"/>
                  </w:pPr>
                  <w:r>
                    <w:t>N</w:t>
                  </w:r>
                </w:p>
              </w:tc>
              <w:tc>
                <w:tcPr>
                  <w:tcW w:w="1471" w:type="pct"/>
                  <w:tcBorders>
                    <w:top w:val="single" w:color="auto" w:sz="4" w:space="0"/>
                    <w:left w:val="single" w:color="auto" w:sz="4" w:space="0"/>
                    <w:bottom w:val="single" w:color="auto" w:sz="4" w:space="0"/>
                    <w:right w:val="single" w:color="auto" w:sz="4" w:space="0"/>
                  </w:tcBorders>
                  <w:vAlign w:val="center"/>
                </w:tcPr>
                <w:p>
                  <w:pPr>
                    <w:pStyle w:val="47"/>
                  </w:pPr>
                  <w:r>
                    <w:t>Leq（A）</w:t>
                  </w:r>
                </w:p>
              </w:tc>
            </w:tr>
          </w:tbl>
          <w:p>
            <w:pPr>
              <w:pStyle w:val="6"/>
            </w:pPr>
            <w:bookmarkStart w:id="128" w:name="_Toc29380628"/>
            <w:bookmarkStart w:id="129" w:name="_Toc29388579"/>
            <w:r>
              <w:t>5.2.3污染源强分析</w:t>
            </w:r>
            <w:bookmarkEnd w:id="128"/>
            <w:bookmarkEnd w:id="129"/>
          </w:p>
          <w:p>
            <w:pPr>
              <w:pStyle w:val="7"/>
            </w:pPr>
            <w:r>
              <w:t>5.2.3.1废水</w:t>
            </w:r>
          </w:p>
          <w:p>
            <w:pPr>
              <w:ind w:firstLine="480"/>
            </w:pPr>
            <w:r>
              <w:t>根据企业提供的资料，本项目粗磨、精磨过程中产生打磨废水，打磨废水</w:t>
            </w:r>
            <w:r>
              <w:rPr>
                <w:rFonts w:hint="eastAsia"/>
              </w:rPr>
              <w:t>中主要为水和金属屑，金属屑比重较大，打磨废水经沉淀池</w:t>
            </w:r>
            <w:r>
              <w:t>沉淀后</w:t>
            </w:r>
            <w:r>
              <w:rPr>
                <w:rFonts w:hint="eastAsia"/>
              </w:rPr>
              <w:t>金属屑沉降在沉淀池底部，金属屑定期打捞作金属沉渣处理，上清液</w:t>
            </w:r>
            <w:r>
              <w:t>全部循环使用不外排，只需定期补充损耗，年补充量为</w:t>
            </w:r>
            <w:r>
              <w:rPr>
                <w:rFonts w:hint="eastAsia"/>
              </w:rPr>
              <w:t>1</w:t>
            </w:r>
            <w:r>
              <w:t>t/a。因此本项目实施后无工艺废水排放，排放的只是职工生活污水。</w:t>
            </w:r>
          </w:p>
          <w:p>
            <w:pPr>
              <w:ind w:firstLine="480"/>
            </w:pPr>
            <w:r>
              <w:t>本项目劳动定员30人，年工作时间300天，生活用水量按</w:t>
            </w:r>
            <w:r>
              <w:rPr>
                <w:rFonts w:hint="eastAsia"/>
              </w:rPr>
              <w:t>5</w:t>
            </w:r>
            <w:r>
              <w:t>0L/（人·天）计，则用水量为</w:t>
            </w:r>
            <w:r>
              <w:rPr>
                <w:rFonts w:hint="eastAsia"/>
              </w:rPr>
              <w:t>45</w:t>
            </w:r>
            <w:r>
              <w:t>0t/a，生活污水按用水量的90%计，生活污水产生量约为</w:t>
            </w:r>
            <w:r>
              <w:rPr>
                <w:rFonts w:hint="eastAsia"/>
              </w:rPr>
              <w:t>405</w:t>
            </w:r>
            <w:r>
              <w:t>t/a。生活污水中主要污染物浓度COD</w:t>
            </w:r>
            <w:r>
              <w:rPr>
                <w:vertAlign w:val="subscript"/>
              </w:rPr>
              <w:t>Cr</w:t>
            </w:r>
            <w:r>
              <w:t>约320mg/L、NH</w:t>
            </w:r>
            <w:r>
              <w:rPr>
                <w:vertAlign w:val="subscript"/>
              </w:rPr>
              <w:t>3</w:t>
            </w:r>
            <w:r>
              <w:t>-N约35mg/L，则本项目全年COD</w:t>
            </w:r>
            <w:r>
              <w:rPr>
                <w:vertAlign w:val="subscript"/>
              </w:rPr>
              <w:t>Cr</w:t>
            </w:r>
            <w:r>
              <w:t>和NH</w:t>
            </w:r>
            <w:r>
              <w:rPr>
                <w:vertAlign w:val="subscript"/>
              </w:rPr>
              <w:t>3</w:t>
            </w:r>
            <w:r>
              <w:t>-N产生量分别为0.</w:t>
            </w:r>
            <w:r>
              <w:rPr>
                <w:rFonts w:hint="eastAsia"/>
              </w:rPr>
              <w:t>130</w:t>
            </w:r>
            <w:r>
              <w:t>t/a和0.0</w:t>
            </w:r>
            <w:r>
              <w:rPr>
                <w:rFonts w:hint="eastAsia"/>
              </w:rPr>
              <w:t>14</w:t>
            </w:r>
            <w:r>
              <w:t>t/a。</w:t>
            </w:r>
          </w:p>
          <w:p>
            <w:pPr>
              <w:ind w:firstLine="480"/>
            </w:pPr>
            <w:r>
              <w:t>要求企业内实行清污分流、雨污分流；生活污水经化粪池预处理达到《污水综合排放标准》（GB8978-1996）三级标准及《工业企业废水氮、磷污染物间接排放限值》（DB33/887-2013）中相关规定后，纳入区域污水收集管网，最终经桐乡市城市污水处理有限责任公司崇福污水处理厂统一处理达到《城镇污水处理厂污染物排放标准》（GB18918－2002）表1中一级A标准（即COD</w:t>
            </w:r>
            <w:r>
              <w:rPr>
                <w:vertAlign w:val="subscript"/>
              </w:rPr>
              <w:t>Cr</w:t>
            </w:r>
            <w:r>
              <w:t>≤50mg/L、NH</w:t>
            </w:r>
            <w:r>
              <w:rPr>
                <w:vertAlign w:val="subscript"/>
              </w:rPr>
              <w:t>3</w:t>
            </w:r>
            <w:r>
              <w:t>-N≤5mg/L）后排入钱塘江，则本项目COD</w:t>
            </w:r>
            <w:r>
              <w:rPr>
                <w:vertAlign w:val="subscript"/>
              </w:rPr>
              <w:t>Cr</w:t>
            </w:r>
            <w:r>
              <w:t>和NH</w:t>
            </w:r>
            <w:r>
              <w:rPr>
                <w:vertAlign w:val="subscript"/>
              </w:rPr>
              <w:t>3</w:t>
            </w:r>
            <w:r>
              <w:t>-N的外排环境量分别为0.0</w:t>
            </w:r>
            <w:r>
              <w:rPr>
                <w:rFonts w:hint="eastAsia"/>
              </w:rPr>
              <w:t>20</w:t>
            </w:r>
            <w:r>
              <w:t>t/a和0.00</w:t>
            </w:r>
            <w:r>
              <w:rPr>
                <w:rFonts w:hint="eastAsia"/>
              </w:rPr>
              <w:t>2</w:t>
            </w:r>
            <w:r>
              <w:t>t/a。</w:t>
            </w:r>
          </w:p>
          <w:p>
            <w:pPr>
              <w:pStyle w:val="46"/>
            </w:pPr>
            <w:r>
              <w:t>表5-</w:t>
            </w:r>
            <w:r>
              <w:rPr>
                <w:rFonts w:hint="eastAsia"/>
              </w:rPr>
              <w:t>2</w:t>
            </w:r>
            <w:r>
              <w:t xml:space="preserve">  项目废水排放情况</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1324"/>
              <w:gridCol w:w="1549"/>
              <w:gridCol w:w="1553"/>
              <w:gridCol w:w="1548"/>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vMerge w:val="restart"/>
                  <w:tcBorders>
                    <w:top w:val="single" w:color="auto" w:sz="4" w:space="0"/>
                    <w:left w:val="single" w:color="auto" w:sz="4" w:space="0"/>
                    <w:bottom w:val="single" w:color="auto" w:sz="4" w:space="0"/>
                    <w:right w:val="single" w:color="auto" w:sz="4" w:space="0"/>
                  </w:tcBorders>
                  <w:vAlign w:val="center"/>
                </w:tcPr>
                <w:p>
                  <w:pPr>
                    <w:pStyle w:val="46"/>
                  </w:pPr>
                  <w:r>
                    <w:t>项目</w:t>
                  </w:r>
                </w:p>
              </w:tc>
              <w:tc>
                <w:tcPr>
                  <w:tcW w:w="759" w:type="pct"/>
                  <w:vMerge w:val="restart"/>
                  <w:tcBorders>
                    <w:top w:val="single" w:color="auto" w:sz="4" w:space="0"/>
                    <w:left w:val="single" w:color="auto" w:sz="4" w:space="0"/>
                    <w:bottom w:val="single" w:color="auto" w:sz="4" w:space="0"/>
                    <w:right w:val="single" w:color="auto" w:sz="4" w:space="0"/>
                  </w:tcBorders>
                  <w:vAlign w:val="center"/>
                </w:tcPr>
                <w:p>
                  <w:pPr>
                    <w:pStyle w:val="46"/>
                  </w:pPr>
                  <w:r>
                    <w:t>污染因子</w:t>
                  </w:r>
                </w:p>
              </w:tc>
              <w:tc>
                <w:tcPr>
                  <w:tcW w:w="1778" w:type="pct"/>
                  <w:gridSpan w:val="2"/>
                  <w:tcBorders>
                    <w:top w:val="single" w:color="auto" w:sz="4" w:space="0"/>
                    <w:left w:val="single" w:color="auto" w:sz="4" w:space="0"/>
                    <w:bottom w:val="single" w:color="auto" w:sz="4" w:space="0"/>
                    <w:right w:val="single" w:color="auto" w:sz="4" w:space="0"/>
                  </w:tcBorders>
                  <w:vAlign w:val="center"/>
                </w:tcPr>
                <w:p>
                  <w:pPr>
                    <w:pStyle w:val="46"/>
                  </w:pPr>
                  <w:r>
                    <w:t>产生情况</w:t>
                  </w:r>
                </w:p>
              </w:tc>
              <w:tc>
                <w:tcPr>
                  <w:tcW w:w="1776" w:type="pct"/>
                  <w:gridSpan w:val="2"/>
                  <w:tcBorders>
                    <w:top w:val="single" w:color="auto" w:sz="4" w:space="0"/>
                    <w:left w:val="single" w:color="auto" w:sz="4" w:space="0"/>
                    <w:bottom w:val="single" w:color="auto" w:sz="4" w:space="0"/>
                    <w:right w:val="single" w:color="auto" w:sz="4" w:space="0"/>
                  </w:tcBorders>
                  <w:vAlign w:val="center"/>
                </w:tcPr>
                <w:p>
                  <w:pPr>
                    <w:pStyle w:val="46"/>
                  </w:pPr>
                  <w: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vMerge w:val="continue"/>
                  <w:tcBorders>
                    <w:top w:val="single" w:color="auto" w:sz="4" w:space="0"/>
                    <w:left w:val="single" w:color="auto" w:sz="4" w:space="0"/>
                    <w:bottom w:val="single" w:color="auto" w:sz="4" w:space="0"/>
                    <w:right w:val="single" w:color="auto" w:sz="4" w:space="0"/>
                  </w:tcBorders>
                  <w:vAlign w:val="center"/>
                </w:tcPr>
                <w:p>
                  <w:pPr>
                    <w:pStyle w:val="46"/>
                  </w:pPr>
                </w:p>
              </w:tc>
              <w:tc>
                <w:tcPr>
                  <w:tcW w:w="759" w:type="pct"/>
                  <w:vMerge w:val="continue"/>
                  <w:tcBorders>
                    <w:top w:val="single" w:color="auto" w:sz="4" w:space="0"/>
                    <w:left w:val="single" w:color="auto" w:sz="4" w:space="0"/>
                    <w:bottom w:val="single" w:color="auto" w:sz="4" w:space="0"/>
                    <w:right w:val="single" w:color="auto" w:sz="4" w:space="0"/>
                  </w:tcBorders>
                  <w:vAlign w:val="center"/>
                </w:tcPr>
                <w:p>
                  <w:pPr>
                    <w:pStyle w:val="46"/>
                  </w:pPr>
                </w:p>
              </w:tc>
              <w:tc>
                <w:tcPr>
                  <w:tcW w:w="888" w:type="pct"/>
                  <w:tcBorders>
                    <w:top w:val="single" w:color="auto" w:sz="4" w:space="0"/>
                    <w:left w:val="single" w:color="auto" w:sz="4" w:space="0"/>
                    <w:bottom w:val="single" w:color="auto" w:sz="4" w:space="0"/>
                    <w:right w:val="single" w:color="auto" w:sz="4" w:space="0"/>
                  </w:tcBorders>
                  <w:vAlign w:val="center"/>
                </w:tcPr>
                <w:p>
                  <w:pPr>
                    <w:pStyle w:val="46"/>
                  </w:pPr>
                  <w:r>
                    <w:t>产生浓度（mg/L）</w:t>
                  </w:r>
                </w:p>
              </w:tc>
              <w:tc>
                <w:tcPr>
                  <w:tcW w:w="889" w:type="pct"/>
                  <w:tcBorders>
                    <w:top w:val="single" w:color="auto" w:sz="4" w:space="0"/>
                    <w:left w:val="single" w:color="auto" w:sz="4" w:space="0"/>
                    <w:bottom w:val="single" w:color="auto" w:sz="4" w:space="0"/>
                    <w:right w:val="single" w:color="auto" w:sz="4" w:space="0"/>
                  </w:tcBorders>
                  <w:vAlign w:val="center"/>
                </w:tcPr>
                <w:p>
                  <w:pPr>
                    <w:pStyle w:val="46"/>
                  </w:pPr>
                  <w:r>
                    <w:t>产生量（t/a）</w:t>
                  </w:r>
                </w:p>
              </w:tc>
              <w:tc>
                <w:tcPr>
                  <w:tcW w:w="888" w:type="pct"/>
                  <w:tcBorders>
                    <w:top w:val="single" w:color="auto" w:sz="4" w:space="0"/>
                    <w:left w:val="single" w:color="auto" w:sz="4" w:space="0"/>
                    <w:bottom w:val="single" w:color="auto" w:sz="4" w:space="0"/>
                    <w:right w:val="single" w:color="auto" w:sz="4" w:space="0"/>
                  </w:tcBorders>
                  <w:vAlign w:val="center"/>
                </w:tcPr>
                <w:p>
                  <w:pPr>
                    <w:pStyle w:val="46"/>
                  </w:pPr>
                  <w:r>
                    <w:t>排放浓度（mg/L）</w:t>
                  </w:r>
                </w:p>
              </w:tc>
              <w:tc>
                <w:tcPr>
                  <w:tcW w:w="887" w:type="pct"/>
                  <w:tcBorders>
                    <w:top w:val="single" w:color="auto" w:sz="4" w:space="0"/>
                    <w:left w:val="single" w:color="auto" w:sz="4" w:space="0"/>
                    <w:bottom w:val="single" w:color="auto" w:sz="4" w:space="0"/>
                    <w:right w:val="single" w:color="auto" w:sz="4" w:space="0"/>
                  </w:tcBorders>
                  <w:vAlign w:val="center"/>
                </w:tcPr>
                <w:p>
                  <w:pPr>
                    <w:pStyle w:val="46"/>
                  </w:pPr>
                  <w: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vMerge w:val="restar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生活污水</w:t>
                  </w:r>
                </w:p>
              </w:tc>
              <w:tc>
                <w:tcPr>
                  <w:tcW w:w="759"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水量</w:t>
                  </w:r>
                </w:p>
              </w:tc>
              <w:tc>
                <w:tcPr>
                  <w:tcW w:w="1549" w:type="dxa"/>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w:t>
                  </w:r>
                </w:p>
              </w:tc>
              <w:tc>
                <w:tcPr>
                  <w:tcW w:w="1552" w:type="dxa"/>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405</w:t>
                  </w:r>
                </w:p>
              </w:tc>
              <w:tc>
                <w:tcPr>
                  <w:tcW w:w="1549" w:type="dxa"/>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w:t>
                  </w:r>
                </w:p>
              </w:tc>
              <w:tc>
                <w:tcPr>
                  <w:tcW w:w="1549" w:type="dxa"/>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vMerge w:val="continue"/>
                  <w:tcBorders>
                    <w:top w:val="single" w:color="auto" w:sz="4" w:space="0"/>
                    <w:left w:val="single" w:color="auto" w:sz="4" w:space="0"/>
                    <w:bottom w:val="single" w:color="auto" w:sz="4" w:space="0"/>
                    <w:right w:val="single" w:color="auto" w:sz="4" w:space="0"/>
                  </w:tcBorders>
                  <w:vAlign w:val="center"/>
                </w:tcPr>
                <w:p>
                  <w:pPr>
                    <w:pStyle w:val="47"/>
                    <w:rPr>
                      <w:szCs w:val="21"/>
                    </w:rPr>
                  </w:pPr>
                </w:p>
              </w:tc>
              <w:tc>
                <w:tcPr>
                  <w:tcW w:w="759"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COD</w:t>
                  </w:r>
                  <w:r>
                    <w:rPr>
                      <w:szCs w:val="21"/>
                      <w:vertAlign w:val="subscript"/>
                    </w:rPr>
                    <w:t>Cr</w:t>
                  </w:r>
                </w:p>
              </w:tc>
              <w:tc>
                <w:tcPr>
                  <w:tcW w:w="1549" w:type="dxa"/>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320</w:t>
                  </w:r>
                </w:p>
              </w:tc>
              <w:tc>
                <w:tcPr>
                  <w:tcW w:w="1552" w:type="dxa"/>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 xml:space="preserve">0.130 </w:t>
                  </w:r>
                </w:p>
              </w:tc>
              <w:tc>
                <w:tcPr>
                  <w:tcW w:w="1549" w:type="dxa"/>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50</w:t>
                  </w:r>
                </w:p>
              </w:tc>
              <w:tc>
                <w:tcPr>
                  <w:tcW w:w="1549" w:type="dxa"/>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 xml:space="preserve">0.020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vMerge w:val="continue"/>
                  <w:tcBorders>
                    <w:top w:val="single" w:color="auto" w:sz="4" w:space="0"/>
                    <w:left w:val="single" w:color="auto" w:sz="4" w:space="0"/>
                    <w:bottom w:val="single" w:color="auto" w:sz="4" w:space="0"/>
                    <w:right w:val="single" w:color="auto" w:sz="4" w:space="0"/>
                  </w:tcBorders>
                  <w:vAlign w:val="center"/>
                </w:tcPr>
                <w:p>
                  <w:pPr>
                    <w:pStyle w:val="47"/>
                    <w:rPr>
                      <w:szCs w:val="21"/>
                    </w:rPr>
                  </w:pPr>
                </w:p>
              </w:tc>
              <w:tc>
                <w:tcPr>
                  <w:tcW w:w="759"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NH</w:t>
                  </w:r>
                  <w:r>
                    <w:rPr>
                      <w:szCs w:val="21"/>
                      <w:vertAlign w:val="subscript"/>
                    </w:rPr>
                    <w:t>3</w:t>
                  </w:r>
                  <w:r>
                    <w:rPr>
                      <w:szCs w:val="21"/>
                    </w:rPr>
                    <w:t>-N</w:t>
                  </w:r>
                </w:p>
              </w:tc>
              <w:tc>
                <w:tcPr>
                  <w:tcW w:w="1549" w:type="dxa"/>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35</w:t>
                  </w:r>
                </w:p>
              </w:tc>
              <w:tc>
                <w:tcPr>
                  <w:tcW w:w="1552" w:type="dxa"/>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 xml:space="preserve">0.014 </w:t>
                  </w:r>
                </w:p>
              </w:tc>
              <w:tc>
                <w:tcPr>
                  <w:tcW w:w="1549" w:type="dxa"/>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5</w:t>
                  </w:r>
                </w:p>
              </w:tc>
              <w:tc>
                <w:tcPr>
                  <w:tcW w:w="1549" w:type="dxa"/>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 xml:space="preserve">0.002 </w:t>
                  </w:r>
                </w:p>
              </w:tc>
            </w:tr>
          </w:tbl>
          <w:p>
            <w:pPr>
              <w:pStyle w:val="6"/>
            </w:pPr>
            <w:bookmarkStart w:id="130" w:name="_Toc50517373"/>
            <w:bookmarkStart w:id="131" w:name="_Hlk42507415"/>
            <w:r>
              <w:t>5.2.3.2废气</w:t>
            </w:r>
            <w:bookmarkEnd w:id="130"/>
          </w:p>
          <w:p>
            <w:pPr>
              <w:ind w:firstLine="480"/>
            </w:pPr>
            <w:bookmarkStart w:id="132" w:name="_Toc50517374"/>
            <w:r>
              <w:t>本项目废气主要为焊接</w:t>
            </w:r>
            <w:r>
              <w:rPr>
                <w:rFonts w:hint="eastAsia"/>
              </w:rPr>
              <w:t>工序</w:t>
            </w:r>
            <w:r>
              <w:t>中产生的焊接烟尘和</w:t>
            </w:r>
            <w:r>
              <w:rPr>
                <w:rFonts w:hint="eastAsia"/>
              </w:rPr>
              <w:t>浸漆、烘干工序</w:t>
            </w:r>
            <w:r>
              <w:t>产生的有机废气以及恶臭。</w:t>
            </w:r>
          </w:p>
          <w:p>
            <w:pPr>
              <w:ind w:firstLine="480"/>
            </w:pPr>
            <w:r>
              <w:t>1</w:t>
            </w:r>
            <w:bookmarkEnd w:id="132"/>
            <w:r>
              <w:rPr>
                <w:rFonts w:hint="eastAsia"/>
              </w:rPr>
              <w:t>、</w:t>
            </w:r>
            <w:r>
              <w:t>焊接烟尘G</w:t>
            </w:r>
            <w:r>
              <w:rPr>
                <w:rFonts w:hint="eastAsia"/>
                <w:vertAlign w:val="subscript"/>
              </w:rPr>
              <w:t>1</w:t>
            </w:r>
          </w:p>
          <w:p>
            <w:pPr>
              <w:adjustRightInd w:val="0"/>
              <w:snapToGrid w:val="0"/>
              <w:ind w:firstLine="480"/>
            </w:pPr>
            <w:r>
              <w:t>本项目零件采用自保护焊进行焊接，因此产生焊接烟尘，焊接烟尘是由金属及非金属物质在过热条件下产生的经氧化和冷凝而形成的。电焊烟尘的化学成分，取决于焊接材料（焊丝、焊条、焊剂）和被焊接材料成分及其蒸发的难易，不同成分的焊接材料和被焊接材料，在施焊时产生的烟尘量不同，成分也有所区别，几种焊接方法施焊时，每分钟的发尘量和熔化每千克焊接材料时焊接烟尘的发尘量见表5-3。</w:t>
            </w:r>
          </w:p>
          <w:p>
            <w:pPr>
              <w:pStyle w:val="44"/>
            </w:pPr>
            <w:r>
              <w:t>表5-3  几种焊接方法产尘量</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6"/>
              <w:gridCol w:w="3473"/>
              <w:gridCol w:w="1895"/>
              <w:gridCol w:w="2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755" w:type="pct"/>
                  <w:vAlign w:val="center"/>
                </w:tcPr>
                <w:p>
                  <w:pPr>
                    <w:pStyle w:val="46"/>
                  </w:pPr>
                  <w:r>
                    <w:t>焊接方法</w:t>
                  </w:r>
                </w:p>
              </w:tc>
              <w:tc>
                <w:tcPr>
                  <w:tcW w:w="1992" w:type="pct"/>
                  <w:vAlign w:val="center"/>
                </w:tcPr>
                <w:p>
                  <w:pPr>
                    <w:pStyle w:val="46"/>
                  </w:pPr>
                  <w:r>
                    <w:t>焊接材料</w:t>
                  </w:r>
                </w:p>
              </w:tc>
              <w:tc>
                <w:tcPr>
                  <w:tcW w:w="1087" w:type="pct"/>
                  <w:vAlign w:val="center"/>
                </w:tcPr>
                <w:p>
                  <w:pPr>
                    <w:pStyle w:val="46"/>
                  </w:pPr>
                  <w:r>
                    <w:t>施焊时发尘量(mg/min)</w:t>
                  </w:r>
                </w:p>
              </w:tc>
              <w:tc>
                <w:tcPr>
                  <w:tcW w:w="1163" w:type="pct"/>
                  <w:vAlign w:val="center"/>
                </w:tcPr>
                <w:p>
                  <w:pPr>
                    <w:pStyle w:val="46"/>
                  </w:pPr>
                  <w:r>
                    <w:t>焊接烟尘发尘量</w:t>
                  </w:r>
                </w:p>
                <w:p>
                  <w:pPr>
                    <w:pStyle w:val="46"/>
                  </w:pPr>
                  <w:r>
                    <w:t>(g/kg)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755" w:type="pct"/>
                  <w:vMerge w:val="restart"/>
                  <w:vAlign w:val="center"/>
                </w:tcPr>
                <w:p>
                  <w:pPr>
                    <w:pStyle w:val="47"/>
                    <w:rPr>
                      <w:szCs w:val="21"/>
                    </w:rPr>
                  </w:pPr>
                  <w:r>
                    <w:rPr>
                      <w:szCs w:val="21"/>
                    </w:rPr>
                    <w:t>手工</w:t>
                  </w:r>
                </w:p>
                <w:p>
                  <w:pPr>
                    <w:pStyle w:val="47"/>
                    <w:rPr>
                      <w:szCs w:val="21"/>
                    </w:rPr>
                  </w:pPr>
                  <w:r>
                    <w:rPr>
                      <w:szCs w:val="21"/>
                    </w:rPr>
                    <w:t>电弧焊</w:t>
                  </w:r>
                </w:p>
              </w:tc>
              <w:tc>
                <w:tcPr>
                  <w:tcW w:w="1992" w:type="pct"/>
                  <w:vAlign w:val="center"/>
                </w:tcPr>
                <w:p>
                  <w:pPr>
                    <w:pStyle w:val="47"/>
                    <w:rPr>
                      <w:szCs w:val="21"/>
                    </w:rPr>
                  </w:pPr>
                  <w:r>
                    <w:rPr>
                      <w:szCs w:val="21"/>
                    </w:rPr>
                    <w:t>低氢型焊条(结507，直径4mm)</w:t>
                  </w:r>
                </w:p>
              </w:tc>
              <w:tc>
                <w:tcPr>
                  <w:tcW w:w="1087" w:type="pct"/>
                  <w:vAlign w:val="center"/>
                </w:tcPr>
                <w:p>
                  <w:pPr>
                    <w:pStyle w:val="47"/>
                    <w:rPr>
                      <w:szCs w:val="21"/>
                    </w:rPr>
                  </w:pPr>
                  <w:r>
                    <w:rPr>
                      <w:szCs w:val="21"/>
                    </w:rPr>
                    <w:t>350～450</w:t>
                  </w:r>
                </w:p>
              </w:tc>
              <w:tc>
                <w:tcPr>
                  <w:tcW w:w="1163" w:type="pct"/>
                  <w:vAlign w:val="center"/>
                </w:tcPr>
                <w:p>
                  <w:pPr>
                    <w:pStyle w:val="47"/>
                    <w:rPr>
                      <w:szCs w:val="21"/>
                    </w:rPr>
                  </w:pPr>
                  <w:r>
                    <w:rPr>
                      <w:szCs w:val="21"/>
                    </w:rPr>
                    <w:t>11～16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755" w:type="pct"/>
                  <w:vMerge w:val="continue"/>
                  <w:vAlign w:val="center"/>
                </w:tcPr>
                <w:p>
                  <w:pPr>
                    <w:pStyle w:val="47"/>
                    <w:rPr>
                      <w:szCs w:val="21"/>
                    </w:rPr>
                  </w:pPr>
                </w:p>
              </w:tc>
              <w:tc>
                <w:tcPr>
                  <w:tcW w:w="1992" w:type="pct"/>
                  <w:vAlign w:val="center"/>
                </w:tcPr>
                <w:p>
                  <w:pPr>
                    <w:pStyle w:val="47"/>
                    <w:rPr>
                      <w:szCs w:val="21"/>
                    </w:rPr>
                  </w:pPr>
                  <w:r>
                    <w:rPr>
                      <w:szCs w:val="21"/>
                    </w:rPr>
                    <w:t>钛钙型焊条(结422，直径4mm)</w:t>
                  </w:r>
                </w:p>
              </w:tc>
              <w:tc>
                <w:tcPr>
                  <w:tcW w:w="1087" w:type="pct"/>
                  <w:vAlign w:val="center"/>
                </w:tcPr>
                <w:p>
                  <w:pPr>
                    <w:pStyle w:val="47"/>
                    <w:rPr>
                      <w:szCs w:val="21"/>
                    </w:rPr>
                  </w:pPr>
                  <w:r>
                    <w:rPr>
                      <w:szCs w:val="21"/>
                    </w:rPr>
                    <w:t>200～280</w:t>
                  </w:r>
                </w:p>
              </w:tc>
              <w:tc>
                <w:tcPr>
                  <w:tcW w:w="1163" w:type="pct"/>
                  <w:vAlign w:val="center"/>
                </w:tcPr>
                <w:p>
                  <w:pPr>
                    <w:pStyle w:val="47"/>
                    <w:rPr>
                      <w:szCs w:val="21"/>
                    </w:rPr>
                  </w:pPr>
                  <w:r>
                    <w:rPr>
                      <w:szCs w:val="21"/>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755" w:type="pct"/>
                  <w:vAlign w:val="center"/>
                </w:tcPr>
                <w:p>
                  <w:pPr>
                    <w:pStyle w:val="47"/>
                    <w:rPr>
                      <w:szCs w:val="21"/>
                    </w:rPr>
                  </w:pPr>
                  <w:r>
                    <w:rPr>
                      <w:szCs w:val="21"/>
                    </w:rPr>
                    <w:t>自保护焊</w:t>
                  </w:r>
                </w:p>
              </w:tc>
              <w:tc>
                <w:tcPr>
                  <w:tcW w:w="1992" w:type="pct"/>
                  <w:vAlign w:val="center"/>
                </w:tcPr>
                <w:p>
                  <w:pPr>
                    <w:pStyle w:val="47"/>
                    <w:rPr>
                      <w:szCs w:val="21"/>
                    </w:rPr>
                  </w:pPr>
                  <w:r>
                    <w:rPr>
                      <w:szCs w:val="21"/>
                    </w:rPr>
                    <w:t>药芯焊丝(直径3.2mm)</w:t>
                  </w:r>
                </w:p>
              </w:tc>
              <w:tc>
                <w:tcPr>
                  <w:tcW w:w="1087" w:type="pct"/>
                  <w:vAlign w:val="center"/>
                </w:tcPr>
                <w:p>
                  <w:pPr>
                    <w:pStyle w:val="47"/>
                    <w:rPr>
                      <w:szCs w:val="21"/>
                    </w:rPr>
                  </w:pPr>
                  <w:r>
                    <w:rPr>
                      <w:szCs w:val="21"/>
                    </w:rPr>
                    <w:t>2000～3500</w:t>
                  </w:r>
                </w:p>
              </w:tc>
              <w:tc>
                <w:tcPr>
                  <w:tcW w:w="1163" w:type="pct"/>
                  <w:vAlign w:val="center"/>
                </w:tcPr>
                <w:p>
                  <w:pPr>
                    <w:pStyle w:val="47"/>
                    <w:rPr>
                      <w:szCs w:val="21"/>
                    </w:rPr>
                  </w:pPr>
                  <w:r>
                    <w:rPr>
                      <w:szCs w:val="21"/>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755" w:type="pct"/>
                  <w:vMerge w:val="restart"/>
                  <w:vAlign w:val="center"/>
                </w:tcPr>
                <w:p>
                  <w:pPr>
                    <w:pStyle w:val="47"/>
                    <w:rPr>
                      <w:szCs w:val="21"/>
                    </w:rPr>
                  </w:pPr>
                  <w:r>
                    <w:rPr>
                      <w:szCs w:val="21"/>
                    </w:rPr>
                    <w:t>二氧化碳焊</w:t>
                  </w:r>
                </w:p>
              </w:tc>
              <w:tc>
                <w:tcPr>
                  <w:tcW w:w="1992" w:type="pct"/>
                  <w:vAlign w:val="center"/>
                </w:tcPr>
                <w:p>
                  <w:pPr>
                    <w:pStyle w:val="47"/>
                    <w:rPr>
                      <w:szCs w:val="21"/>
                    </w:rPr>
                  </w:pPr>
                  <w:r>
                    <w:rPr>
                      <w:szCs w:val="21"/>
                    </w:rPr>
                    <w:t>实芯焊丝(直径1.6mm)</w:t>
                  </w:r>
                </w:p>
              </w:tc>
              <w:tc>
                <w:tcPr>
                  <w:tcW w:w="1087" w:type="pct"/>
                  <w:vAlign w:val="center"/>
                </w:tcPr>
                <w:p>
                  <w:pPr>
                    <w:pStyle w:val="47"/>
                    <w:rPr>
                      <w:szCs w:val="21"/>
                    </w:rPr>
                  </w:pPr>
                  <w:r>
                    <w:rPr>
                      <w:szCs w:val="21"/>
                    </w:rPr>
                    <w:t>450～650</w:t>
                  </w:r>
                </w:p>
              </w:tc>
              <w:tc>
                <w:tcPr>
                  <w:tcW w:w="1163" w:type="pct"/>
                  <w:vAlign w:val="center"/>
                </w:tcPr>
                <w:p>
                  <w:pPr>
                    <w:pStyle w:val="47"/>
                    <w:rPr>
                      <w:szCs w:val="21"/>
                    </w:rPr>
                  </w:pPr>
                  <w:r>
                    <w:rPr>
                      <w:szCs w:val="21"/>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755" w:type="pct"/>
                  <w:vMerge w:val="continue"/>
                  <w:vAlign w:val="center"/>
                </w:tcPr>
                <w:p>
                  <w:pPr>
                    <w:pStyle w:val="47"/>
                    <w:rPr>
                      <w:szCs w:val="21"/>
                    </w:rPr>
                  </w:pPr>
                </w:p>
              </w:tc>
              <w:tc>
                <w:tcPr>
                  <w:tcW w:w="1992" w:type="pct"/>
                  <w:vAlign w:val="center"/>
                </w:tcPr>
                <w:p>
                  <w:pPr>
                    <w:pStyle w:val="47"/>
                    <w:rPr>
                      <w:szCs w:val="21"/>
                    </w:rPr>
                  </w:pPr>
                  <w:r>
                    <w:rPr>
                      <w:szCs w:val="21"/>
                    </w:rPr>
                    <w:t>药芯焊丝(直径1.6mm)</w:t>
                  </w:r>
                </w:p>
              </w:tc>
              <w:tc>
                <w:tcPr>
                  <w:tcW w:w="1087" w:type="pct"/>
                  <w:vAlign w:val="center"/>
                </w:tcPr>
                <w:p>
                  <w:pPr>
                    <w:pStyle w:val="47"/>
                    <w:rPr>
                      <w:szCs w:val="21"/>
                    </w:rPr>
                  </w:pPr>
                  <w:r>
                    <w:rPr>
                      <w:szCs w:val="21"/>
                    </w:rPr>
                    <w:t>700～900</w:t>
                  </w:r>
                </w:p>
              </w:tc>
              <w:tc>
                <w:tcPr>
                  <w:tcW w:w="1163" w:type="pct"/>
                  <w:vAlign w:val="center"/>
                </w:tcPr>
                <w:p>
                  <w:pPr>
                    <w:pStyle w:val="47"/>
                    <w:rPr>
                      <w:szCs w:val="21"/>
                    </w:rPr>
                  </w:pPr>
                  <w:r>
                    <w:rPr>
                      <w:szCs w:val="21"/>
                    </w:rPr>
                    <w:t>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755" w:type="pct"/>
                  <w:vAlign w:val="center"/>
                </w:tcPr>
                <w:p>
                  <w:pPr>
                    <w:pStyle w:val="47"/>
                    <w:rPr>
                      <w:szCs w:val="21"/>
                    </w:rPr>
                  </w:pPr>
                  <w:r>
                    <w:rPr>
                      <w:szCs w:val="21"/>
                    </w:rPr>
                    <w:t>氩弧焊</w:t>
                  </w:r>
                </w:p>
              </w:tc>
              <w:tc>
                <w:tcPr>
                  <w:tcW w:w="1992" w:type="pct"/>
                  <w:vAlign w:val="center"/>
                </w:tcPr>
                <w:p>
                  <w:pPr>
                    <w:pStyle w:val="47"/>
                    <w:rPr>
                      <w:szCs w:val="21"/>
                    </w:rPr>
                  </w:pPr>
                  <w:r>
                    <w:rPr>
                      <w:szCs w:val="21"/>
                    </w:rPr>
                    <w:t>实芯焊丝(直径1.6mm)</w:t>
                  </w:r>
                </w:p>
              </w:tc>
              <w:tc>
                <w:tcPr>
                  <w:tcW w:w="1087" w:type="pct"/>
                  <w:vAlign w:val="center"/>
                </w:tcPr>
                <w:p>
                  <w:pPr>
                    <w:pStyle w:val="47"/>
                    <w:rPr>
                      <w:szCs w:val="21"/>
                    </w:rPr>
                  </w:pPr>
                  <w:r>
                    <w:rPr>
                      <w:szCs w:val="21"/>
                    </w:rPr>
                    <w:t>100～200</w:t>
                  </w:r>
                </w:p>
              </w:tc>
              <w:tc>
                <w:tcPr>
                  <w:tcW w:w="1163" w:type="pct"/>
                  <w:vAlign w:val="center"/>
                </w:tcPr>
                <w:p>
                  <w:pPr>
                    <w:pStyle w:val="47"/>
                    <w:rPr>
                      <w:szCs w:val="21"/>
                    </w:rPr>
                  </w:pPr>
                  <w:r>
                    <w:rPr>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755" w:type="pct"/>
                  <w:vAlign w:val="center"/>
                </w:tcPr>
                <w:p>
                  <w:pPr>
                    <w:pStyle w:val="47"/>
                    <w:rPr>
                      <w:szCs w:val="21"/>
                    </w:rPr>
                  </w:pPr>
                  <w:r>
                    <w:rPr>
                      <w:szCs w:val="21"/>
                    </w:rPr>
                    <w:t>埋弧焊</w:t>
                  </w:r>
                </w:p>
              </w:tc>
              <w:tc>
                <w:tcPr>
                  <w:tcW w:w="1992" w:type="pct"/>
                  <w:vAlign w:val="center"/>
                </w:tcPr>
                <w:p>
                  <w:pPr>
                    <w:pStyle w:val="47"/>
                    <w:rPr>
                      <w:szCs w:val="21"/>
                    </w:rPr>
                  </w:pPr>
                  <w:r>
                    <w:rPr>
                      <w:szCs w:val="21"/>
                    </w:rPr>
                    <w:t>实芯焊丝(ф5)</w:t>
                  </w:r>
                </w:p>
              </w:tc>
              <w:tc>
                <w:tcPr>
                  <w:tcW w:w="1087" w:type="pct"/>
                  <w:vAlign w:val="center"/>
                </w:tcPr>
                <w:p>
                  <w:pPr>
                    <w:pStyle w:val="47"/>
                    <w:rPr>
                      <w:szCs w:val="21"/>
                    </w:rPr>
                  </w:pPr>
                  <w:r>
                    <w:rPr>
                      <w:szCs w:val="21"/>
                    </w:rPr>
                    <w:t>10～40</w:t>
                  </w:r>
                </w:p>
              </w:tc>
              <w:tc>
                <w:tcPr>
                  <w:tcW w:w="1163" w:type="pct"/>
                  <w:vAlign w:val="center"/>
                </w:tcPr>
                <w:p>
                  <w:pPr>
                    <w:pStyle w:val="47"/>
                    <w:rPr>
                      <w:szCs w:val="21"/>
                    </w:rPr>
                  </w:pPr>
                  <w:r>
                    <w:rPr>
                      <w:szCs w:val="21"/>
                    </w:rPr>
                    <w:t>0.1～0.3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5000" w:type="pct"/>
                  <w:gridSpan w:val="4"/>
                  <w:vAlign w:val="center"/>
                </w:tcPr>
                <w:p>
                  <w:pPr>
                    <w:pStyle w:val="47"/>
                    <w:jc w:val="left"/>
                    <w:rPr>
                      <w:sz w:val="18"/>
                      <w:szCs w:val="18"/>
                    </w:rPr>
                  </w:pPr>
                  <w:r>
                    <w:rPr>
                      <w:sz w:val="18"/>
                      <w:szCs w:val="18"/>
                    </w:rPr>
                    <w:t>注：表5-3资料主要来源于《焊接车间环境污染及控制技术》、《焊接工作的劳动保护》。</w:t>
                  </w:r>
                </w:p>
              </w:tc>
            </w:tr>
          </w:tbl>
          <w:p>
            <w:pPr>
              <w:adjustRightInd w:val="0"/>
              <w:snapToGrid w:val="0"/>
              <w:ind w:firstLine="480"/>
            </w:pPr>
            <w:r>
              <w:t>根据建设单位提供资料，本项目</w:t>
            </w:r>
            <w:r>
              <w:rPr>
                <w:rFonts w:hint="eastAsia"/>
              </w:rPr>
              <w:t>药芯</w:t>
            </w:r>
            <w:r>
              <w:t>焊丝量为</w:t>
            </w:r>
            <w:r>
              <w:rPr>
                <w:rFonts w:hint="eastAsia"/>
              </w:rPr>
              <w:t>0.1</w:t>
            </w:r>
            <w:r>
              <w:t>t/a，自保护焊</w:t>
            </w:r>
            <w:r>
              <w:rPr>
                <w:rFonts w:hint="eastAsia"/>
              </w:rPr>
              <w:t>药芯</w:t>
            </w:r>
            <w:r>
              <w:t>焊丝烟尘产生量按</w:t>
            </w:r>
            <w:r>
              <w:rPr>
                <w:rFonts w:hint="eastAsia"/>
              </w:rPr>
              <w:t>2</w:t>
            </w:r>
            <w:r>
              <w:t>5g/kg计，则本项目焊接烟尘的产生量为</w:t>
            </w:r>
            <w:r>
              <w:rPr>
                <w:rFonts w:hint="eastAsia"/>
              </w:rPr>
              <w:t>0.003</w:t>
            </w:r>
            <w:r>
              <w:t>t/a，</w:t>
            </w:r>
            <w:r>
              <w:rPr>
                <w:rFonts w:hint="eastAsia"/>
              </w:rPr>
              <w:t>要求</w:t>
            </w:r>
            <w:r>
              <w:rPr>
                <w:rFonts w:hint="eastAsia"/>
                <w:bCs/>
              </w:rPr>
              <w:t>企业在焊接设备上方设置集气罩（收集率按大于80%），收集的烟尘使用移动式焊接烟尘净化器处理（滤芯除尘，处理效率按</w:t>
            </w:r>
            <w:r>
              <w:rPr>
                <w:bCs/>
              </w:rPr>
              <w:t>9</w:t>
            </w:r>
            <w:r>
              <w:rPr>
                <w:rFonts w:hint="eastAsia"/>
                <w:bCs/>
              </w:rPr>
              <w:t>0</w:t>
            </w:r>
            <w:r>
              <w:rPr>
                <w:bCs/>
              </w:rPr>
              <w:t>%</w:t>
            </w:r>
            <w:r>
              <w:rPr>
                <w:rFonts w:hint="eastAsia"/>
                <w:bCs/>
              </w:rPr>
              <w:t>计）后，尾气在车间内无组织排放。</w:t>
            </w:r>
            <w:r>
              <w:t>则焊接烟尘的排放量为0.00</w:t>
            </w:r>
            <w:r>
              <w:rPr>
                <w:rFonts w:hint="eastAsia"/>
              </w:rPr>
              <w:t>1</w:t>
            </w:r>
            <w:r>
              <w:t>t/a，排放速率为0.00</w:t>
            </w:r>
            <w:r>
              <w:rPr>
                <w:rFonts w:hint="eastAsia"/>
              </w:rPr>
              <w:t>04</w:t>
            </w:r>
            <w:r>
              <w:t>kg/h（排放时间以</w:t>
            </w:r>
            <w:r>
              <w:rPr>
                <w:rFonts w:hint="eastAsia"/>
              </w:rPr>
              <w:t>2400h</w:t>
            </w:r>
            <w:r>
              <w:t>计)。</w:t>
            </w:r>
          </w:p>
          <w:p>
            <w:pPr>
              <w:ind w:firstLine="480"/>
            </w:pPr>
            <w:r>
              <w:rPr>
                <w:rFonts w:hint="eastAsia"/>
              </w:rPr>
              <w:t>2、</w:t>
            </w:r>
            <w:r>
              <w:t>有机废气G</w:t>
            </w:r>
            <w:r>
              <w:rPr>
                <w:rFonts w:hint="eastAsia"/>
                <w:vertAlign w:val="subscript"/>
              </w:rPr>
              <w:t>2</w:t>
            </w:r>
          </w:p>
          <w:p>
            <w:pPr>
              <w:ind w:firstLine="480"/>
            </w:pPr>
            <w:r>
              <w:t>本项目电机线圈需使用</w:t>
            </w:r>
            <w:r>
              <w:rPr>
                <w:rFonts w:hint="eastAsia"/>
              </w:rPr>
              <w:t>环保型</w:t>
            </w:r>
            <w:r>
              <w:t>绝缘漆进行真空浸漆、烘干，在产品表面形成一层厚度均匀、表面光滑的漆膜，能够提高产品整体机械性能、绝缘强度，同时还使产品具有耐热、防潮、防霉等性能。根据企业提供的资料，本项目使用的</w:t>
            </w:r>
            <w:r>
              <w:rPr>
                <w:rFonts w:hint="eastAsia"/>
              </w:rPr>
              <w:t>环保型</w:t>
            </w:r>
            <w:r>
              <w:t>绝缘漆主要成分为</w:t>
            </w:r>
            <w:r>
              <w:rPr>
                <w:rFonts w:hint="eastAsia"/>
              </w:rPr>
              <w:t>聚酯树脂55~65</w:t>
            </w:r>
            <w:r>
              <w:t>%、</w:t>
            </w:r>
            <w:r>
              <w:rPr>
                <w:rFonts w:hint="eastAsia"/>
              </w:rPr>
              <w:t>氨基树脂20~30</w:t>
            </w:r>
            <w:r>
              <w:t>%、</w:t>
            </w:r>
            <w:r>
              <w:rPr>
                <w:rFonts w:hint="eastAsia"/>
              </w:rPr>
              <w:t>醋酸乙酯5~10%、醋酸丁酯5~10</w:t>
            </w:r>
            <w:r>
              <w:t>%</w:t>
            </w:r>
            <w:r>
              <w:rPr>
                <w:rFonts w:hint="eastAsia"/>
              </w:rPr>
              <w:t>、助剂1~3%</w:t>
            </w:r>
            <w:r>
              <w:t>。本项目</w:t>
            </w:r>
            <w:r>
              <w:rPr>
                <w:rFonts w:hint="eastAsia"/>
              </w:rPr>
              <w:t>浸漆、烘干</w:t>
            </w:r>
            <w:r>
              <w:t>工序中，</w:t>
            </w:r>
            <w:r>
              <w:rPr>
                <w:rFonts w:hint="eastAsia"/>
              </w:rPr>
              <w:t>环保型</w:t>
            </w:r>
            <w:r>
              <w:t>绝缘漆中</w:t>
            </w:r>
            <w:r>
              <w:rPr>
                <w:rFonts w:hint="eastAsia"/>
              </w:rPr>
              <w:t>易挥发成分主要为醋酸乙酯、醋酸丁酯、助剂</w:t>
            </w:r>
            <w:r>
              <w:t>等有机成分，</w:t>
            </w:r>
            <w:r>
              <w:rPr>
                <w:rFonts w:hint="eastAsia"/>
              </w:rPr>
              <w:t>本环评以环保型绝缘漆中的易挥发成分全部挥发进行计算，</w:t>
            </w:r>
            <w:r>
              <w:t>由于其成分复杂，难以明确其中具体废气污染物种类，</w:t>
            </w:r>
            <w:r>
              <w:rPr>
                <w:rFonts w:hint="eastAsia"/>
              </w:rPr>
              <w:t>因此本环评</w:t>
            </w:r>
            <w:r>
              <w:t>以非甲烷总烃计，其产生情况见下表。</w:t>
            </w:r>
          </w:p>
          <w:p>
            <w:pPr>
              <w:pStyle w:val="46"/>
            </w:pPr>
            <w:r>
              <w:t>表5-</w:t>
            </w:r>
            <w:r>
              <w:rPr>
                <w:rFonts w:hint="eastAsia"/>
              </w:rPr>
              <w:t>4</w:t>
            </w:r>
            <w:r>
              <w:t xml:space="preserve"> </w:t>
            </w:r>
            <w:r>
              <w:rPr>
                <w:rFonts w:hint="eastAsia"/>
              </w:rPr>
              <w:t>浸漆、烘干</w:t>
            </w:r>
            <w:r>
              <w:t>工序中非甲烷总烃产生情况</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914"/>
              <w:gridCol w:w="2279"/>
              <w:gridCol w:w="1584"/>
              <w:gridCol w:w="1359"/>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8" w:type="pct"/>
                  <w:vAlign w:val="center"/>
                </w:tcPr>
                <w:p>
                  <w:pPr>
                    <w:pStyle w:val="47"/>
                    <w:rPr>
                      <w:b/>
                      <w:bCs/>
                    </w:rPr>
                  </w:pPr>
                  <w:r>
                    <w:rPr>
                      <w:b/>
                      <w:bCs/>
                    </w:rPr>
                    <w:t>原料名称</w:t>
                  </w:r>
                </w:p>
              </w:tc>
              <w:tc>
                <w:tcPr>
                  <w:tcW w:w="524" w:type="pct"/>
                  <w:vAlign w:val="center"/>
                </w:tcPr>
                <w:p>
                  <w:pPr>
                    <w:pStyle w:val="47"/>
                    <w:rPr>
                      <w:b/>
                      <w:bCs/>
                    </w:rPr>
                  </w:pPr>
                  <w:r>
                    <w:rPr>
                      <w:b/>
                      <w:bCs/>
                    </w:rPr>
                    <w:t>用量</w:t>
                  </w:r>
                </w:p>
              </w:tc>
              <w:tc>
                <w:tcPr>
                  <w:tcW w:w="1306" w:type="pct"/>
                  <w:vAlign w:val="center"/>
                </w:tcPr>
                <w:p>
                  <w:pPr>
                    <w:pStyle w:val="47"/>
                    <w:rPr>
                      <w:b/>
                      <w:bCs/>
                    </w:rPr>
                  </w:pPr>
                  <w:r>
                    <w:rPr>
                      <w:b/>
                      <w:bCs/>
                    </w:rPr>
                    <w:t>成分</w:t>
                  </w:r>
                </w:p>
              </w:tc>
              <w:tc>
                <w:tcPr>
                  <w:tcW w:w="908" w:type="pct"/>
                  <w:vAlign w:val="center"/>
                </w:tcPr>
                <w:p>
                  <w:pPr>
                    <w:pStyle w:val="47"/>
                    <w:rPr>
                      <w:b/>
                      <w:bCs/>
                    </w:rPr>
                  </w:pPr>
                  <w:r>
                    <w:rPr>
                      <w:b/>
                      <w:bCs/>
                    </w:rPr>
                    <w:t>含量</w:t>
                  </w:r>
                </w:p>
              </w:tc>
              <w:tc>
                <w:tcPr>
                  <w:tcW w:w="779" w:type="pct"/>
                  <w:vAlign w:val="center"/>
                </w:tcPr>
                <w:p>
                  <w:pPr>
                    <w:pStyle w:val="47"/>
                    <w:rPr>
                      <w:b/>
                      <w:bCs/>
                    </w:rPr>
                  </w:pPr>
                  <w:r>
                    <w:rPr>
                      <w:b/>
                      <w:bCs/>
                    </w:rPr>
                    <w:t>挥发量</w:t>
                  </w:r>
                </w:p>
              </w:tc>
              <w:tc>
                <w:tcPr>
                  <w:tcW w:w="653" w:type="pct"/>
                  <w:vAlign w:val="center"/>
                </w:tcPr>
                <w:p>
                  <w:pPr>
                    <w:pStyle w:val="47"/>
                    <w:rPr>
                      <w:b/>
                      <w:bCs/>
                    </w:rPr>
                  </w:pPr>
                  <w:r>
                    <w:rPr>
                      <w:b/>
                      <w:bCs/>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8" w:type="pct"/>
                  <w:vMerge w:val="restart"/>
                  <w:vAlign w:val="center"/>
                </w:tcPr>
                <w:p>
                  <w:pPr>
                    <w:pStyle w:val="47"/>
                  </w:pPr>
                  <w:r>
                    <w:rPr>
                      <w:rFonts w:hint="eastAsia"/>
                    </w:rPr>
                    <w:t>环保型</w:t>
                  </w:r>
                  <w:r>
                    <w:t>绝缘漆</w:t>
                  </w:r>
                </w:p>
              </w:tc>
              <w:tc>
                <w:tcPr>
                  <w:tcW w:w="524" w:type="pct"/>
                  <w:vMerge w:val="restart"/>
                  <w:vAlign w:val="center"/>
                </w:tcPr>
                <w:p>
                  <w:pPr>
                    <w:pStyle w:val="47"/>
                  </w:pPr>
                  <w:r>
                    <w:t>2t/a</w:t>
                  </w:r>
                </w:p>
              </w:tc>
              <w:tc>
                <w:tcPr>
                  <w:tcW w:w="1306" w:type="pct"/>
                  <w:vAlign w:val="center"/>
                </w:tcPr>
                <w:p>
                  <w:pPr>
                    <w:pStyle w:val="47"/>
                  </w:pPr>
                  <w:r>
                    <w:rPr>
                      <w:rFonts w:hint="eastAsia"/>
                    </w:rPr>
                    <w:t>醋酸乙酯</w:t>
                  </w:r>
                </w:p>
              </w:tc>
              <w:tc>
                <w:tcPr>
                  <w:tcW w:w="908" w:type="pct"/>
                  <w:vAlign w:val="center"/>
                </w:tcPr>
                <w:p>
                  <w:pPr>
                    <w:pStyle w:val="47"/>
                  </w:pPr>
                  <w:r>
                    <w:rPr>
                      <w:rFonts w:hint="eastAsia"/>
                    </w:rPr>
                    <w:t>5~10%</w:t>
                  </w:r>
                </w:p>
              </w:tc>
              <w:tc>
                <w:tcPr>
                  <w:tcW w:w="779" w:type="pct"/>
                  <w:vAlign w:val="center"/>
                </w:tcPr>
                <w:p>
                  <w:pPr>
                    <w:pStyle w:val="47"/>
                  </w:pPr>
                  <w:r>
                    <w:rPr>
                      <w:rFonts w:hint="eastAsia"/>
                    </w:rPr>
                    <w:t>0.200</w:t>
                  </w:r>
                </w:p>
              </w:tc>
              <w:tc>
                <w:tcPr>
                  <w:tcW w:w="653" w:type="pct"/>
                  <w:vMerge w:val="restart"/>
                  <w:vAlign w:val="center"/>
                </w:tcPr>
                <w:p>
                  <w:pPr>
                    <w:pStyle w:val="47"/>
                  </w:pPr>
                  <w:r>
                    <w:t>0.</w:t>
                  </w:r>
                  <w:r>
                    <w:rPr>
                      <w:rFonts w:hint="eastAsia"/>
                    </w:rPr>
                    <w:t>460</w:t>
                  </w:r>
                  <w: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8" w:type="pct"/>
                  <w:vMerge w:val="continue"/>
                  <w:vAlign w:val="center"/>
                </w:tcPr>
                <w:p>
                  <w:pPr>
                    <w:pStyle w:val="47"/>
                  </w:pPr>
                </w:p>
              </w:tc>
              <w:tc>
                <w:tcPr>
                  <w:tcW w:w="524" w:type="pct"/>
                  <w:vMerge w:val="continue"/>
                  <w:vAlign w:val="center"/>
                </w:tcPr>
                <w:p>
                  <w:pPr>
                    <w:pStyle w:val="47"/>
                  </w:pPr>
                </w:p>
              </w:tc>
              <w:tc>
                <w:tcPr>
                  <w:tcW w:w="1306" w:type="pct"/>
                  <w:vAlign w:val="center"/>
                </w:tcPr>
                <w:p>
                  <w:pPr>
                    <w:pStyle w:val="47"/>
                  </w:pPr>
                  <w:r>
                    <w:rPr>
                      <w:rFonts w:hint="eastAsia"/>
                    </w:rPr>
                    <w:t>醋酸丁酯</w:t>
                  </w:r>
                </w:p>
              </w:tc>
              <w:tc>
                <w:tcPr>
                  <w:tcW w:w="908" w:type="pct"/>
                  <w:vAlign w:val="center"/>
                </w:tcPr>
                <w:p>
                  <w:pPr>
                    <w:pStyle w:val="47"/>
                  </w:pPr>
                  <w:r>
                    <w:rPr>
                      <w:rFonts w:hint="eastAsia"/>
                    </w:rPr>
                    <w:t>5~10%</w:t>
                  </w:r>
                </w:p>
              </w:tc>
              <w:tc>
                <w:tcPr>
                  <w:tcW w:w="779" w:type="pct"/>
                  <w:vAlign w:val="center"/>
                </w:tcPr>
                <w:p>
                  <w:pPr>
                    <w:pStyle w:val="47"/>
                  </w:pPr>
                  <w:r>
                    <w:rPr>
                      <w:rFonts w:hint="eastAsia"/>
                    </w:rPr>
                    <w:t>0.200</w:t>
                  </w:r>
                </w:p>
              </w:tc>
              <w:tc>
                <w:tcPr>
                  <w:tcW w:w="653" w:type="pct"/>
                  <w:vMerge w:val="continue"/>
                  <w:vAlign w:val="center"/>
                </w:tcPr>
                <w:p>
                  <w:pPr>
                    <w:pStyle w:val="4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8" w:type="pct"/>
                  <w:vMerge w:val="continue"/>
                  <w:vAlign w:val="center"/>
                </w:tcPr>
                <w:p>
                  <w:pPr>
                    <w:pStyle w:val="47"/>
                  </w:pPr>
                </w:p>
              </w:tc>
              <w:tc>
                <w:tcPr>
                  <w:tcW w:w="524" w:type="pct"/>
                  <w:vMerge w:val="continue"/>
                  <w:vAlign w:val="center"/>
                </w:tcPr>
                <w:p>
                  <w:pPr>
                    <w:pStyle w:val="47"/>
                  </w:pPr>
                </w:p>
              </w:tc>
              <w:tc>
                <w:tcPr>
                  <w:tcW w:w="1306" w:type="pct"/>
                  <w:vAlign w:val="center"/>
                </w:tcPr>
                <w:p>
                  <w:pPr>
                    <w:pStyle w:val="47"/>
                  </w:pPr>
                  <w:r>
                    <w:t>助剂</w:t>
                  </w:r>
                </w:p>
              </w:tc>
              <w:tc>
                <w:tcPr>
                  <w:tcW w:w="908" w:type="pct"/>
                  <w:vAlign w:val="center"/>
                </w:tcPr>
                <w:p>
                  <w:pPr>
                    <w:pStyle w:val="47"/>
                  </w:pPr>
                  <w:r>
                    <w:rPr>
                      <w:rFonts w:hint="eastAsia"/>
                    </w:rPr>
                    <w:t>1~3%</w:t>
                  </w:r>
                </w:p>
              </w:tc>
              <w:tc>
                <w:tcPr>
                  <w:tcW w:w="779" w:type="pct"/>
                  <w:vAlign w:val="center"/>
                </w:tcPr>
                <w:p>
                  <w:pPr>
                    <w:pStyle w:val="47"/>
                  </w:pPr>
                  <w:r>
                    <w:rPr>
                      <w:rFonts w:hint="eastAsia"/>
                    </w:rPr>
                    <w:t>0.060</w:t>
                  </w:r>
                </w:p>
              </w:tc>
              <w:tc>
                <w:tcPr>
                  <w:tcW w:w="653" w:type="pct"/>
                  <w:vMerge w:val="continue"/>
                  <w:vAlign w:val="center"/>
                </w:tcPr>
                <w:p>
                  <w:pPr>
                    <w:pStyle w:val="47"/>
                  </w:pPr>
                </w:p>
              </w:tc>
            </w:tr>
          </w:tbl>
          <w:p>
            <w:pPr>
              <w:ind w:firstLine="480"/>
            </w:pPr>
            <w:r>
              <w:t>根据上表，本项目</w:t>
            </w:r>
            <w:r>
              <w:rPr>
                <w:rFonts w:hint="eastAsia"/>
              </w:rPr>
              <w:t>浸漆、烘干</w:t>
            </w:r>
            <w:r>
              <w:t>工序中非甲烷总烃产生量为0.</w:t>
            </w:r>
            <w:r>
              <w:rPr>
                <w:rFonts w:hint="eastAsia"/>
              </w:rPr>
              <w:t>460</w:t>
            </w:r>
            <w:r>
              <w:t>t/a，企业生产过程中真空浸漆在真空含浸机中进行，烘干过</w:t>
            </w:r>
            <w:r>
              <w:rPr>
                <w:szCs w:val="22"/>
              </w:rPr>
              <w:t>程在电热烘箱内进行，</w:t>
            </w:r>
            <w:r>
              <w:rPr>
                <w:rFonts w:hint="eastAsia"/>
                <w:szCs w:val="22"/>
              </w:rPr>
              <w:t>由于本项目所属行业无相关挥发性有机物污染整治规范，因此本项目参照《温州市电器及元件制造业挥发性有机物污染整治规范》，要求企业将浸漆、烘干相关设备</w:t>
            </w:r>
            <w:r>
              <w:rPr>
                <w:szCs w:val="22"/>
              </w:rPr>
              <w:t>置于独立密闭车间内，同时保持微负压状态对废气进行收集，</w:t>
            </w:r>
            <w:r>
              <w:rPr>
                <w:rFonts w:hint="eastAsia"/>
                <w:szCs w:val="22"/>
              </w:rPr>
              <w:t>再</w:t>
            </w:r>
            <w:r>
              <w:rPr>
                <w:szCs w:val="22"/>
              </w:rPr>
              <w:t>经</w:t>
            </w:r>
            <w:r>
              <w:rPr>
                <w:rFonts w:hint="eastAsia"/>
                <w:szCs w:val="22"/>
              </w:rPr>
              <w:t>“一级活性炭+二级活性炭”吸附处理</w:t>
            </w:r>
            <w:r>
              <w:rPr>
                <w:szCs w:val="22"/>
              </w:rPr>
              <w:t>后通过</w:t>
            </w:r>
            <w:r>
              <w:rPr>
                <w:rFonts w:hint="eastAsia"/>
                <w:szCs w:val="22"/>
              </w:rPr>
              <w:t>20</w:t>
            </w:r>
            <w:r>
              <w:rPr>
                <w:szCs w:val="22"/>
              </w:rPr>
              <w:t>m高以上排气筒</w:t>
            </w:r>
            <w:r>
              <w:rPr>
                <w:rFonts w:hint="eastAsia"/>
                <w:szCs w:val="22"/>
              </w:rPr>
              <w:t>（DA</w:t>
            </w:r>
            <w:r>
              <w:rPr>
                <w:szCs w:val="22"/>
              </w:rPr>
              <w:t>001</w:t>
            </w:r>
            <w:r>
              <w:rPr>
                <w:rFonts w:hint="eastAsia"/>
                <w:szCs w:val="22"/>
              </w:rPr>
              <w:t>）</w:t>
            </w:r>
            <w:r>
              <w:rPr>
                <w:szCs w:val="22"/>
              </w:rPr>
              <w:t>高空排放，废气收集效率以90%计，净化效率以9</w:t>
            </w:r>
            <w:r>
              <w:t>0%计，配套风机额定风量为5000m</w:t>
            </w:r>
            <w:r>
              <w:rPr>
                <w:vertAlign w:val="superscript"/>
              </w:rPr>
              <w:t>3</w:t>
            </w:r>
            <w:r>
              <w:t>/h（可达到整体密闭车间换风次数不小于8次/h的要求）。则本项目</w:t>
            </w:r>
            <w:r>
              <w:rPr>
                <w:rFonts w:hint="eastAsia"/>
              </w:rPr>
              <w:t>浸漆、烘干</w:t>
            </w:r>
            <w:r>
              <w:t>工序中非甲烷总烃排放量为0.0</w:t>
            </w:r>
            <w:r>
              <w:rPr>
                <w:rFonts w:hint="eastAsia"/>
              </w:rPr>
              <w:t>87</w:t>
            </w:r>
            <w:r>
              <w:t>t/a，其中有组织排放量为0.0</w:t>
            </w:r>
            <w:r>
              <w:rPr>
                <w:rFonts w:hint="eastAsia"/>
              </w:rPr>
              <w:t>41</w:t>
            </w:r>
            <w:r>
              <w:t>t/a，无组织排放量为0.0</w:t>
            </w:r>
            <w:r>
              <w:rPr>
                <w:rFonts w:hint="eastAsia"/>
              </w:rPr>
              <w:t>46</w:t>
            </w:r>
            <w:r>
              <w:t>t/a。</w:t>
            </w:r>
          </w:p>
          <w:p>
            <w:pPr>
              <w:ind w:firstLine="480"/>
            </w:pPr>
            <w:r>
              <w:rPr>
                <w:rFonts w:hint="eastAsia"/>
              </w:rPr>
              <w:t>3、</w:t>
            </w:r>
            <w:r>
              <w:t>恶臭</w:t>
            </w:r>
          </w:p>
          <w:p>
            <w:pPr>
              <w:ind w:firstLine="480"/>
            </w:pPr>
            <w:r>
              <w:t>本项目</w:t>
            </w:r>
            <w:r>
              <w:rPr>
                <w:rFonts w:hint="eastAsia"/>
              </w:rPr>
              <w:t>浸漆、烘干</w:t>
            </w:r>
            <w:r>
              <w:t>产生的废气有恶臭。恶臭为人们对恶臭物质所感知的一种污染指标。其主要物质种类达上万种之多。由于其各种物质之间的相互作用（相加、协同、抵消及掩饰作用等），加之人类的嗅觉功能和恶臭物质取样分析等因素，迄今还难以对大多数恶臭物质做出浓度标准，目前我国只规定了八种恶臭污染物的一次最大排放限值、复合恶臭物质的臭气浓度限值及无组织排放源的厂界浓度限值，即《恶臭污染物排放标准》（GB14554-93）。</w:t>
            </w:r>
          </w:p>
          <w:p>
            <w:pPr>
              <w:ind w:firstLine="480"/>
            </w:pPr>
            <w:r>
              <w:t>目前，国外对恶臭强度的分级和测定多以人的嗅觉感官作为基础得到，如德国的臭气强度5级分级（1958年）；日本的臭气强度6级分级（1972年）等。这种测定方法以经过训练合格的5~8名臭气监测员以自身的恶臭感知能力对恶臭进行强度监测。北京环境监测中心在吸取国外经验的基础上提出了恶臭6级分级法（见下表），该分级法以感受器——嗅觉的感觉和人的主观感觉特征两个方面来描述各级特征，既明确了各级的差别，也提高了分级的准确程度。</w:t>
            </w:r>
          </w:p>
          <w:p>
            <w:pPr>
              <w:pStyle w:val="46"/>
            </w:pPr>
            <w:r>
              <w:t>表5-</w:t>
            </w:r>
            <w:r>
              <w:rPr>
                <w:rFonts w:hint="eastAsia"/>
              </w:rPr>
              <w:t>5</w:t>
            </w:r>
            <w:r>
              <w:t xml:space="preserve">  恶臭6级分级法</w:t>
            </w:r>
          </w:p>
          <w:tbl>
            <w:tblPr>
              <w:tblStyle w:val="3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7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69" w:type="pct"/>
                  <w:vAlign w:val="center"/>
                </w:tcPr>
                <w:p>
                  <w:pPr>
                    <w:pStyle w:val="47"/>
                    <w:rPr>
                      <w:b/>
                      <w:bCs/>
                    </w:rPr>
                  </w:pPr>
                  <w:r>
                    <w:rPr>
                      <w:b/>
                      <w:bCs/>
                    </w:rPr>
                    <w:t>恶臭强度级</w:t>
                  </w:r>
                </w:p>
              </w:tc>
              <w:tc>
                <w:tcPr>
                  <w:tcW w:w="4130" w:type="pct"/>
                  <w:vAlign w:val="center"/>
                </w:tcPr>
                <w:p>
                  <w:pPr>
                    <w:pStyle w:val="47"/>
                    <w:rPr>
                      <w:b/>
                      <w:bCs/>
                    </w:rPr>
                  </w:pPr>
                  <w:r>
                    <w:rPr>
                      <w:b/>
                      <w:bCs/>
                    </w:rPr>
                    <w:t>特          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69" w:type="pct"/>
                  <w:vAlign w:val="center"/>
                </w:tcPr>
                <w:p>
                  <w:pPr>
                    <w:pStyle w:val="47"/>
                  </w:pPr>
                  <w:r>
                    <w:t>0</w:t>
                  </w:r>
                </w:p>
              </w:tc>
              <w:tc>
                <w:tcPr>
                  <w:tcW w:w="4130" w:type="pct"/>
                  <w:vAlign w:val="center"/>
                </w:tcPr>
                <w:p>
                  <w:pPr>
                    <w:pStyle w:val="47"/>
                  </w:pPr>
                  <w:r>
                    <w:t>未闻到有任何气味，无任何反应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69" w:type="pct"/>
                  <w:vAlign w:val="center"/>
                </w:tcPr>
                <w:p>
                  <w:pPr>
                    <w:pStyle w:val="47"/>
                  </w:pPr>
                  <w:r>
                    <w:t>1</w:t>
                  </w:r>
                </w:p>
              </w:tc>
              <w:tc>
                <w:tcPr>
                  <w:tcW w:w="4130" w:type="pct"/>
                  <w:vAlign w:val="center"/>
                </w:tcPr>
                <w:p>
                  <w:pPr>
                    <w:pStyle w:val="47"/>
                  </w:pPr>
                  <w:r>
                    <w:t>勉强能闻到有气味，但不宜辩认气味性质（感觉阈值）认为无所谓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69" w:type="pct"/>
                  <w:vAlign w:val="center"/>
                </w:tcPr>
                <w:p>
                  <w:pPr>
                    <w:pStyle w:val="47"/>
                  </w:pPr>
                  <w:r>
                    <w:t>2</w:t>
                  </w:r>
                </w:p>
              </w:tc>
              <w:tc>
                <w:tcPr>
                  <w:tcW w:w="4130" w:type="pct"/>
                  <w:vAlign w:val="center"/>
                </w:tcPr>
                <w:p>
                  <w:pPr>
                    <w:pStyle w:val="47"/>
                  </w:pPr>
                  <w:r>
                    <w:t>能闻到气味，且能辨认气味的性质（识别阈值），但感到很正常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69" w:type="pct"/>
                  <w:vAlign w:val="center"/>
                </w:tcPr>
                <w:p>
                  <w:pPr>
                    <w:pStyle w:val="47"/>
                  </w:pPr>
                  <w:r>
                    <w:t>3</w:t>
                  </w:r>
                </w:p>
              </w:tc>
              <w:tc>
                <w:tcPr>
                  <w:tcW w:w="4130" w:type="pct"/>
                  <w:vAlign w:val="center"/>
                </w:tcPr>
                <w:p>
                  <w:pPr>
                    <w:pStyle w:val="47"/>
                  </w:pPr>
                  <w:r>
                    <w:t>很容易闻到气味，有所不快，但不反感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69" w:type="pct"/>
                  <w:vAlign w:val="center"/>
                </w:tcPr>
                <w:p>
                  <w:pPr>
                    <w:pStyle w:val="47"/>
                  </w:pPr>
                  <w:r>
                    <w:t>4</w:t>
                  </w:r>
                </w:p>
              </w:tc>
              <w:tc>
                <w:tcPr>
                  <w:tcW w:w="4130" w:type="pct"/>
                  <w:vAlign w:val="center"/>
                </w:tcPr>
                <w:p>
                  <w:pPr>
                    <w:pStyle w:val="47"/>
                  </w:pPr>
                  <w:r>
                    <w:t>有很强的气味，而且很反感，想离开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69" w:type="pct"/>
                  <w:vAlign w:val="center"/>
                </w:tcPr>
                <w:p>
                  <w:pPr>
                    <w:pStyle w:val="47"/>
                  </w:pPr>
                  <w:r>
                    <w:t>5</w:t>
                  </w:r>
                </w:p>
              </w:tc>
              <w:tc>
                <w:tcPr>
                  <w:tcW w:w="4130" w:type="pct"/>
                  <w:vAlign w:val="center"/>
                </w:tcPr>
                <w:p>
                  <w:pPr>
                    <w:pStyle w:val="47"/>
                  </w:pPr>
                  <w:r>
                    <w:t>有极强的气味，无法忍受，立即逃跑</w:t>
                  </w:r>
                </w:p>
              </w:tc>
            </w:tr>
          </w:tbl>
          <w:p>
            <w:pPr>
              <w:ind w:firstLine="480"/>
            </w:pPr>
            <w:r>
              <w:t>根据对同</w:t>
            </w:r>
            <w:r>
              <w:rPr>
                <w:szCs w:val="22"/>
              </w:rPr>
              <w:t>类企业</w:t>
            </w:r>
            <w:r>
              <w:rPr>
                <w:rFonts w:hint="eastAsia"/>
                <w:szCs w:val="22"/>
              </w:rPr>
              <w:t>（嘉兴宇诚电子科技有限公司年产1000万套新型电子变压器新建项目，该企业生产工艺、原辅材料及生产设备与本项目基本一致）</w:t>
            </w:r>
            <w:r>
              <w:rPr>
                <w:szCs w:val="22"/>
              </w:rPr>
              <w:t>的调查，该类型企业车间内能闻到气味，且能辨认气味的性质（识别阈值），但感</w:t>
            </w:r>
            <w:r>
              <w:t>到很正常，恶臭等级在2~3级左右；在采取相应废气治理措施后，生产车间外勉强能闻到有气味，但不宜辩认气味性质（感觉阈值）认为无所谓，恶臭等级为</w:t>
            </w:r>
            <w:r>
              <w:rPr>
                <w:rFonts w:hint="eastAsia"/>
              </w:rPr>
              <w:t>0~</w:t>
            </w:r>
            <w:r>
              <w:t>1级。</w:t>
            </w:r>
          </w:p>
          <w:p>
            <w:pPr>
              <w:ind w:firstLine="480"/>
            </w:pPr>
            <w:r>
              <w:t xml:space="preserve">本项目废气产生、排放情况汇总如下： </w:t>
            </w:r>
          </w:p>
          <w:p>
            <w:pPr>
              <w:pStyle w:val="46"/>
            </w:pPr>
            <w:r>
              <w:t>表5-</w:t>
            </w:r>
            <w:r>
              <w:rPr>
                <w:rFonts w:hint="eastAsia"/>
              </w:rPr>
              <w:t>6</w:t>
            </w:r>
            <w:r>
              <w:t xml:space="preserve">  本项目废气产生、排放情况一览表</w:t>
            </w:r>
          </w:p>
          <w:tbl>
            <w:tblPr>
              <w:tblStyle w:val="3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1"/>
              <w:gridCol w:w="877"/>
              <w:gridCol w:w="1063"/>
              <w:gridCol w:w="1210"/>
              <w:gridCol w:w="870"/>
              <w:gridCol w:w="910"/>
              <w:gridCol w:w="1025"/>
              <w:gridCol w:w="1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pct"/>
                  <w:vAlign w:val="center"/>
                </w:tcPr>
                <w:p>
                  <w:pPr>
                    <w:pStyle w:val="46"/>
                  </w:pPr>
                  <w:r>
                    <w:t>污染工序</w:t>
                  </w:r>
                </w:p>
              </w:tc>
              <w:tc>
                <w:tcPr>
                  <w:tcW w:w="1113" w:type="pct"/>
                  <w:gridSpan w:val="2"/>
                  <w:vAlign w:val="center"/>
                </w:tcPr>
                <w:p>
                  <w:pPr>
                    <w:pStyle w:val="46"/>
                  </w:pPr>
                  <w:r>
                    <w:t>污染物</w:t>
                  </w:r>
                </w:p>
              </w:tc>
              <w:tc>
                <w:tcPr>
                  <w:tcW w:w="694" w:type="pct"/>
                  <w:vAlign w:val="center"/>
                </w:tcPr>
                <w:p>
                  <w:pPr>
                    <w:pStyle w:val="46"/>
                  </w:pPr>
                  <w:r>
                    <w:t>产生量（t/a）</w:t>
                  </w:r>
                </w:p>
              </w:tc>
              <w:tc>
                <w:tcPr>
                  <w:tcW w:w="499" w:type="pct"/>
                  <w:vAlign w:val="center"/>
                </w:tcPr>
                <w:p>
                  <w:pPr>
                    <w:pStyle w:val="46"/>
                  </w:pPr>
                  <w:r>
                    <w:t>削减量（t/a）</w:t>
                  </w:r>
                </w:p>
              </w:tc>
              <w:tc>
                <w:tcPr>
                  <w:tcW w:w="522" w:type="pct"/>
                  <w:vAlign w:val="center"/>
                </w:tcPr>
                <w:p>
                  <w:pPr>
                    <w:pStyle w:val="46"/>
                  </w:pPr>
                  <w:r>
                    <w:t>排放量（t/a）</w:t>
                  </w:r>
                </w:p>
              </w:tc>
              <w:tc>
                <w:tcPr>
                  <w:tcW w:w="588" w:type="pct"/>
                  <w:vAlign w:val="center"/>
                </w:tcPr>
                <w:p>
                  <w:pPr>
                    <w:pStyle w:val="46"/>
                  </w:pPr>
                  <w:r>
                    <w:t>排放速率(kg/h)</w:t>
                  </w:r>
                </w:p>
              </w:tc>
              <w:tc>
                <w:tcPr>
                  <w:tcW w:w="686" w:type="pct"/>
                  <w:vAlign w:val="center"/>
                </w:tcPr>
                <w:p>
                  <w:pPr>
                    <w:pStyle w:val="46"/>
                  </w:pPr>
                  <w:r>
                    <w:t>排放浓度(mg/m</w:t>
                  </w:r>
                  <w:r>
                    <w:rPr>
                      <w:vertAlign w:val="superscript"/>
                    </w:rPr>
                    <w:t>3</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pct"/>
                  <w:vAlign w:val="center"/>
                </w:tcPr>
                <w:p>
                  <w:pPr>
                    <w:pStyle w:val="47"/>
                  </w:pPr>
                  <w:r>
                    <w:t>焊接</w:t>
                  </w:r>
                </w:p>
              </w:tc>
              <w:tc>
                <w:tcPr>
                  <w:tcW w:w="1113" w:type="pct"/>
                  <w:gridSpan w:val="2"/>
                  <w:vAlign w:val="center"/>
                </w:tcPr>
                <w:p>
                  <w:pPr>
                    <w:pStyle w:val="47"/>
                  </w:pPr>
                  <w:r>
                    <w:t>烟尘</w:t>
                  </w:r>
                </w:p>
              </w:tc>
              <w:tc>
                <w:tcPr>
                  <w:tcW w:w="694" w:type="pct"/>
                  <w:vAlign w:val="center"/>
                </w:tcPr>
                <w:p>
                  <w:pPr>
                    <w:pStyle w:val="47"/>
                  </w:pPr>
                  <w:r>
                    <w:rPr>
                      <w:rFonts w:hint="eastAsia"/>
                    </w:rPr>
                    <w:t>0.003</w:t>
                  </w:r>
                </w:p>
              </w:tc>
              <w:tc>
                <w:tcPr>
                  <w:tcW w:w="499" w:type="pct"/>
                  <w:vAlign w:val="center"/>
                </w:tcPr>
                <w:p>
                  <w:pPr>
                    <w:pStyle w:val="47"/>
                  </w:pPr>
                  <w:r>
                    <w:rPr>
                      <w:rFonts w:hint="eastAsia"/>
                    </w:rPr>
                    <w:t>0.002</w:t>
                  </w:r>
                </w:p>
              </w:tc>
              <w:tc>
                <w:tcPr>
                  <w:tcW w:w="522" w:type="pct"/>
                  <w:vAlign w:val="center"/>
                </w:tcPr>
                <w:p>
                  <w:pPr>
                    <w:pStyle w:val="47"/>
                  </w:pPr>
                  <w:r>
                    <w:rPr>
                      <w:rFonts w:hint="eastAsia"/>
                    </w:rPr>
                    <w:t>0.001</w:t>
                  </w:r>
                </w:p>
              </w:tc>
              <w:tc>
                <w:tcPr>
                  <w:tcW w:w="588" w:type="pct"/>
                  <w:vAlign w:val="center"/>
                </w:tcPr>
                <w:p>
                  <w:pPr>
                    <w:pStyle w:val="47"/>
                  </w:pPr>
                  <w:r>
                    <w:rPr>
                      <w:rFonts w:hint="eastAsia"/>
                    </w:rPr>
                    <w:t>0.0004</w:t>
                  </w:r>
                </w:p>
              </w:tc>
              <w:tc>
                <w:tcPr>
                  <w:tcW w:w="686" w:type="pct"/>
                  <w:vAlign w:val="center"/>
                </w:tcPr>
                <w:p>
                  <w:pPr>
                    <w:pStyle w:val="4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pct"/>
                  <w:vMerge w:val="restart"/>
                  <w:vAlign w:val="center"/>
                </w:tcPr>
                <w:p>
                  <w:pPr>
                    <w:pStyle w:val="47"/>
                  </w:pPr>
                  <w:r>
                    <w:t>浸漆、烘干</w:t>
                  </w:r>
                </w:p>
              </w:tc>
              <w:tc>
                <w:tcPr>
                  <w:tcW w:w="503" w:type="pct"/>
                  <w:vMerge w:val="restart"/>
                  <w:vAlign w:val="center"/>
                </w:tcPr>
                <w:p>
                  <w:pPr>
                    <w:pStyle w:val="47"/>
                  </w:pPr>
                  <w:r>
                    <w:t>非甲烷总烃</w:t>
                  </w:r>
                </w:p>
              </w:tc>
              <w:tc>
                <w:tcPr>
                  <w:tcW w:w="609" w:type="pct"/>
                  <w:vAlign w:val="center"/>
                </w:tcPr>
                <w:p>
                  <w:pPr>
                    <w:pStyle w:val="47"/>
                  </w:pPr>
                  <w:r>
                    <w:t>有组织</w:t>
                  </w:r>
                </w:p>
              </w:tc>
              <w:tc>
                <w:tcPr>
                  <w:tcW w:w="1211" w:type="dxa"/>
                  <w:vAlign w:val="center"/>
                </w:tcPr>
                <w:p>
                  <w:pPr>
                    <w:pStyle w:val="47"/>
                  </w:pPr>
                  <w:r>
                    <w:rPr>
                      <w:rFonts w:hint="eastAsia"/>
                    </w:rPr>
                    <w:t>0.414</w:t>
                  </w:r>
                </w:p>
              </w:tc>
              <w:tc>
                <w:tcPr>
                  <w:tcW w:w="870" w:type="dxa"/>
                  <w:vAlign w:val="center"/>
                </w:tcPr>
                <w:p>
                  <w:pPr>
                    <w:pStyle w:val="47"/>
                  </w:pPr>
                  <w:r>
                    <w:t>0.373</w:t>
                  </w:r>
                </w:p>
              </w:tc>
              <w:tc>
                <w:tcPr>
                  <w:tcW w:w="910" w:type="dxa"/>
                  <w:vAlign w:val="center"/>
                </w:tcPr>
                <w:p>
                  <w:pPr>
                    <w:pStyle w:val="47"/>
                  </w:pPr>
                  <w:r>
                    <w:t>0.041</w:t>
                  </w:r>
                </w:p>
              </w:tc>
              <w:tc>
                <w:tcPr>
                  <w:tcW w:w="1025" w:type="dxa"/>
                  <w:vAlign w:val="center"/>
                </w:tcPr>
                <w:p>
                  <w:pPr>
                    <w:pStyle w:val="47"/>
                  </w:pPr>
                  <w:r>
                    <w:rPr>
                      <w:rFonts w:hint="eastAsia"/>
                    </w:rPr>
                    <w:t>0.017</w:t>
                  </w:r>
                </w:p>
              </w:tc>
              <w:tc>
                <w:tcPr>
                  <w:tcW w:w="1197" w:type="dxa"/>
                  <w:vAlign w:val="center"/>
                </w:tcPr>
                <w:p>
                  <w:pPr>
                    <w:pStyle w:val="47"/>
                  </w:pPr>
                  <w:r>
                    <w:rPr>
                      <w:rFonts w:hint="eastAsia"/>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pct"/>
                  <w:vMerge w:val="continue"/>
                  <w:vAlign w:val="center"/>
                </w:tcPr>
                <w:p>
                  <w:pPr>
                    <w:pStyle w:val="47"/>
                  </w:pPr>
                </w:p>
              </w:tc>
              <w:tc>
                <w:tcPr>
                  <w:tcW w:w="503" w:type="pct"/>
                  <w:vMerge w:val="continue"/>
                  <w:vAlign w:val="center"/>
                </w:tcPr>
                <w:p>
                  <w:pPr>
                    <w:pStyle w:val="47"/>
                  </w:pPr>
                </w:p>
              </w:tc>
              <w:tc>
                <w:tcPr>
                  <w:tcW w:w="609" w:type="pct"/>
                  <w:vAlign w:val="center"/>
                </w:tcPr>
                <w:p>
                  <w:pPr>
                    <w:pStyle w:val="47"/>
                  </w:pPr>
                  <w:r>
                    <w:t>无组织</w:t>
                  </w:r>
                </w:p>
              </w:tc>
              <w:tc>
                <w:tcPr>
                  <w:tcW w:w="1211" w:type="dxa"/>
                  <w:vAlign w:val="center"/>
                </w:tcPr>
                <w:p>
                  <w:pPr>
                    <w:pStyle w:val="47"/>
                  </w:pPr>
                  <w:r>
                    <w:rPr>
                      <w:rFonts w:hint="eastAsia"/>
                    </w:rPr>
                    <w:t>0.046</w:t>
                  </w:r>
                </w:p>
              </w:tc>
              <w:tc>
                <w:tcPr>
                  <w:tcW w:w="870" w:type="dxa"/>
                  <w:vAlign w:val="center"/>
                </w:tcPr>
                <w:p>
                  <w:pPr>
                    <w:pStyle w:val="47"/>
                  </w:pPr>
                  <w:r>
                    <w:t>/</w:t>
                  </w:r>
                </w:p>
              </w:tc>
              <w:tc>
                <w:tcPr>
                  <w:tcW w:w="910" w:type="dxa"/>
                  <w:vAlign w:val="center"/>
                </w:tcPr>
                <w:p>
                  <w:pPr>
                    <w:pStyle w:val="47"/>
                  </w:pPr>
                  <w:r>
                    <w:t>0.046</w:t>
                  </w:r>
                </w:p>
              </w:tc>
              <w:tc>
                <w:tcPr>
                  <w:tcW w:w="1025" w:type="dxa"/>
                  <w:vAlign w:val="center"/>
                </w:tcPr>
                <w:p>
                  <w:pPr>
                    <w:pStyle w:val="47"/>
                  </w:pPr>
                  <w:r>
                    <w:t>0</w:t>
                  </w:r>
                  <w:r>
                    <w:rPr>
                      <w:rFonts w:hint="eastAsia"/>
                    </w:rPr>
                    <w:t>.019</w:t>
                  </w:r>
                </w:p>
              </w:tc>
              <w:tc>
                <w:tcPr>
                  <w:tcW w:w="1197" w:type="dxa"/>
                  <w:vAlign w:val="center"/>
                </w:tcPr>
                <w:p>
                  <w:pPr>
                    <w:pStyle w:val="4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pct"/>
                  <w:vMerge w:val="continue"/>
                  <w:vAlign w:val="center"/>
                </w:tcPr>
                <w:p>
                  <w:pPr>
                    <w:pStyle w:val="47"/>
                  </w:pPr>
                </w:p>
              </w:tc>
              <w:tc>
                <w:tcPr>
                  <w:tcW w:w="503" w:type="pct"/>
                  <w:vMerge w:val="continue"/>
                  <w:vAlign w:val="center"/>
                </w:tcPr>
                <w:p>
                  <w:pPr>
                    <w:pStyle w:val="47"/>
                  </w:pPr>
                </w:p>
              </w:tc>
              <w:tc>
                <w:tcPr>
                  <w:tcW w:w="609" w:type="pct"/>
                  <w:vAlign w:val="center"/>
                </w:tcPr>
                <w:p>
                  <w:pPr>
                    <w:pStyle w:val="47"/>
                  </w:pPr>
                  <w:r>
                    <w:t>合计</w:t>
                  </w:r>
                </w:p>
              </w:tc>
              <w:tc>
                <w:tcPr>
                  <w:tcW w:w="1211" w:type="dxa"/>
                  <w:vAlign w:val="center"/>
                </w:tcPr>
                <w:p>
                  <w:pPr>
                    <w:pStyle w:val="47"/>
                  </w:pPr>
                  <w:r>
                    <w:t>0.46</w:t>
                  </w:r>
                  <w:r>
                    <w:rPr>
                      <w:rFonts w:hint="eastAsia"/>
                    </w:rPr>
                    <w:t>0</w:t>
                  </w:r>
                </w:p>
              </w:tc>
              <w:tc>
                <w:tcPr>
                  <w:tcW w:w="870" w:type="dxa"/>
                  <w:vAlign w:val="center"/>
                </w:tcPr>
                <w:p>
                  <w:pPr>
                    <w:pStyle w:val="47"/>
                  </w:pPr>
                  <w:r>
                    <w:t>0.373</w:t>
                  </w:r>
                </w:p>
              </w:tc>
              <w:tc>
                <w:tcPr>
                  <w:tcW w:w="910" w:type="dxa"/>
                  <w:vAlign w:val="center"/>
                </w:tcPr>
                <w:p>
                  <w:pPr>
                    <w:pStyle w:val="47"/>
                  </w:pPr>
                  <w:r>
                    <w:t>0.087</w:t>
                  </w:r>
                </w:p>
              </w:tc>
              <w:tc>
                <w:tcPr>
                  <w:tcW w:w="1025" w:type="dxa"/>
                  <w:vAlign w:val="center"/>
                </w:tcPr>
                <w:p>
                  <w:pPr>
                    <w:pStyle w:val="47"/>
                  </w:pPr>
                  <w:r>
                    <w:t>/</w:t>
                  </w:r>
                </w:p>
              </w:tc>
              <w:tc>
                <w:tcPr>
                  <w:tcW w:w="1197" w:type="dxa"/>
                  <w:vAlign w:val="center"/>
                </w:tcPr>
                <w:p>
                  <w:pPr>
                    <w:pStyle w:val="4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9" w:type="pct"/>
                  <w:gridSpan w:val="3"/>
                  <w:vAlign w:val="center"/>
                </w:tcPr>
                <w:p>
                  <w:pPr>
                    <w:pStyle w:val="47"/>
                  </w:pPr>
                  <w:r>
                    <w:t>恶臭</w:t>
                  </w:r>
                </w:p>
              </w:tc>
              <w:tc>
                <w:tcPr>
                  <w:tcW w:w="694" w:type="pct"/>
                  <w:vAlign w:val="center"/>
                </w:tcPr>
                <w:p>
                  <w:pPr>
                    <w:pStyle w:val="47"/>
                  </w:pPr>
                  <w:r>
                    <w:t>2</w:t>
                  </w:r>
                  <w:r>
                    <w:rPr>
                      <w:rFonts w:hint="eastAsia"/>
                    </w:rPr>
                    <w:t>~</w:t>
                  </w:r>
                  <w:r>
                    <w:t>3级</w:t>
                  </w:r>
                </w:p>
              </w:tc>
              <w:tc>
                <w:tcPr>
                  <w:tcW w:w="499" w:type="pct"/>
                  <w:vAlign w:val="center"/>
                </w:tcPr>
                <w:p>
                  <w:pPr>
                    <w:pStyle w:val="47"/>
                  </w:pPr>
                  <w:r>
                    <w:t>/</w:t>
                  </w:r>
                </w:p>
              </w:tc>
              <w:tc>
                <w:tcPr>
                  <w:tcW w:w="522" w:type="pct"/>
                  <w:vAlign w:val="center"/>
                </w:tcPr>
                <w:p>
                  <w:pPr>
                    <w:pStyle w:val="47"/>
                  </w:pPr>
                  <w:r>
                    <w:rPr>
                      <w:rFonts w:hint="eastAsia"/>
                    </w:rPr>
                    <w:t>0~</w:t>
                  </w:r>
                  <w:r>
                    <w:t>1级</w:t>
                  </w:r>
                </w:p>
              </w:tc>
              <w:tc>
                <w:tcPr>
                  <w:tcW w:w="588" w:type="pct"/>
                  <w:vAlign w:val="center"/>
                </w:tcPr>
                <w:p>
                  <w:pPr>
                    <w:pStyle w:val="47"/>
                  </w:pPr>
                  <w:r>
                    <w:t>/</w:t>
                  </w:r>
                </w:p>
              </w:tc>
              <w:tc>
                <w:tcPr>
                  <w:tcW w:w="686" w:type="pct"/>
                  <w:vAlign w:val="center"/>
                </w:tcPr>
                <w:p>
                  <w:pPr>
                    <w:pStyle w:val="4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8"/>
                  <w:vAlign w:val="center"/>
                </w:tcPr>
                <w:p>
                  <w:pPr>
                    <w:pStyle w:val="49"/>
                    <w:jc w:val="both"/>
                  </w:pPr>
                  <w:r>
                    <w:rPr>
                      <w:szCs w:val="16"/>
                    </w:rPr>
                    <w:t>备注：本项目实行一班制生产，日工作时间8小时，年工作300天。</w:t>
                  </w:r>
                </w:p>
              </w:tc>
            </w:tr>
            <w:bookmarkEnd w:id="131"/>
          </w:tbl>
          <w:p>
            <w:pPr>
              <w:pStyle w:val="6"/>
            </w:pPr>
            <w:r>
              <w:t>5.2.3.3噪声</w:t>
            </w:r>
          </w:p>
          <w:p>
            <w:pPr>
              <w:ind w:firstLine="480"/>
            </w:pPr>
            <w:bookmarkStart w:id="133" w:name="_Toc50517375"/>
            <w:r>
              <w:t>本项目的噪声源主要为加工中心、炮塔铣床、6140车床、</w:t>
            </w:r>
            <w:r>
              <w:rPr>
                <w:rFonts w:hint="eastAsia"/>
              </w:rPr>
              <w:t>平面组合铣床</w:t>
            </w:r>
            <w:r>
              <w:t>、数控车床、平面磨床、锯床、MIG焊机、交流氩弧焊</w:t>
            </w:r>
            <w:r>
              <w:rPr>
                <w:szCs w:val="22"/>
              </w:rPr>
              <w:t>机</w:t>
            </w:r>
            <w:r>
              <w:rPr>
                <w:rFonts w:hint="eastAsia"/>
                <w:szCs w:val="22"/>
              </w:rPr>
              <w:t>、真空含浸机、电热烘箱</w:t>
            </w:r>
            <w:r>
              <w:rPr>
                <w:szCs w:val="22"/>
              </w:rPr>
              <w:t>等设备，根据对同类型企业</w:t>
            </w:r>
            <w:r>
              <w:rPr>
                <w:rFonts w:hint="eastAsia"/>
                <w:szCs w:val="22"/>
              </w:rPr>
              <w:t>（嘉兴宇诚电子科技有限公司年产1000万套新型电子变压器新建项目，该企业生产工艺、原辅材料及生产设备与本项目基本一致）</w:t>
            </w:r>
            <w:r>
              <w:rPr>
                <w:szCs w:val="22"/>
              </w:rPr>
              <w:t>生产车间的调查</w:t>
            </w:r>
            <w:r>
              <w:t>，各设备声源见表5-</w:t>
            </w:r>
            <w:r>
              <w:rPr>
                <w:rFonts w:hint="eastAsia"/>
              </w:rPr>
              <w:t>7</w:t>
            </w:r>
            <w:r>
              <w:t>。</w:t>
            </w:r>
          </w:p>
          <w:p>
            <w:pPr>
              <w:pStyle w:val="46"/>
            </w:pPr>
            <w:r>
              <w:t>表5-</w:t>
            </w:r>
            <w:r>
              <w:rPr>
                <w:rFonts w:hint="eastAsia"/>
              </w:rPr>
              <w:t>7</w:t>
            </w:r>
            <w:r>
              <w:t xml:space="preserve">  生产设备噪声级一览表</w:t>
            </w:r>
          </w:p>
          <w:tbl>
            <w:tblPr>
              <w:tblStyle w:val="3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2"/>
              <w:gridCol w:w="1695"/>
              <w:gridCol w:w="839"/>
              <w:gridCol w:w="916"/>
              <w:gridCol w:w="705"/>
              <w:gridCol w:w="1068"/>
              <w:gridCol w:w="763"/>
              <w:gridCol w:w="809"/>
              <w:gridCol w:w="648"/>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 w:type="pct"/>
                  <w:vMerge w:val="restart"/>
                  <w:tcBorders>
                    <w:top w:val="single" w:color="auto" w:sz="4" w:space="0"/>
                    <w:left w:val="single" w:color="auto" w:sz="4" w:space="0"/>
                    <w:bottom w:val="single" w:color="auto" w:sz="4" w:space="0"/>
                    <w:right w:val="single" w:color="auto" w:sz="4" w:space="0"/>
                  </w:tcBorders>
                  <w:vAlign w:val="center"/>
                </w:tcPr>
                <w:p>
                  <w:pPr>
                    <w:pStyle w:val="46"/>
                  </w:pPr>
                  <w:r>
                    <w:t>序</w:t>
                  </w:r>
                </w:p>
                <w:p>
                  <w:pPr>
                    <w:pStyle w:val="46"/>
                  </w:pPr>
                  <w:r>
                    <w:t>号</w:t>
                  </w:r>
                </w:p>
              </w:tc>
              <w:tc>
                <w:tcPr>
                  <w:tcW w:w="971" w:type="pct"/>
                  <w:vMerge w:val="restart"/>
                  <w:tcBorders>
                    <w:top w:val="single" w:color="auto" w:sz="4" w:space="0"/>
                    <w:left w:val="single" w:color="auto" w:sz="4" w:space="0"/>
                    <w:bottom w:val="single" w:color="auto" w:sz="4" w:space="0"/>
                    <w:right w:val="single" w:color="auto" w:sz="4" w:space="0"/>
                  </w:tcBorders>
                  <w:vAlign w:val="center"/>
                </w:tcPr>
                <w:p>
                  <w:pPr>
                    <w:pStyle w:val="46"/>
                  </w:pPr>
                  <w:r>
                    <w:t>名 称</w:t>
                  </w:r>
                </w:p>
              </w:tc>
              <w:tc>
                <w:tcPr>
                  <w:tcW w:w="481" w:type="pct"/>
                  <w:vMerge w:val="restart"/>
                  <w:tcBorders>
                    <w:top w:val="single" w:color="auto" w:sz="4" w:space="0"/>
                    <w:left w:val="single" w:color="auto" w:sz="4" w:space="0"/>
                    <w:bottom w:val="single" w:color="auto" w:sz="4" w:space="0"/>
                    <w:right w:val="single" w:color="auto" w:sz="4" w:space="0"/>
                  </w:tcBorders>
                  <w:vAlign w:val="center"/>
                </w:tcPr>
                <w:p>
                  <w:pPr>
                    <w:pStyle w:val="46"/>
                  </w:pPr>
                  <w:r>
                    <w:t>数</w:t>
                  </w:r>
                </w:p>
                <w:p>
                  <w:pPr>
                    <w:pStyle w:val="46"/>
                  </w:pPr>
                  <w:r>
                    <w:t>量（台）</w:t>
                  </w:r>
                </w:p>
              </w:tc>
              <w:tc>
                <w:tcPr>
                  <w:tcW w:w="1540" w:type="pct"/>
                  <w:gridSpan w:val="3"/>
                  <w:tcBorders>
                    <w:top w:val="single" w:color="auto" w:sz="4" w:space="0"/>
                    <w:left w:val="single" w:color="auto" w:sz="4" w:space="0"/>
                    <w:bottom w:val="single" w:color="auto" w:sz="4" w:space="0"/>
                    <w:right w:val="single" w:color="auto" w:sz="4" w:space="0"/>
                  </w:tcBorders>
                  <w:vAlign w:val="center"/>
                </w:tcPr>
                <w:p>
                  <w:pPr>
                    <w:pStyle w:val="46"/>
                  </w:pPr>
                  <w:r>
                    <w:t>空间位置</w:t>
                  </w:r>
                </w:p>
              </w:tc>
              <w:tc>
                <w:tcPr>
                  <w:tcW w:w="438" w:type="pct"/>
                  <w:vMerge w:val="restart"/>
                  <w:tcBorders>
                    <w:top w:val="single" w:color="auto" w:sz="4" w:space="0"/>
                    <w:left w:val="single" w:color="auto" w:sz="4" w:space="0"/>
                    <w:bottom w:val="single" w:color="auto" w:sz="4" w:space="0"/>
                    <w:right w:val="single" w:color="auto" w:sz="4" w:space="0"/>
                  </w:tcBorders>
                  <w:vAlign w:val="center"/>
                </w:tcPr>
                <w:p>
                  <w:pPr>
                    <w:pStyle w:val="46"/>
                  </w:pPr>
                  <w:r>
                    <w:t>发声持续时间</w:t>
                  </w:r>
                </w:p>
              </w:tc>
              <w:tc>
                <w:tcPr>
                  <w:tcW w:w="464" w:type="pct"/>
                  <w:vMerge w:val="restart"/>
                  <w:tcBorders>
                    <w:top w:val="single" w:color="auto" w:sz="4" w:space="0"/>
                    <w:left w:val="single" w:color="auto" w:sz="4" w:space="0"/>
                    <w:bottom w:val="single" w:color="auto" w:sz="4" w:space="0"/>
                    <w:right w:val="single" w:color="auto" w:sz="4" w:space="0"/>
                  </w:tcBorders>
                  <w:vAlign w:val="center"/>
                </w:tcPr>
                <w:p>
                  <w:pPr>
                    <w:pStyle w:val="46"/>
                  </w:pPr>
                  <w:r>
                    <w:t>声级/</w:t>
                  </w:r>
                </w:p>
                <w:p>
                  <w:pPr>
                    <w:pStyle w:val="46"/>
                  </w:pPr>
                  <w:r>
                    <w:t>dB(A)</w:t>
                  </w:r>
                </w:p>
              </w:tc>
              <w:tc>
                <w:tcPr>
                  <w:tcW w:w="372" w:type="pct"/>
                  <w:vMerge w:val="restart"/>
                  <w:tcBorders>
                    <w:top w:val="single" w:color="auto" w:sz="4" w:space="0"/>
                    <w:left w:val="single" w:color="auto" w:sz="4" w:space="0"/>
                    <w:bottom w:val="single" w:color="auto" w:sz="4" w:space="0"/>
                    <w:right w:val="single" w:color="auto" w:sz="4" w:space="0"/>
                  </w:tcBorders>
                  <w:vAlign w:val="center"/>
                </w:tcPr>
                <w:p>
                  <w:pPr>
                    <w:pStyle w:val="46"/>
                  </w:pPr>
                  <w:r>
                    <w:t>监测位置</w:t>
                  </w:r>
                </w:p>
              </w:tc>
              <w:tc>
                <w:tcPr>
                  <w:tcW w:w="436" w:type="pct"/>
                  <w:vMerge w:val="restart"/>
                  <w:tcBorders>
                    <w:top w:val="single" w:color="auto" w:sz="4" w:space="0"/>
                    <w:left w:val="single" w:color="auto" w:sz="4" w:space="0"/>
                    <w:bottom w:val="single" w:color="auto" w:sz="4" w:space="0"/>
                    <w:right w:val="single" w:color="auto" w:sz="4" w:space="0"/>
                  </w:tcBorders>
                  <w:vAlign w:val="center"/>
                </w:tcPr>
                <w:p>
                  <w:pPr>
                    <w:pStyle w:val="46"/>
                  </w:pPr>
                  <w:r>
                    <w:t>所在厂房结构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 w:type="pct"/>
                  <w:vMerge w:val="continue"/>
                  <w:tcBorders>
                    <w:top w:val="single" w:color="auto" w:sz="4" w:space="0"/>
                    <w:left w:val="single" w:color="auto" w:sz="4" w:space="0"/>
                    <w:bottom w:val="single" w:color="auto" w:sz="4" w:space="0"/>
                    <w:right w:val="single" w:color="auto" w:sz="4" w:space="0"/>
                  </w:tcBorders>
                  <w:vAlign w:val="center"/>
                </w:tcPr>
                <w:p>
                  <w:pPr>
                    <w:pStyle w:val="49"/>
                    <w:rPr>
                      <w:szCs w:val="21"/>
                    </w:rPr>
                  </w:pPr>
                </w:p>
              </w:tc>
              <w:tc>
                <w:tcPr>
                  <w:tcW w:w="971" w:type="pct"/>
                  <w:vMerge w:val="continue"/>
                  <w:tcBorders>
                    <w:top w:val="single" w:color="auto" w:sz="4" w:space="0"/>
                    <w:left w:val="single" w:color="auto" w:sz="4" w:space="0"/>
                    <w:bottom w:val="single" w:color="auto" w:sz="4" w:space="0"/>
                    <w:right w:val="single" w:color="auto" w:sz="4" w:space="0"/>
                  </w:tcBorders>
                  <w:vAlign w:val="center"/>
                </w:tcPr>
                <w:p>
                  <w:pPr>
                    <w:pStyle w:val="49"/>
                    <w:rPr>
                      <w:szCs w:val="21"/>
                    </w:rPr>
                  </w:pPr>
                </w:p>
              </w:tc>
              <w:tc>
                <w:tcPr>
                  <w:tcW w:w="481" w:type="pct"/>
                  <w:vMerge w:val="continue"/>
                  <w:tcBorders>
                    <w:top w:val="single" w:color="auto" w:sz="4" w:space="0"/>
                    <w:left w:val="single" w:color="auto" w:sz="4" w:space="0"/>
                    <w:bottom w:val="single" w:color="auto" w:sz="4" w:space="0"/>
                    <w:right w:val="single" w:color="auto" w:sz="4" w:space="0"/>
                  </w:tcBorders>
                  <w:vAlign w:val="center"/>
                </w:tcPr>
                <w:p>
                  <w:pPr>
                    <w:pStyle w:val="49"/>
                    <w:rPr>
                      <w:szCs w:val="21"/>
                    </w:rPr>
                  </w:pPr>
                </w:p>
              </w:tc>
              <w:tc>
                <w:tcPr>
                  <w:tcW w:w="524" w:type="pct"/>
                  <w:tcBorders>
                    <w:top w:val="single" w:color="auto" w:sz="4" w:space="0"/>
                    <w:left w:val="single" w:color="auto" w:sz="4" w:space="0"/>
                    <w:bottom w:val="single" w:color="auto" w:sz="4" w:space="0"/>
                    <w:right w:val="single" w:color="auto" w:sz="4" w:space="0"/>
                  </w:tcBorders>
                  <w:vAlign w:val="center"/>
                </w:tcPr>
                <w:p>
                  <w:pPr>
                    <w:pStyle w:val="46"/>
                  </w:pPr>
                  <w:r>
                    <w:t>室内或室外</w:t>
                  </w:r>
                </w:p>
              </w:tc>
              <w:tc>
                <w:tcPr>
                  <w:tcW w:w="404" w:type="pct"/>
                  <w:tcBorders>
                    <w:top w:val="single" w:color="auto" w:sz="4" w:space="0"/>
                    <w:left w:val="single" w:color="auto" w:sz="4" w:space="0"/>
                    <w:bottom w:val="single" w:color="auto" w:sz="4" w:space="0"/>
                    <w:right w:val="single" w:color="auto" w:sz="4" w:space="0"/>
                  </w:tcBorders>
                  <w:vAlign w:val="center"/>
                </w:tcPr>
                <w:p>
                  <w:pPr>
                    <w:pStyle w:val="46"/>
                  </w:pPr>
                  <w:r>
                    <w:t>所在车间</w:t>
                  </w:r>
                </w:p>
              </w:tc>
              <w:tc>
                <w:tcPr>
                  <w:tcW w:w="611" w:type="pct"/>
                  <w:tcBorders>
                    <w:top w:val="single" w:color="auto" w:sz="4" w:space="0"/>
                    <w:left w:val="single" w:color="auto" w:sz="4" w:space="0"/>
                    <w:bottom w:val="single" w:color="auto" w:sz="4" w:space="0"/>
                    <w:right w:val="single" w:color="auto" w:sz="4" w:space="0"/>
                  </w:tcBorders>
                  <w:vAlign w:val="center"/>
                </w:tcPr>
                <w:p>
                  <w:pPr>
                    <w:pStyle w:val="46"/>
                  </w:pPr>
                  <w:r>
                    <w:t>相对地面高度</w:t>
                  </w:r>
                </w:p>
              </w:tc>
              <w:tc>
                <w:tcPr>
                  <w:tcW w:w="438" w:type="pct"/>
                  <w:vMerge w:val="continue"/>
                  <w:tcBorders>
                    <w:top w:val="single" w:color="auto" w:sz="4" w:space="0"/>
                    <w:left w:val="single" w:color="auto" w:sz="4" w:space="0"/>
                    <w:bottom w:val="single" w:color="auto" w:sz="4" w:space="0"/>
                    <w:right w:val="single" w:color="auto" w:sz="4" w:space="0"/>
                  </w:tcBorders>
                  <w:vAlign w:val="center"/>
                </w:tcPr>
                <w:p>
                  <w:pPr>
                    <w:pStyle w:val="49"/>
                    <w:rPr>
                      <w:szCs w:val="21"/>
                    </w:rPr>
                  </w:pPr>
                </w:p>
              </w:tc>
              <w:tc>
                <w:tcPr>
                  <w:tcW w:w="464" w:type="pct"/>
                  <w:vMerge w:val="continue"/>
                  <w:tcBorders>
                    <w:top w:val="single" w:color="auto" w:sz="4" w:space="0"/>
                    <w:left w:val="single" w:color="auto" w:sz="4" w:space="0"/>
                    <w:bottom w:val="single" w:color="auto" w:sz="4" w:space="0"/>
                    <w:right w:val="single" w:color="auto" w:sz="4" w:space="0"/>
                  </w:tcBorders>
                  <w:vAlign w:val="center"/>
                </w:tcPr>
                <w:p>
                  <w:pPr>
                    <w:pStyle w:val="49"/>
                    <w:rPr>
                      <w:szCs w:val="21"/>
                    </w:rPr>
                  </w:pPr>
                </w:p>
              </w:tc>
              <w:tc>
                <w:tcPr>
                  <w:tcW w:w="372" w:type="pct"/>
                  <w:vMerge w:val="continue"/>
                  <w:tcBorders>
                    <w:top w:val="single" w:color="auto" w:sz="4" w:space="0"/>
                    <w:left w:val="single" w:color="auto" w:sz="4" w:space="0"/>
                    <w:bottom w:val="single" w:color="auto" w:sz="4" w:space="0"/>
                    <w:right w:val="single" w:color="auto" w:sz="4" w:space="0"/>
                  </w:tcBorders>
                  <w:vAlign w:val="center"/>
                </w:tcPr>
                <w:p>
                  <w:pPr>
                    <w:pStyle w:val="49"/>
                    <w:rPr>
                      <w:szCs w:val="21"/>
                    </w:rPr>
                  </w:pPr>
                </w:p>
              </w:tc>
              <w:tc>
                <w:tcPr>
                  <w:tcW w:w="436" w:type="pct"/>
                  <w:vMerge w:val="continue"/>
                  <w:tcBorders>
                    <w:top w:val="single" w:color="auto" w:sz="4" w:space="0"/>
                    <w:left w:val="single" w:color="auto" w:sz="4" w:space="0"/>
                    <w:bottom w:val="single" w:color="auto" w:sz="4" w:space="0"/>
                    <w:right w:val="single" w:color="auto" w:sz="4" w:space="0"/>
                  </w:tcBorders>
                  <w:vAlign w:val="center"/>
                </w:tcPr>
                <w:p>
                  <w:pPr>
                    <w:pStyle w:val="49"/>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 w:type="pct"/>
                  <w:tcBorders>
                    <w:top w:val="single" w:color="auto" w:sz="4" w:space="0"/>
                    <w:left w:val="single" w:color="auto" w:sz="4" w:space="0"/>
                    <w:bottom w:val="single" w:color="auto" w:sz="4" w:space="0"/>
                    <w:right w:val="single" w:color="auto" w:sz="4" w:space="0"/>
                  </w:tcBorders>
                  <w:vAlign w:val="center"/>
                </w:tcPr>
                <w:p>
                  <w:pPr>
                    <w:pStyle w:val="47"/>
                  </w:pPr>
                  <w:r>
                    <w:t>1</w:t>
                  </w:r>
                </w:p>
              </w:tc>
              <w:tc>
                <w:tcPr>
                  <w:tcW w:w="971" w:type="pct"/>
                  <w:tcBorders>
                    <w:top w:val="single" w:color="auto" w:sz="4" w:space="0"/>
                    <w:left w:val="single" w:color="auto" w:sz="4" w:space="0"/>
                    <w:bottom w:val="single" w:color="auto" w:sz="4" w:space="0"/>
                    <w:right w:val="single" w:color="auto" w:sz="4" w:space="0"/>
                  </w:tcBorders>
                  <w:vAlign w:val="center"/>
                </w:tcPr>
                <w:p>
                  <w:pPr>
                    <w:pStyle w:val="47"/>
                  </w:pPr>
                  <w:r>
                    <w:t>加工中心</w:t>
                  </w:r>
                </w:p>
              </w:tc>
              <w:tc>
                <w:tcPr>
                  <w:tcW w:w="481" w:type="pct"/>
                  <w:tcBorders>
                    <w:top w:val="single" w:color="auto" w:sz="4" w:space="0"/>
                    <w:left w:val="single" w:color="auto" w:sz="4" w:space="0"/>
                    <w:bottom w:val="single" w:color="auto" w:sz="4" w:space="0"/>
                    <w:right w:val="single" w:color="auto" w:sz="4" w:space="0"/>
                  </w:tcBorders>
                  <w:vAlign w:val="center"/>
                </w:tcPr>
                <w:p>
                  <w:pPr>
                    <w:pStyle w:val="47"/>
                  </w:pPr>
                  <w:r>
                    <w:t>2</w:t>
                  </w:r>
                </w:p>
              </w:tc>
              <w:tc>
                <w:tcPr>
                  <w:tcW w:w="524" w:type="pct"/>
                  <w:vMerge w:val="restart"/>
                  <w:tcBorders>
                    <w:top w:val="single" w:color="auto" w:sz="4" w:space="0"/>
                    <w:left w:val="single" w:color="auto" w:sz="4" w:space="0"/>
                    <w:right w:val="single" w:color="auto" w:sz="4" w:space="0"/>
                  </w:tcBorders>
                  <w:vAlign w:val="center"/>
                </w:tcPr>
                <w:p>
                  <w:pPr>
                    <w:pStyle w:val="47"/>
                  </w:pPr>
                  <w:r>
                    <w:t>室内</w:t>
                  </w:r>
                </w:p>
              </w:tc>
              <w:tc>
                <w:tcPr>
                  <w:tcW w:w="404" w:type="pct"/>
                  <w:vMerge w:val="restart"/>
                  <w:tcBorders>
                    <w:top w:val="single" w:color="auto" w:sz="4" w:space="0"/>
                    <w:left w:val="single" w:color="auto" w:sz="4" w:space="0"/>
                    <w:right w:val="single" w:color="auto" w:sz="4" w:space="0"/>
                  </w:tcBorders>
                  <w:vAlign w:val="center"/>
                </w:tcPr>
                <w:p>
                  <w:pPr>
                    <w:pStyle w:val="47"/>
                  </w:pPr>
                  <w:r>
                    <w:t>生产车间</w:t>
                  </w:r>
                </w:p>
              </w:tc>
              <w:tc>
                <w:tcPr>
                  <w:tcW w:w="611" w:type="pct"/>
                  <w:tcBorders>
                    <w:top w:val="single" w:color="auto" w:sz="4" w:space="0"/>
                    <w:left w:val="single" w:color="auto" w:sz="4" w:space="0"/>
                    <w:bottom w:val="single" w:color="auto" w:sz="4" w:space="0"/>
                    <w:right w:val="single" w:color="auto" w:sz="4" w:space="0"/>
                  </w:tcBorders>
                  <w:vAlign w:val="center"/>
                </w:tcPr>
                <w:p>
                  <w:pPr>
                    <w:pStyle w:val="47"/>
                  </w:pPr>
                  <w:r>
                    <w:t>地面1层</w:t>
                  </w:r>
                </w:p>
              </w:tc>
              <w:tc>
                <w:tcPr>
                  <w:tcW w:w="438" w:type="pct"/>
                  <w:tcBorders>
                    <w:top w:val="single" w:color="auto" w:sz="4" w:space="0"/>
                    <w:left w:val="single" w:color="auto" w:sz="4" w:space="0"/>
                    <w:bottom w:val="single" w:color="auto" w:sz="4" w:space="0"/>
                    <w:right w:val="single" w:color="auto" w:sz="4" w:space="0"/>
                  </w:tcBorders>
                  <w:vAlign w:val="center"/>
                </w:tcPr>
                <w:p>
                  <w:pPr>
                    <w:pStyle w:val="47"/>
                  </w:pPr>
                  <w:r>
                    <w:t>间歇</w:t>
                  </w:r>
                </w:p>
              </w:tc>
              <w:tc>
                <w:tcPr>
                  <w:tcW w:w="464" w:type="pct"/>
                  <w:tcBorders>
                    <w:top w:val="single" w:color="auto" w:sz="4" w:space="0"/>
                    <w:left w:val="single" w:color="auto" w:sz="4" w:space="0"/>
                    <w:bottom w:val="single" w:color="auto" w:sz="4" w:space="0"/>
                    <w:right w:val="single" w:color="auto" w:sz="4" w:space="0"/>
                  </w:tcBorders>
                  <w:vAlign w:val="center"/>
                </w:tcPr>
                <w:p>
                  <w:pPr>
                    <w:pStyle w:val="47"/>
                  </w:pPr>
                  <w:r>
                    <w:t>75~80</w:t>
                  </w:r>
                </w:p>
              </w:tc>
              <w:tc>
                <w:tcPr>
                  <w:tcW w:w="372" w:type="pct"/>
                  <w:vMerge w:val="restart"/>
                  <w:tcBorders>
                    <w:top w:val="single" w:color="auto" w:sz="4" w:space="0"/>
                    <w:left w:val="single" w:color="auto" w:sz="4" w:space="0"/>
                    <w:right w:val="single" w:color="auto" w:sz="4" w:space="0"/>
                  </w:tcBorders>
                  <w:vAlign w:val="center"/>
                </w:tcPr>
                <w:p>
                  <w:pPr>
                    <w:pStyle w:val="47"/>
                  </w:pPr>
                  <w:r>
                    <w:t>距离设备1m处</w:t>
                  </w:r>
                </w:p>
              </w:tc>
              <w:tc>
                <w:tcPr>
                  <w:tcW w:w="436" w:type="pct"/>
                  <w:vMerge w:val="restart"/>
                  <w:tcBorders>
                    <w:top w:val="single" w:color="auto" w:sz="4" w:space="0"/>
                    <w:left w:val="single" w:color="auto" w:sz="4" w:space="0"/>
                    <w:right w:val="single" w:color="auto" w:sz="4" w:space="0"/>
                  </w:tcBorders>
                  <w:vAlign w:val="center"/>
                </w:tcPr>
                <w:p>
                  <w:pPr>
                    <w:pStyle w:val="47"/>
                  </w:pPr>
                  <w:r>
                    <w:t>砖混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 w:type="pct"/>
                  <w:tcBorders>
                    <w:top w:val="single" w:color="auto" w:sz="4" w:space="0"/>
                    <w:left w:val="single" w:color="auto" w:sz="4" w:space="0"/>
                    <w:bottom w:val="single" w:color="auto" w:sz="4" w:space="0"/>
                    <w:right w:val="single" w:color="auto" w:sz="4" w:space="0"/>
                  </w:tcBorders>
                  <w:vAlign w:val="center"/>
                </w:tcPr>
                <w:p>
                  <w:pPr>
                    <w:pStyle w:val="47"/>
                  </w:pPr>
                  <w:r>
                    <w:t>2</w:t>
                  </w:r>
                </w:p>
              </w:tc>
              <w:tc>
                <w:tcPr>
                  <w:tcW w:w="971" w:type="pct"/>
                  <w:tcBorders>
                    <w:top w:val="single" w:color="auto" w:sz="4" w:space="0"/>
                    <w:left w:val="single" w:color="auto" w:sz="4" w:space="0"/>
                    <w:bottom w:val="single" w:color="auto" w:sz="4" w:space="0"/>
                    <w:right w:val="single" w:color="auto" w:sz="4" w:space="0"/>
                  </w:tcBorders>
                  <w:vAlign w:val="center"/>
                </w:tcPr>
                <w:p>
                  <w:pPr>
                    <w:pStyle w:val="47"/>
                  </w:pPr>
                  <w:r>
                    <w:t>炮塔铣床</w:t>
                  </w:r>
                </w:p>
              </w:tc>
              <w:tc>
                <w:tcPr>
                  <w:tcW w:w="481" w:type="pct"/>
                  <w:tcBorders>
                    <w:top w:val="single" w:color="auto" w:sz="4" w:space="0"/>
                    <w:left w:val="single" w:color="auto" w:sz="4" w:space="0"/>
                    <w:bottom w:val="single" w:color="auto" w:sz="4" w:space="0"/>
                    <w:right w:val="single" w:color="auto" w:sz="4" w:space="0"/>
                  </w:tcBorders>
                  <w:vAlign w:val="center"/>
                </w:tcPr>
                <w:p>
                  <w:pPr>
                    <w:pStyle w:val="47"/>
                  </w:pPr>
                  <w:r>
                    <w:t>4</w:t>
                  </w:r>
                </w:p>
              </w:tc>
              <w:tc>
                <w:tcPr>
                  <w:tcW w:w="524" w:type="pct"/>
                  <w:vMerge w:val="continue"/>
                  <w:tcBorders>
                    <w:left w:val="single" w:color="auto" w:sz="4" w:space="0"/>
                    <w:right w:val="single" w:color="auto" w:sz="4" w:space="0"/>
                  </w:tcBorders>
                  <w:vAlign w:val="center"/>
                </w:tcPr>
                <w:p>
                  <w:pPr>
                    <w:pStyle w:val="47"/>
                  </w:pPr>
                </w:p>
              </w:tc>
              <w:tc>
                <w:tcPr>
                  <w:tcW w:w="404" w:type="pct"/>
                  <w:vMerge w:val="continue"/>
                  <w:tcBorders>
                    <w:left w:val="single" w:color="auto" w:sz="4" w:space="0"/>
                    <w:right w:val="single" w:color="auto" w:sz="4" w:space="0"/>
                  </w:tcBorders>
                  <w:vAlign w:val="center"/>
                </w:tcPr>
                <w:p>
                  <w:pPr>
                    <w:pStyle w:val="47"/>
                  </w:pPr>
                </w:p>
              </w:tc>
              <w:tc>
                <w:tcPr>
                  <w:tcW w:w="611" w:type="pct"/>
                  <w:tcBorders>
                    <w:top w:val="single" w:color="auto" w:sz="4" w:space="0"/>
                    <w:left w:val="single" w:color="auto" w:sz="4" w:space="0"/>
                    <w:right w:val="single" w:color="auto" w:sz="4" w:space="0"/>
                  </w:tcBorders>
                  <w:vAlign w:val="center"/>
                </w:tcPr>
                <w:p>
                  <w:pPr>
                    <w:pStyle w:val="47"/>
                  </w:pPr>
                  <w:r>
                    <w:t>地面1层</w:t>
                  </w:r>
                </w:p>
              </w:tc>
              <w:tc>
                <w:tcPr>
                  <w:tcW w:w="438" w:type="pct"/>
                  <w:tcBorders>
                    <w:top w:val="single" w:color="auto" w:sz="4" w:space="0"/>
                    <w:left w:val="single" w:color="auto" w:sz="4" w:space="0"/>
                    <w:bottom w:val="single" w:color="auto" w:sz="4" w:space="0"/>
                    <w:right w:val="single" w:color="auto" w:sz="4" w:space="0"/>
                  </w:tcBorders>
                  <w:vAlign w:val="center"/>
                </w:tcPr>
                <w:p>
                  <w:pPr>
                    <w:pStyle w:val="47"/>
                  </w:pPr>
                  <w:r>
                    <w:t>间歇</w:t>
                  </w:r>
                </w:p>
              </w:tc>
              <w:tc>
                <w:tcPr>
                  <w:tcW w:w="464" w:type="pct"/>
                  <w:tcBorders>
                    <w:top w:val="single" w:color="auto" w:sz="4" w:space="0"/>
                    <w:left w:val="single" w:color="auto" w:sz="4" w:space="0"/>
                    <w:bottom w:val="single" w:color="auto" w:sz="4" w:space="0"/>
                    <w:right w:val="single" w:color="auto" w:sz="4" w:space="0"/>
                  </w:tcBorders>
                  <w:vAlign w:val="center"/>
                </w:tcPr>
                <w:p>
                  <w:pPr>
                    <w:pStyle w:val="47"/>
                  </w:pPr>
                  <w:r>
                    <w:t>80~85</w:t>
                  </w:r>
                </w:p>
              </w:tc>
              <w:tc>
                <w:tcPr>
                  <w:tcW w:w="372" w:type="pct"/>
                  <w:vMerge w:val="continue"/>
                  <w:tcBorders>
                    <w:left w:val="single" w:color="auto" w:sz="4" w:space="0"/>
                    <w:right w:val="single" w:color="auto" w:sz="4" w:space="0"/>
                  </w:tcBorders>
                  <w:vAlign w:val="center"/>
                </w:tcPr>
                <w:p>
                  <w:pPr>
                    <w:pStyle w:val="49"/>
                    <w:rPr>
                      <w:szCs w:val="21"/>
                    </w:rPr>
                  </w:pPr>
                </w:p>
              </w:tc>
              <w:tc>
                <w:tcPr>
                  <w:tcW w:w="436" w:type="pct"/>
                  <w:vMerge w:val="continue"/>
                  <w:tcBorders>
                    <w:left w:val="single" w:color="auto" w:sz="4" w:space="0"/>
                    <w:right w:val="single" w:color="auto" w:sz="4" w:space="0"/>
                  </w:tcBorders>
                  <w:vAlign w:val="center"/>
                </w:tcPr>
                <w:p>
                  <w:pPr>
                    <w:pStyle w:val="49"/>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 w:type="pct"/>
                  <w:tcBorders>
                    <w:top w:val="single" w:color="auto" w:sz="4" w:space="0"/>
                    <w:left w:val="single" w:color="auto" w:sz="4" w:space="0"/>
                    <w:bottom w:val="single" w:color="auto" w:sz="4" w:space="0"/>
                    <w:right w:val="single" w:color="auto" w:sz="4" w:space="0"/>
                  </w:tcBorders>
                  <w:vAlign w:val="center"/>
                </w:tcPr>
                <w:p>
                  <w:pPr>
                    <w:pStyle w:val="47"/>
                  </w:pPr>
                  <w:r>
                    <w:t>3</w:t>
                  </w:r>
                </w:p>
              </w:tc>
              <w:tc>
                <w:tcPr>
                  <w:tcW w:w="971" w:type="pct"/>
                  <w:tcBorders>
                    <w:top w:val="single" w:color="auto" w:sz="4" w:space="0"/>
                    <w:left w:val="single" w:color="auto" w:sz="4" w:space="0"/>
                    <w:bottom w:val="single" w:color="auto" w:sz="4" w:space="0"/>
                    <w:right w:val="single" w:color="auto" w:sz="4" w:space="0"/>
                  </w:tcBorders>
                  <w:vAlign w:val="center"/>
                </w:tcPr>
                <w:p>
                  <w:pPr>
                    <w:pStyle w:val="47"/>
                  </w:pPr>
                  <w:r>
                    <w:t>6140车床</w:t>
                  </w:r>
                </w:p>
              </w:tc>
              <w:tc>
                <w:tcPr>
                  <w:tcW w:w="481" w:type="pct"/>
                  <w:tcBorders>
                    <w:top w:val="single" w:color="auto" w:sz="4" w:space="0"/>
                    <w:left w:val="single" w:color="auto" w:sz="4" w:space="0"/>
                    <w:bottom w:val="single" w:color="auto" w:sz="4" w:space="0"/>
                    <w:right w:val="single" w:color="auto" w:sz="4" w:space="0"/>
                  </w:tcBorders>
                  <w:vAlign w:val="center"/>
                </w:tcPr>
                <w:p>
                  <w:pPr>
                    <w:pStyle w:val="47"/>
                  </w:pPr>
                  <w:r>
                    <w:t>1</w:t>
                  </w:r>
                </w:p>
              </w:tc>
              <w:tc>
                <w:tcPr>
                  <w:tcW w:w="524" w:type="pct"/>
                  <w:vMerge w:val="continue"/>
                  <w:tcBorders>
                    <w:left w:val="single" w:color="auto" w:sz="4" w:space="0"/>
                    <w:right w:val="single" w:color="auto" w:sz="4" w:space="0"/>
                  </w:tcBorders>
                  <w:vAlign w:val="center"/>
                </w:tcPr>
                <w:p>
                  <w:pPr>
                    <w:pStyle w:val="47"/>
                  </w:pPr>
                </w:p>
              </w:tc>
              <w:tc>
                <w:tcPr>
                  <w:tcW w:w="404" w:type="pct"/>
                  <w:vMerge w:val="continue"/>
                  <w:tcBorders>
                    <w:left w:val="single" w:color="auto" w:sz="4" w:space="0"/>
                    <w:right w:val="single" w:color="auto" w:sz="4" w:space="0"/>
                  </w:tcBorders>
                  <w:vAlign w:val="center"/>
                </w:tcPr>
                <w:p>
                  <w:pPr>
                    <w:pStyle w:val="47"/>
                  </w:pPr>
                </w:p>
              </w:tc>
              <w:tc>
                <w:tcPr>
                  <w:tcW w:w="611" w:type="pct"/>
                  <w:tcBorders>
                    <w:top w:val="single" w:color="auto" w:sz="4" w:space="0"/>
                    <w:left w:val="single" w:color="auto" w:sz="4" w:space="0"/>
                    <w:right w:val="single" w:color="auto" w:sz="4" w:space="0"/>
                  </w:tcBorders>
                  <w:vAlign w:val="center"/>
                </w:tcPr>
                <w:p>
                  <w:pPr>
                    <w:pStyle w:val="47"/>
                  </w:pPr>
                  <w:r>
                    <w:t>地面1层</w:t>
                  </w:r>
                </w:p>
              </w:tc>
              <w:tc>
                <w:tcPr>
                  <w:tcW w:w="438" w:type="pct"/>
                  <w:tcBorders>
                    <w:top w:val="single" w:color="auto" w:sz="4" w:space="0"/>
                    <w:left w:val="single" w:color="auto" w:sz="4" w:space="0"/>
                    <w:bottom w:val="single" w:color="auto" w:sz="4" w:space="0"/>
                    <w:right w:val="single" w:color="auto" w:sz="4" w:space="0"/>
                  </w:tcBorders>
                  <w:vAlign w:val="center"/>
                </w:tcPr>
                <w:p>
                  <w:pPr>
                    <w:pStyle w:val="47"/>
                  </w:pPr>
                  <w:r>
                    <w:t>间歇</w:t>
                  </w:r>
                </w:p>
              </w:tc>
              <w:tc>
                <w:tcPr>
                  <w:tcW w:w="464" w:type="pct"/>
                  <w:tcBorders>
                    <w:top w:val="single" w:color="auto" w:sz="4" w:space="0"/>
                    <w:left w:val="single" w:color="auto" w:sz="4" w:space="0"/>
                    <w:bottom w:val="single" w:color="auto" w:sz="4" w:space="0"/>
                    <w:right w:val="single" w:color="auto" w:sz="4" w:space="0"/>
                  </w:tcBorders>
                  <w:vAlign w:val="center"/>
                </w:tcPr>
                <w:p>
                  <w:pPr>
                    <w:pStyle w:val="47"/>
                  </w:pPr>
                  <w:r>
                    <w:t>80~85</w:t>
                  </w:r>
                </w:p>
              </w:tc>
              <w:tc>
                <w:tcPr>
                  <w:tcW w:w="372" w:type="pct"/>
                  <w:vMerge w:val="continue"/>
                  <w:tcBorders>
                    <w:left w:val="single" w:color="auto" w:sz="4" w:space="0"/>
                    <w:right w:val="single" w:color="auto" w:sz="4" w:space="0"/>
                  </w:tcBorders>
                  <w:vAlign w:val="center"/>
                </w:tcPr>
                <w:p>
                  <w:pPr>
                    <w:pStyle w:val="49"/>
                    <w:rPr>
                      <w:szCs w:val="21"/>
                    </w:rPr>
                  </w:pPr>
                </w:p>
              </w:tc>
              <w:tc>
                <w:tcPr>
                  <w:tcW w:w="436" w:type="pct"/>
                  <w:vMerge w:val="continue"/>
                  <w:tcBorders>
                    <w:left w:val="single" w:color="auto" w:sz="4" w:space="0"/>
                    <w:right w:val="single" w:color="auto" w:sz="4" w:space="0"/>
                  </w:tcBorders>
                  <w:vAlign w:val="center"/>
                </w:tcPr>
                <w:p>
                  <w:pPr>
                    <w:pStyle w:val="49"/>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93" w:type="pct"/>
                  <w:tcBorders>
                    <w:top w:val="single" w:color="auto" w:sz="4" w:space="0"/>
                    <w:left w:val="single" w:color="auto" w:sz="4" w:space="0"/>
                    <w:bottom w:val="single" w:color="auto" w:sz="4" w:space="0"/>
                    <w:right w:val="single" w:color="auto" w:sz="4" w:space="0"/>
                  </w:tcBorders>
                  <w:vAlign w:val="center"/>
                </w:tcPr>
                <w:p>
                  <w:pPr>
                    <w:pStyle w:val="47"/>
                  </w:pPr>
                  <w:r>
                    <w:t>4</w:t>
                  </w:r>
                </w:p>
              </w:tc>
              <w:tc>
                <w:tcPr>
                  <w:tcW w:w="971" w:type="pct"/>
                  <w:tcBorders>
                    <w:top w:val="single" w:color="auto" w:sz="4" w:space="0"/>
                    <w:left w:val="single" w:color="auto" w:sz="4" w:space="0"/>
                    <w:bottom w:val="single" w:color="auto" w:sz="4" w:space="0"/>
                    <w:right w:val="single" w:color="auto" w:sz="4" w:space="0"/>
                  </w:tcBorders>
                  <w:vAlign w:val="center"/>
                </w:tcPr>
                <w:p>
                  <w:pPr>
                    <w:pStyle w:val="47"/>
                  </w:pPr>
                  <w:r>
                    <w:t>平面</w:t>
                  </w:r>
                  <w:r>
                    <w:rPr>
                      <w:rFonts w:hint="eastAsia"/>
                    </w:rPr>
                    <w:t>磨床</w:t>
                  </w:r>
                </w:p>
              </w:tc>
              <w:tc>
                <w:tcPr>
                  <w:tcW w:w="48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3</w:t>
                  </w:r>
                </w:p>
              </w:tc>
              <w:tc>
                <w:tcPr>
                  <w:tcW w:w="524" w:type="pct"/>
                  <w:vMerge w:val="continue"/>
                  <w:tcBorders>
                    <w:left w:val="single" w:color="auto" w:sz="4" w:space="0"/>
                    <w:right w:val="single" w:color="auto" w:sz="4" w:space="0"/>
                  </w:tcBorders>
                  <w:vAlign w:val="center"/>
                </w:tcPr>
                <w:p>
                  <w:pPr>
                    <w:pStyle w:val="47"/>
                  </w:pPr>
                </w:p>
              </w:tc>
              <w:tc>
                <w:tcPr>
                  <w:tcW w:w="404" w:type="pct"/>
                  <w:vMerge w:val="continue"/>
                  <w:tcBorders>
                    <w:left w:val="single" w:color="auto" w:sz="4" w:space="0"/>
                    <w:right w:val="single" w:color="auto" w:sz="4" w:space="0"/>
                  </w:tcBorders>
                  <w:vAlign w:val="center"/>
                </w:tcPr>
                <w:p>
                  <w:pPr>
                    <w:pStyle w:val="47"/>
                  </w:pPr>
                </w:p>
              </w:tc>
              <w:tc>
                <w:tcPr>
                  <w:tcW w:w="611" w:type="pct"/>
                  <w:tcBorders>
                    <w:top w:val="single" w:color="auto" w:sz="4" w:space="0"/>
                    <w:left w:val="single" w:color="auto" w:sz="4" w:space="0"/>
                    <w:bottom w:val="single" w:color="auto" w:sz="4" w:space="0"/>
                    <w:right w:val="single" w:color="auto" w:sz="4" w:space="0"/>
                  </w:tcBorders>
                  <w:vAlign w:val="center"/>
                </w:tcPr>
                <w:p>
                  <w:pPr>
                    <w:pStyle w:val="47"/>
                  </w:pPr>
                  <w:r>
                    <w:t>地面1层</w:t>
                  </w:r>
                </w:p>
              </w:tc>
              <w:tc>
                <w:tcPr>
                  <w:tcW w:w="438" w:type="pct"/>
                  <w:tcBorders>
                    <w:top w:val="single" w:color="auto" w:sz="4" w:space="0"/>
                    <w:left w:val="single" w:color="auto" w:sz="4" w:space="0"/>
                    <w:bottom w:val="single" w:color="auto" w:sz="4" w:space="0"/>
                    <w:right w:val="single" w:color="auto" w:sz="4" w:space="0"/>
                  </w:tcBorders>
                  <w:vAlign w:val="center"/>
                </w:tcPr>
                <w:p>
                  <w:pPr>
                    <w:pStyle w:val="47"/>
                  </w:pPr>
                  <w:r>
                    <w:t>间歇</w:t>
                  </w:r>
                </w:p>
              </w:tc>
              <w:tc>
                <w:tcPr>
                  <w:tcW w:w="464" w:type="pct"/>
                  <w:tcBorders>
                    <w:top w:val="single" w:color="auto" w:sz="4" w:space="0"/>
                    <w:left w:val="single" w:color="auto" w:sz="4" w:space="0"/>
                    <w:bottom w:val="single" w:color="auto" w:sz="4" w:space="0"/>
                    <w:right w:val="single" w:color="auto" w:sz="4" w:space="0"/>
                  </w:tcBorders>
                  <w:vAlign w:val="center"/>
                </w:tcPr>
                <w:p>
                  <w:pPr>
                    <w:pStyle w:val="47"/>
                  </w:pPr>
                  <w:r>
                    <w:t>80~85</w:t>
                  </w:r>
                </w:p>
              </w:tc>
              <w:tc>
                <w:tcPr>
                  <w:tcW w:w="372" w:type="pct"/>
                  <w:vMerge w:val="continue"/>
                  <w:tcBorders>
                    <w:left w:val="single" w:color="auto" w:sz="4" w:space="0"/>
                    <w:right w:val="single" w:color="auto" w:sz="4" w:space="0"/>
                  </w:tcBorders>
                  <w:vAlign w:val="center"/>
                </w:tcPr>
                <w:p>
                  <w:pPr>
                    <w:pStyle w:val="49"/>
                    <w:rPr>
                      <w:szCs w:val="21"/>
                    </w:rPr>
                  </w:pPr>
                </w:p>
              </w:tc>
              <w:tc>
                <w:tcPr>
                  <w:tcW w:w="436" w:type="pct"/>
                  <w:vMerge w:val="continue"/>
                  <w:tcBorders>
                    <w:left w:val="single" w:color="auto" w:sz="4" w:space="0"/>
                    <w:right w:val="single" w:color="auto" w:sz="4" w:space="0"/>
                  </w:tcBorders>
                  <w:vAlign w:val="center"/>
                </w:tcPr>
                <w:p>
                  <w:pPr>
                    <w:pStyle w:val="49"/>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 w:type="pct"/>
                  <w:tcBorders>
                    <w:top w:val="single" w:color="auto" w:sz="4" w:space="0"/>
                    <w:left w:val="single" w:color="auto" w:sz="4" w:space="0"/>
                    <w:bottom w:val="single" w:color="auto" w:sz="4" w:space="0"/>
                    <w:right w:val="single" w:color="auto" w:sz="4" w:space="0"/>
                  </w:tcBorders>
                  <w:vAlign w:val="center"/>
                </w:tcPr>
                <w:p>
                  <w:pPr>
                    <w:pStyle w:val="47"/>
                  </w:pPr>
                  <w:r>
                    <w:t>5</w:t>
                  </w:r>
                </w:p>
              </w:tc>
              <w:tc>
                <w:tcPr>
                  <w:tcW w:w="971" w:type="pct"/>
                  <w:tcBorders>
                    <w:top w:val="single" w:color="auto" w:sz="4" w:space="0"/>
                    <w:left w:val="single" w:color="auto" w:sz="4" w:space="0"/>
                    <w:bottom w:val="single" w:color="auto" w:sz="4" w:space="0"/>
                    <w:right w:val="single" w:color="auto" w:sz="4" w:space="0"/>
                  </w:tcBorders>
                  <w:vAlign w:val="center"/>
                </w:tcPr>
                <w:p>
                  <w:pPr>
                    <w:pStyle w:val="47"/>
                  </w:pPr>
                  <w:r>
                    <w:t>数控车床</w:t>
                  </w:r>
                </w:p>
              </w:tc>
              <w:tc>
                <w:tcPr>
                  <w:tcW w:w="48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3</w:t>
                  </w:r>
                </w:p>
              </w:tc>
              <w:tc>
                <w:tcPr>
                  <w:tcW w:w="524" w:type="pct"/>
                  <w:vMerge w:val="continue"/>
                  <w:tcBorders>
                    <w:left w:val="single" w:color="auto" w:sz="4" w:space="0"/>
                    <w:right w:val="single" w:color="auto" w:sz="4" w:space="0"/>
                  </w:tcBorders>
                  <w:vAlign w:val="center"/>
                </w:tcPr>
                <w:p>
                  <w:pPr>
                    <w:pStyle w:val="47"/>
                  </w:pPr>
                </w:p>
              </w:tc>
              <w:tc>
                <w:tcPr>
                  <w:tcW w:w="404" w:type="pct"/>
                  <w:vMerge w:val="continue"/>
                  <w:tcBorders>
                    <w:left w:val="single" w:color="auto" w:sz="4" w:space="0"/>
                    <w:right w:val="single" w:color="auto" w:sz="4" w:space="0"/>
                  </w:tcBorders>
                  <w:vAlign w:val="center"/>
                </w:tcPr>
                <w:p>
                  <w:pPr>
                    <w:pStyle w:val="47"/>
                  </w:pPr>
                </w:p>
              </w:tc>
              <w:tc>
                <w:tcPr>
                  <w:tcW w:w="611" w:type="pct"/>
                  <w:tcBorders>
                    <w:top w:val="single" w:color="auto" w:sz="4" w:space="0"/>
                    <w:left w:val="single" w:color="auto" w:sz="4" w:space="0"/>
                    <w:bottom w:val="single" w:color="auto" w:sz="4" w:space="0"/>
                    <w:right w:val="single" w:color="auto" w:sz="4" w:space="0"/>
                  </w:tcBorders>
                  <w:vAlign w:val="center"/>
                </w:tcPr>
                <w:p>
                  <w:pPr>
                    <w:pStyle w:val="47"/>
                  </w:pPr>
                  <w:r>
                    <w:t>地面1层</w:t>
                  </w:r>
                </w:p>
              </w:tc>
              <w:tc>
                <w:tcPr>
                  <w:tcW w:w="438" w:type="pct"/>
                  <w:tcBorders>
                    <w:top w:val="single" w:color="auto" w:sz="4" w:space="0"/>
                    <w:left w:val="single" w:color="auto" w:sz="4" w:space="0"/>
                    <w:bottom w:val="single" w:color="auto" w:sz="4" w:space="0"/>
                    <w:right w:val="single" w:color="auto" w:sz="4" w:space="0"/>
                  </w:tcBorders>
                  <w:vAlign w:val="center"/>
                </w:tcPr>
                <w:p>
                  <w:pPr>
                    <w:pStyle w:val="47"/>
                  </w:pPr>
                  <w:r>
                    <w:t>间歇</w:t>
                  </w:r>
                </w:p>
              </w:tc>
              <w:tc>
                <w:tcPr>
                  <w:tcW w:w="464" w:type="pct"/>
                  <w:tcBorders>
                    <w:top w:val="single" w:color="auto" w:sz="4" w:space="0"/>
                    <w:left w:val="single" w:color="auto" w:sz="4" w:space="0"/>
                    <w:bottom w:val="single" w:color="auto" w:sz="4" w:space="0"/>
                    <w:right w:val="single" w:color="auto" w:sz="4" w:space="0"/>
                  </w:tcBorders>
                  <w:vAlign w:val="center"/>
                </w:tcPr>
                <w:p>
                  <w:pPr>
                    <w:pStyle w:val="47"/>
                  </w:pPr>
                  <w:r>
                    <w:t>80~85</w:t>
                  </w:r>
                </w:p>
              </w:tc>
              <w:tc>
                <w:tcPr>
                  <w:tcW w:w="372" w:type="pct"/>
                  <w:vMerge w:val="continue"/>
                  <w:tcBorders>
                    <w:left w:val="single" w:color="auto" w:sz="4" w:space="0"/>
                    <w:right w:val="single" w:color="auto" w:sz="4" w:space="0"/>
                  </w:tcBorders>
                  <w:vAlign w:val="center"/>
                </w:tcPr>
                <w:p>
                  <w:pPr>
                    <w:pStyle w:val="49"/>
                    <w:rPr>
                      <w:szCs w:val="21"/>
                    </w:rPr>
                  </w:pPr>
                </w:p>
              </w:tc>
              <w:tc>
                <w:tcPr>
                  <w:tcW w:w="436" w:type="pct"/>
                  <w:vMerge w:val="continue"/>
                  <w:tcBorders>
                    <w:left w:val="single" w:color="auto" w:sz="4" w:space="0"/>
                    <w:right w:val="single" w:color="auto" w:sz="4" w:space="0"/>
                  </w:tcBorders>
                  <w:vAlign w:val="center"/>
                </w:tcPr>
                <w:p>
                  <w:pPr>
                    <w:pStyle w:val="49"/>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 w:type="pct"/>
                  <w:tcBorders>
                    <w:top w:val="single" w:color="auto" w:sz="4" w:space="0"/>
                    <w:left w:val="single" w:color="auto" w:sz="4" w:space="0"/>
                    <w:bottom w:val="single" w:color="auto" w:sz="4" w:space="0"/>
                    <w:right w:val="single" w:color="auto" w:sz="4" w:space="0"/>
                  </w:tcBorders>
                  <w:vAlign w:val="center"/>
                </w:tcPr>
                <w:p>
                  <w:pPr>
                    <w:pStyle w:val="47"/>
                  </w:pPr>
                  <w:r>
                    <w:t>6</w:t>
                  </w:r>
                </w:p>
              </w:tc>
              <w:tc>
                <w:tcPr>
                  <w:tcW w:w="971" w:type="pct"/>
                  <w:tcBorders>
                    <w:top w:val="single" w:color="auto" w:sz="4" w:space="0"/>
                    <w:left w:val="single" w:color="auto" w:sz="4" w:space="0"/>
                    <w:bottom w:val="single" w:color="auto" w:sz="4" w:space="0"/>
                    <w:right w:val="single" w:color="auto" w:sz="4" w:space="0"/>
                  </w:tcBorders>
                  <w:vAlign w:val="center"/>
                </w:tcPr>
                <w:p>
                  <w:pPr>
                    <w:pStyle w:val="47"/>
                  </w:pPr>
                  <w:r>
                    <w:t>平面</w:t>
                  </w:r>
                  <w:r>
                    <w:rPr>
                      <w:rFonts w:hint="eastAsia"/>
                    </w:rPr>
                    <w:t>组合铣床</w:t>
                  </w:r>
                </w:p>
              </w:tc>
              <w:tc>
                <w:tcPr>
                  <w:tcW w:w="48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w:t>
                  </w:r>
                </w:p>
              </w:tc>
              <w:tc>
                <w:tcPr>
                  <w:tcW w:w="524" w:type="pct"/>
                  <w:vMerge w:val="continue"/>
                  <w:tcBorders>
                    <w:left w:val="single" w:color="auto" w:sz="4" w:space="0"/>
                    <w:right w:val="single" w:color="auto" w:sz="4" w:space="0"/>
                  </w:tcBorders>
                  <w:vAlign w:val="center"/>
                </w:tcPr>
                <w:p>
                  <w:pPr>
                    <w:pStyle w:val="47"/>
                  </w:pPr>
                </w:p>
              </w:tc>
              <w:tc>
                <w:tcPr>
                  <w:tcW w:w="404" w:type="pct"/>
                  <w:vMerge w:val="continue"/>
                  <w:tcBorders>
                    <w:left w:val="single" w:color="auto" w:sz="4" w:space="0"/>
                    <w:right w:val="single" w:color="auto" w:sz="4" w:space="0"/>
                  </w:tcBorders>
                  <w:vAlign w:val="center"/>
                </w:tcPr>
                <w:p>
                  <w:pPr>
                    <w:pStyle w:val="47"/>
                  </w:pPr>
                </w:p>
              </w:tc>
              <w:tc>
                <w:tcPr>
                  <w:tcW w:w="611" w:type="pct"/>
                  <w:tcBorders>
                    <w:top w:val="single" w:color="auto" w:sz="4" w:space="0"/>
                    <w:left w:val="single" w:color="auto" w:sz="4" w:space="0"/>
                    <w:bottom w:val="single" w:color="auto" w:sz="4" w:space="0"/>
                    <w:right w:val="single" w:color="auto" w:sz="4" w:space="0"/>
                  </w:tcBorders>
                  <w:vAlign w:val="center"/>
                </w:tcPr>
                <w:p>
                  <w:pPr>
                    <w:pStyle w:val="47"/>
                  </w:pPr>
                  <w:r>
                    <w:t>地面1层</w:t>
                  </w:r>
                </w:p>
              </w:tc>
              <w:tc>
                <w:tcPr>
                  <w:tcW w:w="438" w:type="pct"/>
                  <w:tcBorders>
                    <w:top w:val="single" w:color="auto" w:sz="4" w:space="0"/>
                    <w:left w:val="single" w:color="auto" w:sz="4" w:space="0"/>
                    <w:bottom w:val="single" w:color="auto" w:sz="4" w:space="0"/>
                    <w:right w:val="single" w:color="auto" w:sz="4" w:space="0"/>
                  </w:tcBorders>
                  <w:vAlign w:val="center"/>
                </w:tcPr>
                <w:p>
                  <w:pPr>
                    <w:pStyle w:val="47"/>
                  </w:pPr>
                  <w:r>
                    <w:t>间歇</w:t>
                  </w:r>
                </w:p>
              </w:tc>
              <w:tc>
                <w:tcPr>
                  <w:tcW w:w="464" w:type="pct"/>
                  <w:tcBorders>
                    <w:top w:val="single" w:color="auto" w:sz="4" w:space="0"/>
                    <w:left w:val="single" w:color="auto" w:sz="4" w:space="0"/>
                    <w:bottom w:val="single" w:color="auto" w:sz="4" w:space="0"/>
                    <w:right w:val="single" w:color="auto" w:sz="4" w:space="0"/>
                  </w:tcBorders>
                  <w:vAlign w:val="center"/>
                </w:tcPr>
                <w:p>
                  <w:pPr>
                    <w:pStyle w:val="47"/>
                  </w:pPr>
                  <w:r>
                    <w:t>80~85</w:t>
                  </w:r>
                </w:p>
              </w:tc>
              <w:tc>
                <w:tcPr>
                  <w:tcW w:w="372" w:type="pct"/>
                  <w:vMerge w:val="continue"/>
                  <w:tcBorders>
                    <w:left w:val="single" w:color="auto" w:sz="4" w:space="0"/>
                    <w:right w:val="single" w:color="auto" w:sz="4" w:space="0"/>
                  </w:tcBorders>
                  <w:vAlign w:val="center"/>
                </w:tcPr>
                <w:p>
                  <w:pPr>
                    <w:pStyle w:val="49"/>
                    <w:rPr>
                      <w:szCs w:val="21"/>
                    </w:rPr>
                  </w:pPr>
                </w:p>
              </w:tc>
              <w:tc>
                <w:tcPr>
                  <w:tcW w:w="436" w:type="pct"/>
                  <w:vMerge w:val="continue"/>
                  <w:tcBorders>
                    <w:left w:val="single" w:color="auto" w:sz="4" w:space="0"/>
                    <w:right w:val="single" w:color="auto" w:sz="4" w:space="0"/>
                  </w:tcBorders>
                  <w:vAlign w:val="center"/>
                </w:tcPr>
                <w:p>
                  <w:pPr>
                    <w:pStyle w:val="49"/>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 w:type="pct"/>
                  <w:tcBorders>
                    <w:top w:val="single" w:color="auto" w:sz="4" w:space="0"/>
                    <w:left w:val="single" w:color="auto" w:sz="4" w:space="0"/>
                    <w:bottom w:val="single" w:color="auto" w:sz="4" w:space="0"/>
                    <w:right w:val="single" w:color="auto" w:sz="4" w:space="0"/>
                  </w:tcBorders>
                  <w:vAlign w:val="center"/>
                </w:tcPr>
                <w:p>
                  <w:pPr>
                    <w:pStyle w:val="47"/>
                  </w:pPr>
                  <w:r>
                    <w:t>7</w:t>
                  </w:r>
                </w:p>
              </w:tc>
              <w:tc>
                <w:tcPr>
                  <w:tcW w:w="97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摇臂钻床</w:t>
                  </w:r>
                </w:p>
              </w:tc>
              <w:tc>
                <w:tcPr>
                  <w:tcW w:w="48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3</w:t>
                  </w:r>
                </w:p>
              </w:tc>
              <w:tc>
                <w:tcPr>
                  <w:tcW w:w="524" w:type="pct"/>
                  <w:vMerge w:val="continue"/>
                  <w:tcBorders>
                    <w:left w:val="single" w:color="auto" w:sz="4" w:space="0"/>
                    <w:right w:val="single" w:color="auto" w:sz="4" w:space="0"/>
                  </w:tcBorders>
                  <w:vAlign w:val="center"/>
                </w:tcPr>
                <w:p>
                  <w:pPr>
                    <w:pStyle w:val="47"/>
                  </w:pPr>
                </w:p>
              </w:tc>
              <w:tc>
                <w:tcPr>
                  <w:tcW w:w="404" w:type="pct"/>
                  <w:vMerge w:val="continue"/>
                  <w:tcBorders>
                    <w:left w:val="single" w:color="auto" w:sz="4" w:space="0"/>
                    <w:right w:val="single" w:color="auto" w:sz="4" w:space="0"/>
                  </w:tcBorders>
                  <w:vAlign w:val="center"/>
                </w:tcPr>
                <w:p>
                  <w:pPr>
                    <w:pStyle w:val="47"/>
                  </w:pPr>
                </w:p>
              </w:tc>
              <w:tc>
                <w:tcPr>
                  <w:tcW w:w="611" w:type="pct"/>
                  <w:tcBorders>
                    <w:top w:val="single" w:color="auto" w:sz="4" w:space="0"/>
                    <w:left w:val="single" w:color="auto" w:sz="4" w:space="0"/>
                    <w:bottom w:val="single" w:color="auto" w:sz="4" w:space="0"/>
                    <w:right w:val="single" w:color="auto" w:sz="4" w:space="0"/>
                  </w:tcBorders>
                  <w:vAlign w:val="center"/>
                </w:tcPr>
                <w:p>
                  <w:pPr>
                    <w:pStyle w:val="47"/>
                  </w:pPr>
                  <w:r>
                    <w:t>地面1层</w:t>
                  </w:r>
                </w:p>
              </w:tc>
              <w:tc>
                <w:tcPr>
                  <w:tcW w:w="438" w:type="pct"/>
                  <w:tcBorders>
                    <w:top w:val="single" w:color="auto" w:sz="4" w:space="0"/>
                    <w:left w:val="single" w:color="auto" w:sz="4" w:space="0"/>
                    <w:bottom w:val="single" w:color="auto" w:sz="4" w:space="0"/>
                    <w:right w:val="single" w:color="auto" w:sz="4" w:space="0"/>
                  </w:tcBorders>
                  <w:vAlign w:val="center"/>
                </w:tcPr>
                <w:p>
                  <w:pPr>
                    <w:pStyle w:val="47"/>
                  </w:pPr>
                  <w:r>
                    <w:t>间歇</w:t>
                  </w:r>
                </w:p>
              </w:tc>
              <w:tc>
                <w:tcPr>
                  <w:tcW w:w="464" w:type="pct"/>
                  <w:tcBorders>
                    <w:top w:val="single" w:color="auto" w:sz="4" w:space="0"/>
                    <w:left w:val="single" w:color="auto" w:sz="4" w:space="0"/>
                    <w:bottom w:val="single" w:color="auto" w:sz="4" w:space="0"/>
                    <w:right w:val="single" w:color="auto" w:sz="4" w:space="0"/>
                  </w:tcBorders>
                  <w:vAlign w:val="center"/>
                </w:tcPr>
                <w:p>
                  <w:pPr>
                    <w:pStyle w:val="47"/>
                  </w:pPr>
                  <w:r>
                    <w:t>80~85</w:t>
                  </w:r>
                </w:p>
              </w:tc>
              <w:tc>
                <w:tcPr>
                  <w:tcW w:w="372" w:type="pct"/>
                  <w:vMerge w:val="continue"/>
                  <w:tcBorders>
                    <w:left w:val="single" w:color="auto" w:sz="4" w:space="0"/>
                    <w:right w:val="single" w:color="auto" w:sz="4" w:space="0"/>
                  </w:tcBorders>
                  <w:vAlign w:val="center"/>
                </w:tcPr>
                <w:p>
                  <w:pPr>
                    <w:pStyle w:val="49"/>
                    <w:rPr>
                      <w:szCs w:val="21"/>
                    </w:rPr>
                  </w:pPr>
                </w:p>
              </w:tc>
              <w:tc>
                <w:tcPr>
                  <w:tcW w:w="436" w:type="pct"/>
                  <w:vMerge w:val="continue"/>
                  <w:tcBorders>
                    <w:left w:val="single" w:color="auto" w:sz="4" w:space="0"/>
                    <w:right w:val="single" w:color="auto" w:sz="4" w:space="0"/>
                  </w:tcBorders>
                  <w:vAlign w:val="center"/>
                </w:tcPr>
                <w:p>
                  <w:pPr>
                    <w:pStyle w:val="49"/>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 w:type="pct"/>
                  <w:tcBorders>
                    <w:top w:val="single" w:color="auto" w:sz="4" w:space="0"/>
                    <w:left w:val="single" w:color="auto" w:sz="4" w:space="0"/>
                    <w:bottom w:val="single" w:color="auto" w:sz="4" w:space="0"/>
                    <w:right w:val="single" w:color="auto" w:sz="4" w:space="0"/>
                  </w:tcBorders>
                  <w:vAlign w:val="center"/>
                </w:tcPr>
                <w:p>
                  <w:pPr>
                    <w:pStyle w:val="47"/>
                  </w:pPr>
                  <w:r>
                    <w:t>8</w:t>
                  </w:r>
                </w:p>
              </w:tc>
              <w:tc>
                <w:tcPr>
                  <w:tcW w:w="971" w:type="pct"/>
                  <w:tcBorders>
                    <w:top w:val="single" w:color="auto" w:sz="4" w:space="0"/>
                    <w:left w:val="single" w:color="auto" w:sz="4" w:space="0"/>
                    <w:bottom w:val="single" w:color="auto" w:sz="4" w:space="0"/>
                    <w:right w:val="single" w:color="auto" w:sz="4" w:space="0"/>
                  </w:tcBorders>
                  <w:vAlign w:val="center"/>
                </w:tcPr>
                <w:p>
                  <w:pPr>
                    <w:pStyle w:val="47"/>
                  </w:pPr>
                  <w:r>
                    <w:t>MIG焊机</w:t>
                  </w:r>
                </w:p>
              </w:tc>
              <w:tc>
                <w:tcPr>
                  <w:tcW w:w="48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w:t>
                  </w:r>
                </w:p>
              </w:tc>
              <w:tc>
                <w:tcPr>
                  <w:tcW w:w="524" w:type="pct"/>
                  <w:vMerge w:val="continue"/>
                  <w:tcBorders>
                    <w:left w:val="single" w:color="auto" w:sz="4" w:space="0"/>
                    <w:right w:val="single" w:color="auto" w:sz="4" w:space="0"/>
                  </w:tcBorders>
                  <w:vAlign w:val="center"/>
                </w:tcPr>
                <w:p>
                  <w:pPr>
                    <w:pStyle w:val="47"/>
                  </w:pPr>
                </w:p>
              </w:tc>
              <w:tc>
                <w:tcPr>
                  <w:tcW w:w="404" w:type="pct"/>
                  <w:vMerge w:val="continue"/>
                  <w:tcBorders>
                    <w:left w:val="single" w:color="auto" w:sz="4" w:space="0"/>
                    <w:right w:val="single" w:color="auto" w:sz="4" w:space="0"/>
                  </w:tcBorders>
                  <w:vAlign w:val="center"/>
                </w:tcPr>
                <w:p>
                  <w:pPr>
                    <w:pStyle w:val="47"/>
                  </w:pPr>
                </w:p>
              </w:tc>
              <w:tc>
                <w:tcPr>
                  <w:tcW w:w="611" w:type="pct"/>
                  <w:tcBorders>
                    <w:top w:val="single" w:color="auto" w:sz="4" w:space="0"/>
                    <w:left w:val="single" w:color="auto" w:sz="4" w:space="0"/>
                    <w:bottom w:val="single" w:color="auto" w:sz="4" w:space="0"/>
                    <w:right w:val="single" w:color="auto" w:sz="4" w:space="0"/>
                  </w:tcBorders>
                  <w:vAlign w:val="center"/>
                </w:tcPr>
                <w:p>
                  <w:pPr>
                    <w:pStyle w:val="47"/>
                  </w:pPr>
                  <w:r>
                    <w:t>地面2层</w:t>
                  </w:r>
                </w:p>
              </w:tc>
              <w:tc>
                <w:tcPr>
                  <w:tcW w:w="438" w:type="pct"/>
                  <w:tcBorders>
                    <w:top w:val="single" w:color="auto" w:sz="4" w:space="0"/>
                    <w:left w:val="single" w:color="auto" w:sz="4" w:space="0"/>
                    <w:bottom w:val="single" w:color="auto" w:sz="4" w:space="0"/>
                    <w:right w:val="single" w:color="auto" w:sz="4" w:space="0"/>
                  </w:tcBorders>
                  <w:vAlign w:val="center"/>
                </w:tcPr>
                <w:p>
                  <w:pPr>
                    <w:pStyle w:val="47"/>
                  </w:pPr>
                  <w:r>
                    <w:t>间歇</w:t>
                  </w:r>
                </w:p>
              </w:tc>
              <w:tc>
                <w:tcPr>
                  <w:tcW w:w="464" w:type="pct"/>
                  <w:tcBorders>
                    <w:top w:val="single" w:color="auto" w:sz="4" w:space="0"/>
                    <w:left w:val="single" w:color="auto" w:sz="4" w:space="0"/>
                    <w:bottom w:val="single" w:color="auto" w:sz="4" w:space="0"/>
                    <w:right w:val="single" w:color="auto" w:sz="4" w:space="0"/>
                  </w:tcBorders>
                  <w:vAlign w:val="center"/>
                </w:tcPr>
                <w:p>
                  <w:pPr>
                    <w:pStyle w:val="47"/>
                  </w:pPr>
                  <w:r>
                    <w:t>75~80</w:t>
                  </w:r>
                </w:p>
              </w:tc>
              <w:tc>
                <w:tcPr>
                  <w:tcW w:w="372" w:type="pct"/>
                  <w:vMerge w:val="continue"/>
                  <w:tcBorders>
                    <w:left w:val="single" w:color="auto" w:sz="4" w:space="0"/>
                    <w:right w:val="single" w:color="auto" w:sz="4" w:space="0"/>
                  </w:tcBorders>
                  <w:vAlign w:val="center"/>
                </w:tcPr>
                <w:p>
                  <w:pPr>
                    <w:pStyle w:val="49"/>
                    <w:rPr>
                      <w:szCs w:val="21"/>
                    </w:rPr>
                  </w:pPr>
                </w:p>
              </w:tc>
              <w:tc>
                <w:tcPr>
                  <w:tcW w:w="436" w:type="pct"/>
                  <w:vMerge w:val="continue"/>
                  <w:tcBorders>
                    <w:left w:val="single" w:color="auto" w:sz="4" w:space="0"/>
                    <w:right w:val="single" w:color="auto" w:sz="4" w:space="0"/>
                  </w:tcBorders>
                  <w:vAlign w:val="center"/>
                </w:tcPr>
                <w:p>
                  <w:pPr>
                    <w:pStyle w:val="49"/>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9</w:t>
                  </w:r>
                </w:p>
              </w:tc>
              <w:tc>
                <w:tcPr>
                  <w:tcW w:w="97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攻丝机</w:t>
                  </w:r>
                </w:p>
              </w:tc>
              <w:tc>
                <w:tcPr>
                  <w:tcW w:w="48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2</w:t>
                  </w:r>
                </w:p>
              </w:tc>
              <w:tc>
                <w:tcPr>
                  <w:tcW w:w="524" w:type="pct"/>
                  <w:vMerge w:val="continue"/>
                  <w:tcBorders>
                    <w:left w:val="single" w:color="auto" w:sz="4" w:space="0"/>
                    <w:right w:val="single" w:color="auto" w:sz="4" w:space="0"/>
                  </w:tcBorders>
                  <w:vAlign w:val="center"/>
                </w:tcPr>
                <w:p>
                  <w:pPr>
                    <w:pStyle w:val="47"/>
                  </w:pPr>
                </w:p>
              </w:tc>
              <w:tc>
                <w:tcPr>
                  <w:tcW w:w="404" w:type="pct"/>
                  <w:vMerge w:val="continue"/>
                  <w:tcBorders>
                    <w:left w:val="single" w:color="auto" w:sz="4" w:space="0"/>
                    <w:right w:val="single" w:color="auto" w:sz="4" w:space="0"/>
                  </w:tcBorders>
                  <w:vAlign w:val="center"/>
                </w:tcPr>
                <w:p>
                  <w:pPr>
                    <w:pStyle w:val="47"/>
                  </w:pPr>
                </w:p>
              </w:tc>
              <w:tc>
                <w:tcPr>
                  <w:tcW w:w="611" w:type="pct"/>
                  <w:tcBorders>
                    <w:top w:val="single" w:color="auto" w:sz="4" w:space="0"/>
                    <w:left w:val="single" w:color="auto" w:sz="4" w:space="0"/>
                    <w:bottom w:val="single" w:color="auto" w:sz="4" w:space="0"/>
                    <w:right w:val="single" w:color="auto" w:sz="4" w:space="0"/>
                  </w:tcBorders>
                  <w:vAlign w:val="center"/>
                </w:tcPr>
                <w:p>
                  <w:pPr>
                    <w:pStyle w:val="47"/>
                  </w:pPr>
                  <w:r>
                    <w:t>地面2层</w:t>
                  </w:r>
                </w:p>
              </w:tc>
              <w:tc>
                <w:tcPr>
                  <w:tcW w:w="438" w:type="pct"/>
                  <w:tcBorders>
                    <w:top w:val="single" w:color="auto" w:sz="4" w:space="0"/>
                    <w:left w:val="single" w:color="auto" w:sz="4" w:space="0"/>
                    <w:bottom w:val="single" w:color="auto" w:sz="4" w:space="0"/>
                    <w:right w:val="single" w:color="auto" w:sz="4" w:space="0"/>
                  </w:tcBorders>
                  <w:vAlign w:val="center"/>
                </w:tcPr>
                <w:p>
                  <w:pPr>
                    <w:pStyle w:val="47"/>
                  </w:pPr>
                  <w:r>
                    <w:t>间歇</w:t>
                  </w:r>
                </w:p>
              </w:tc>
              <w:tc>
                <w:tcPr>
                  <w:tcW w:w="464" w:type="pct"/>
                  <w:tcBorders>
                    <w:top w:val="single" w:color="auto" w:sz="4" w:space="0"/>
                    <w:left w:val="single" w:color="auto" w:sz="4" w:space="0"/>
                    <w:bottom w:val="single" w:color="auto" w:sz="4" w:space="0"/>
                    <w:right w:val="single" w:color="auto" w:sz="4" w:space="0"/>
                  </w:tcBorders>
                  <w:vAlign w:val="center"/>
                </w:tcPr>
                <w:p>
                  <w:pPr>
                    <w:pStyle w:val="47"/>
                  </w:pPr>
                  <w:r>
                    <w:t>80~85</w:t>
                  </w:r>
                </w:p>
              </w:tc>
              <w:tc>
                <w:tcPr>
                  <w:tcW w:w="372" w:type="pct"/>
                  <w:vMerge w:val="continue"/>
                  <w:tcBorders>
                    <w:left w:val="single" w:color="auto" w:sz="4" w:space="0"/>
                    <w:right w:val="single" w:color="auto" w:sz="4" w:space="0"/>
                  </w:tcBorders>
                  <w:vAlign w:val="center"/>
                </w:tcPr>
                <w:p>
                  <w:pPr>
                    <w:pStyle w:val="49"/>
                    <w:rPr>
                      <w:szCs w:val="21"/>
                    </w:rPr>
                  </w:pPr>
                </w:p>
              </w:tc>
              <w:tc>
                <w:tcPr>
                  <w:tcW w:w="436" w:type="pct"/>
                  <w:vMerge w:val="continue"/>
                  <w:tcBorders>
                    <w:left w:val="single" w:color="auto" w:sz="4" w:space="0"/>
                    <w:right w:val="single" w:color="auto" w:sz="4" w:space="0"/>
                  </w:tcBorders>
                  <w:vAlign w:val="center"/>
                </w:tcPr>
                <w:p>
                  <w:pPr>
                    <w:pStyle w:val="49"/>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10</w:t>
                  </w:r>
                </w:p>
              </w:tc>
              <w:tc>
                <w:tcPr>
                  <w:tcW w:w="97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锯床</w:t>
                  </w:r>
                </w:p>
              </w:tc>
              <w:tc>
                <w:tcPr>
                  <w:tcW w:w="48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w:t>
                  </w:r>
                </w:p>
              </w:tc>
              <w:tc>
                <w:tcPr>
                  <w:tcW w:w="524" w:type="pct"/>
                  <w:vMerge w:val="continue"/>
                  <w:tcBorders>
                    <w:left w:val="single" w:color="auto" w:sz="4" w:space="0"/>
                    <w:right w:val="single" w:color="auto" w:sz="4" w:space="0"/>
                  </w:tcBorders>
                  <w:vAlign w:val="center"/>
                </w:tcPr>
                <w:p>
                  <w:pPr>
                    <w:pStyle w:val="47"/>
                  </w:pPr>
                </w:p>
              </w:tc>
              <w:tc>
                <w:tcPr>
                  <w:tcW w:w="404" w:type="pct"/>
                  <w:vMerge w:val="continue"/>
                  <w:tcBorders>
                    <w:left w:val="single" w:color="auto" w:sz="4" w:space="0"/>
                    <w:right w:val="single" w:color="auto" w:sz="4" w:space="0"/>
                  </w:tcBorders>
                  <w:vAlign w:val="center"/>
                </w:tcPr>
                <w:p>
                  <w:pPr>
                    <w:pStyle w:val="47"/>
                  </w:pPr>
                </w:p>
              </w:tc>
              <w:tc>
                <w:tcPr>
                  <w:tcW w:w="611" w:type="pct"/>
                  <w:tcBorders>
                    <w:top w:val="single" w:color="auto" w:sz="4" w:space="0"/>
                    <w:left w:val="single" w:color="auto" w:sz="4" w:space="0"/>
                    <w:bottom w:val="single" w:color="auto" w:sz="4" w:space="0"/>
                    <w:right w:val="single" w:color="auto" w:sz="4" w:space="0"/>
                  </w:tcBorders>
                  <w:vAlign w:val="center"/>
                </w:tcPr>
                <w:p>
                  <w:pPr>
                    <w:pStyle w:val="47"/>
                  </w:pPr>
                  <w:r>
                    <w:t>地面2层</w:t>
                  </w:r>
                </w:p>
              </w:tc>
              <w:tc>
                <w:tcPr>
                  <w:tcW w:w="438" w:type="pct"/>
                  <w:tcBorders>
                    <w:top w:val="single" w:color="auto" w:sz="4" w:space="0"/>
                    <w:left w:val="single" w:color="auto" w:sz="4" w:space="0"/>
                    <w:bottom w:val="single" w:color="auto" w:sz="4" w:space="0"/>
                    <w:right w:val="single" w:color="auto" w:sz="4" w:space="0"/>
                  </w:tcBorders>
                  <w:vAlign w:val="center"/>
                </w:tcPr>
                <w:p>
                  <w:pPr>
                    <w:pStyle w:val="47"/>
                  </w:pPr>
                  <w:r>
                    <w:t>间歇</w:t>
                  </w:r>
                </w:p>
              </w:tc>
              <w:tc>
                <w:tcPr>
                  <w:tcW w:w="464" w:type="pct"/>
                  <w:tcBorders>
                    <w:top w:val="single" w:color="auto" w:sz="4" w:space="0"/>
                    <w:left w:val="single" w:color="auto" w:sz="4" w:space="0"/>
                    <w:bottom w:val="single" w:color="auto" w:sz="4" w:space="0"/>
                    <w:right w:val="single" w:color="auto" w:sz="4" w:space="0"/>
                  </w:tcBorders>
                  <w:vAlign w:val="center"/>
                </w:tcPr>
                <w:p>
                  <w:pPr>
                    <w:pStyle w:val="47"/>
                  </w:pPr>
                  <w:r>
                    <w:t>80~85</w:t>
                  </w:r>
                </w:p>
              </w:tc>
              <w:tc>
                <w:tcPr>
                  <w:tcW w:w="372" w:type="pct"/>
                  <w:vMerge w:val="continue"/>
                  <w:tcBorders>
                    <w:left w:val="single" w:color="auto" w:sz="4" w:space="0"/>
                    <w:right w:val="single" w:color="auto" w:sz="4" w:space="0"/>
                  </w:tcBorders>
                  <w:vAlign w:val="center"/>
                </w:tcPr>
                <w:p>
                  <w:pPr>
                    <w:pStyle w:val="49"/>
                    <w:rPr>
                      <w:szCs w:val="21"/>
                    </w:rPr>
                  </w:pPr>
                </w:p>
              </w:tc>
              <w:tc>
                <w:tcPr>
                  <w:tcW w:w="436" w:type="pct"/>
                  <w:vMerge w:val="continue"/>
                  <w:tcBorders>
                    <w:left w:val="single" w:color="auto" w:sz="4" w:space="0"/>
                    <w:right w:val="single" w:color="auto" w:sz="4" w:space="0"/>
                  </w:tcBorders>
                  <w:vAlign w:val="center"/>
                </w:tcPr>
                <w:p>
                  <w:pPr>
                    <w:pStyle w:val="49"/>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11</w:t>
                  </w:r>
                </w:p>
              </w:tc>
              <w:tc>
                <w:tcPr>
                  <w:tcW w:w="97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100T油压机</w:t>
                  </w:r>
                </w:p>
              </w:tc>
              <w:tc>
                <w:tcPr>
                  <w:tcW w:w="48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w:t>
                  </w:r>
                </w:p>
              </w:tc>
              <w:tc>
                <w:tcPr>
                  <w:tcW w:w="524" w:type="pct"/>
                  <w:vMerge w:val="continue"/>
                  <w:tcBorders>
                    <w:left w:val="single" w:color="auto" w:sz="4" w:space="0"/>
                    <w:right w:val="single" w:color="auto" w:sz="4" w:space="0"/>
                  </w:tcBorders>
                  <w:vAlign w:val="center"/>
                </w:tcPr>
                <w:p>
                  <w:pPr>
                    <w:pStyle w:val="47"/>
                  </w:pPr>
                </w:p>
              </w:tc>
              <w:tc>
                <w:tcPr>
                  <w:tcW w:w="404" w:type="pct"/>
                  <w:vMerge w:val="continue"/>
                  <w:tcBorders>
                    <w:left w:val="single" w:color="auto" w:sz="4" w:space="0"/>
                    <w:right w:val="single" w:color="auto" w:sz="4" w:space="0"/>
                  </w:tcBorders>
                  <w:vAlign w:val="center"/>
                </w:tcPr>
                <w:p>
                  <w:pPr>
                    <w:pStyle w:val="47"/>
                  </w:pPr>
                </w:p>
              </w:tc>
              <w:tc>
                <w:tcPr>
                  <w:tcW w:w="611" w:type="pct"/>
                  <w:tcBorders>
                    <w:top w:val="single" w:color="auto" w:sz="4" w:space="0"/>
                    <w:left w:val="single" w:color="auto" w:sz="4" w:space="0"/>
                    <w:bottom w:val="single" w:color="auto" w:sz="4" w:space="0"/>
                    <w:right w:val="single" w:color="auto" w:sz="4" w:space="0"/>
                  </w:tcBorders>
                  <w:vAlign w:val="center"/>
                </w:tcPr>
                <w:p>
                  <w:pPr>
                    <w:pStyle w:val="47"/>
                  </w:pPr>
                  <w:r>
                    <w:t>地面2层</w:t>
                  </w:r>
                </w:p>
              </w:tc>
              <w:tc>
                <w:tcPr>
                  <w:tcW w:w="438" w:type="pct"/>
                  <w:tcBorders>
                    <w:top w:val="single" w:color="auto" w:sz="4" w:space="0"/>
                    <w:left w:val="single" w:color="auto" w:sz="4" w:space="0"/>
                    <w:bottom w:val="single" w:color="auto" w:sz="4" w:space="0"/>
                    <w:right w:val="single" w:color="auto" w:sz="4" w:space="0"/>
                  </w:tcBorders>
                  <w:vAlign w:val="center"/>
                </w:tcPr>
                <w:p>
                  <w:pPr>
                    <w:pStyle w:val="47"/>
                  </w:pPr>
                  <w:r>
                    <w:t>间歇</w:t>
                  </w:r>
                </w:p>
              </w:tc>
              <w:tc>
                <w:tcPr>
                  <w:tcW w:w="464"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70~75</w:t>
                  </w:r>
                </w:p>
              </w:tc>
              <w:tc>
                <w:tcPr>
                  <w:tcW w:w="372" w:type="pct"/>
                  <w:vMerge w:val="continue"/>
                  <w:tcBorders>
                    <w:left w:val="single" w:color="auto" w:sz="4" w:space="0"/>
                    <w:right w:val="single" w:color="auto" w:sz="4" w:space="0"/>
                  </w:tcBorders>
                  <w:vAlign w:val="center"/>
                </w:tcPr>
                <w:p>
                  <w:pPr>
                    <w:pStyle w:val="49"/>
                    <w:rPr>
                      <w:szCs w:val="21"/>
                    </w:rPr>
                  </w:pPr>
                </w:p>
              </w:tc>
              <w:tc>
                <w:tcPr>
                  <w:tcW w:w="436" w:type="pct"/>
                  <w:vMerge w:val="continue"/>
                  <w:tcBorders>
                    <w:left w:val="single" w:color="auto" w:sz="4" w:space="0"/>
                    <w:right w:val="single" w:color="auto" w:sz="4" w:space="0"/>
                  </w:tcBorders>
                  <w:vAlign w:val="center"/>
                </w:tcPr>
                <w:p>
                  <w:pPr>
                    <w:pStyle w:val="49"/>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12</w:t>
                  </w:r>
                </w:p>
              </w:tc>
              <w:tc>
                <w:tcPr>
                  <w:tcW w:w="97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真空含浸机</w:t>
                  </w:r>
                </w:p>
              </w:tc>
              <w:tc>
                <w:tcPr>
                  <w:tcW w:w="48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w:t>
                  </w:r>
                </w:p>
              </w:tc>
              <w:tc>
                <w:tcPr>
                  <w:tcW w:w="524" w:type="pct"/>
                  <w:vMerge w:val="continue"/>
                  <w:tcBorders>
                    <w:left w:val="single" w:color="auto" w:sz="4" w:space="0"/>
                    <w:right w:val="single" w:color="auto" w:sz="4" w:space="0"/>
                  </w:tcBorders>
                  <w:vAlign w:val="center"/>
                </w:tcPr>
                <w:p>
                  <w:pPr>
                    <w:pStyle w:val="47"/>
                  </w:pPr>
                </w:p>
              </w:tc>
              <w:tc>
                <w:tcPr>
                  <w:tcW w:w="404" w:type="pct"/>
                  <w:vMerge w:val="continue"/>
                  <w:tcBorders>
                    <w:left w:val="single" w:color="auto" w:sz="4" w:space="0"/>
                    <w:right w:val="single" w:color="auto" w:sz="4" w:space="0"/>
                  </w:tcBorders>
                  <w:vAlign w:val="center"/>
                </w:tcPr>
                <w:p>
                  <w:pPr>
                    <w:pStyle w:val="47"/>
                  </w:pPr>
                </w:p>
              </w:tc>
              <w:tc>
                <w:tcPr>
                  <w:tcW w:w="611" w:type="pct"/>
                  <w:tcBorders>
                    <w:top w:val="single" w:color="auto" w:sz="4" w:space="0"/>
                    <w:left w:val="single" w:color="auto" w:sz="4" w:space="0"/>
                    <w:bottom w:val="single" w:color="auto" w:sz="4" w:space="0"/>
                    <w:right w:val="single" w:color="auto" w:sz="4" w:space="0"/>
                  </w:tcBorders>
                  <w:vAlign w:val="center"/>
                </w:tcPr>
                <w:p>
                  <w:pPr>
                    <w:pStyle w:val="47"/>
                  </w:pPr>
                  <w:r>
                    <w:t>地面2层</w:t>
                  </w:r>
                </w:p>
              </w:tc>
              <w:tc>
                <w:tcPr>
                  <w:tcW w:w="438" w:type="pct"/>
                  <w:tcBorders>
                    <w:top w:val="single" w:color="auto" w:sz="4" w:space="0"/>
                    <w:left w:val="single" w:color="auto" w:sz="4" w:space="0"/>
                    <w:bottom w:val="single" w:color="auto" w:sz="4" w:space="0"/>
                    <w:right w:val="single" w:color="auto" w:sz="4" w:space="0"/>
                  </w:tcBorders>
                  <w:vAlign w:val="center"/>
                </w:tcPr>
                <w:p>
                  <w:pPr>
                    <w:pStyle w:val="47"/>
                  </w:pPr>
                  <w:r>
                    <w:t>间歇</w:t>
                  </w:r>
                </w:p>
              </w:tc>
              <w:tc>
                <w:tcPr>
                  <w:tcW w:w="464"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60~65</w:t>
                  </w:r>
                </w:p>
              </w:tc>
              <w:tc>
                <w:tcPr>
                  <w:tcW w:w="372" w:type="pct"/>
                  <w:vMerge w:val="continue"/>
                  <w:tcBorders>
                    <w:left w:val="single" w:color="auto" w:sz="4" w:space="0"/>
                    <w:right w:val="single" w:color="auto" w:sz="4" w:space="0"/>
                  </w:tcBorders>
                  <w:vAlign w:val="center"/>
                </w:tcPr>
                <w:p>
                  <w:pPr>
                    <w:pStyle w:val="49"/>
                    <w:rPr>
                      <w:szCs w:val="21"/>
                    </w:rPr>
                  </w:pPr>
                </w:p>
              </w:tc>
              <w:tc>
                <w:tcPr>
                  <w:tcW w:w="436" w:type="pct"/>
                  <w:vMerge w:val="continue"/>
                  <w:tcBorders>
                    <w:left w:val="single" w:color="auto" w:sz="4" w:space="0"/>
                    <w:right w:val="single" w:color="auto" w:sz="4" w:space="0"/>
                  </w:tcBorders>
                  <w:vAlign w:val="center"/>
                </w:tcPr>
                <w:p>
                  <w:pPr>
                    <w:pStyle w:val="49"/>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13</w:t>
                  </w:r>
                </w:p>
              </w:tc>
              <w:tc>
                <w:tcPr>
                  <w:tcW w:w="97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电热烘箱</w:t>
                  </w:r>
                </w:p>
              </w:tc>
              <w:tc>
                <w:tcPr>
                  <w:tcW w:w="48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w:t>
                  </w:r>
                </w:p>
              </w:tc>
              <w:tc>
                <w:tcPr>
                  <w:tcW w:w="524" w:type="pct"/>
                  <w:vMerge w:val="continue"/>
                  <w:tcBorders>
                    <w:left w:val="single" w:color="auto" w:sz="4" w:space="0"/>
                    <w:right w:val="single" w:color="auto" w:sz="4" w:space="0"/>
                  </w:tcBorders>
                  <w:vAlign w:val="center"/>
                </w:tcPr>
                <w:p>
                  <w:pPr>
                    <w:pStyle w:val="47"/>
                  </w:pPr>
                </w:p>
              </w:tc>
              <w:tc>
                <w:tcPr>
                  <w:tcW w:w="404" w:type="pct"/>
                  <w:vMerge w:val="continue"/>
                  <w:tcBorders>
                    <w:left w:val="single" w:color="auto" w:sz="4" w:space="0"/>
                    <w:right w:val="single" w:color="auto" w:sz="4" w:space="0"/>
                  </w:tcBorders>
                  <w:vAlign w:val="center"/>
                </w:tcPr>
                <w:p>
                  <w:pPr>
                    <w:pStyle w:val="47"/>
                  </w:pPr>
                </w:p>
              </w:tc>
              <w:tc>
                <w:tcPr>
                  <w:tcW w:w="611" w:type="pct"/>
                  <w:tcBorders>
                    <w:top w:val="single" w:color="auto" w:sz="4" w:space="0"/>
                    <w:left w:val="single" w:color="auto" w:sz="4" w:space="0"/>
                    <w:bottom w:val="single" w:color="auto" w:sz="4" w:space="0"/>
                    <w:right w:val="single" w:color="auto" w:sz="4" w:space="0"/>
                  </w:tcBorders>
                  <w:vAlign w:val="center"/>
                </w:tcPr>
                <w:p>
                  <w:pPr>
                    <w:pStyle w:val="47"/>
                  </w:pPr>
                  <w:r>
                    <w:t>地面2层</w:t>
                  </w:r>
                </w:p>
              </w:tc>
              <w:tc>
                <w:tcPr>
                  <w:tcW w:w="438" w:type="pct"/>
                  <w:tcBorders>
                    <w:top w:val="single" w:color="auto" w:sz="4" w:space="0"/>
                    <w:left w:val="single" w:color="auto" w:sz="4" w:space="0"/>
                    <w:bottom w:val="single" w:color="auto" w:sz="4" w:space="0"/>
                    <w:right w:val="single" w:color="auto" w:sz="4" w:space="0"/>
                  </w:tcBorders>
                  <w:vAlign w:val="center"/>
                </w:tcPr>
                <w:p>
                  <w:pPr>
                    <w:pStyle w:val="47"/>
                  </w:pPr>
                  <w:r>
                    <w:t>间歇</w:t>
                  </w:r>
                </w:p>
              </w:tc>
              <w:tc>
                <w:tcPr>
                  <w:tcW w:w="464"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70~75</w:t>
                  </w:r>
                </w:p>
              </w:tc>
              <w:tc>
                <w:tcPr>
                  <w:tcW w:w="372" w:type="pct"/>
                  <w:vMerge w:val="continue"/>
                  <w:tcBorders>
                    <w:left w:val="single" w:color="auto" w:sz="4" w:space="0"/>
                    <w:right w:val="single" w:color="auto" w:sz="4" w:space="0"/>
                  </w:tcBorders>
                  <w:vAlign w:val="center"/>
                </w:tcPr>
                <w:p>
                  <w:pPr>
                    <w:pStyle w:val="49"/>
                    <w:rPr>
                      <w:szCs w:val="21"/>
                    </w:rPr>
                  </w:pPr>
                </w:p>
              </w:tc>
              <w:tc>
                <w:tcPr>
                  <w:tcW w:w="436" w:type="pct"/>
                  <w:vMerge w:val="continue"/>
                  <w:tcBorders>
                    <w:left w:val="single" w:color="auto" w:sz="4" w:space="0"/>
                    <w:right w:val="single" w:color="auto" w:sz="4" w:space="0"/>
                  </w:tcBorders>
                  <w:vAlign w:val="center"/>
                </w:tcPr>
                <w:p>
                  <w:pPr>
                    <w:pStyle w:val="49"/>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14</w:t>
                  </w:r>
                </w:p>
              </w:tc>
              <w:tc>
                <w:tcPr>
                  <w:tcW w:w="97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10T油压机</w:t>
                  </w:r>
                </w:p>
              </w:tc>
              <w:tc>
                <w:tcPr>
                  <w:tcW w:w="48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w:t>
                  </w:r>
                </w:p>
              </w:tc>
              <w:tc>
                <w:tcPr>
                  <w:tcW w:w="524" w:type="pct"/>
                  <w:vMerge w:val="continue"/>
                  <w:tcBorders>
                    <w:left w:val="single" w:color="auto" w:sz="4" w:space="0"/>
                    <w:right w:val="single" w:color="auto" w:sz="4" w:space="0"/>
                  </w:tcBorders>
                  <w:vAlign w:val="center"/>
                </w:tcPr>
                <w:p>
                  <w:pPr>
                    <w:pStyle w:val="47"/>
                  </w:pPr>
                </w:p>
              </w:tc>
              <w:tc>
                <w:tcPr>
                  <w:tcW w:w="404" w:type="pct"/>
                  <w:vMerge w:val="continue"/>
                  <w:tcBorders>
                    <w:left w:val="single" w:color="auto" w:sz="4" w:space="0"/>
                    <w:right w:val="single" w:color="auto" w:sz="4" w:space="0"/>
                  </w:tcBorders>
                  <w:vAlign w:val="center"/>
                </w:tcPr>
                <w:p>
                  <w:pPr>
                    <w:pStyle w:val="47"/>
                  </w:pPr>
                </w:p>
              </w:tc>
              <w:tc>
                <w:tcPr>
                  <w:tcW w:w="611" w:type="pct"/>
                  <w:tcBorders>
                    <w:top w:val="single" w:color="auto" w:sz="4" w:space="0"/>
                    <w:left w:val="single" w:color="auto" w:sz="4" w:space="0"/>
                    <w:bottom w:val="single" w:color="auto" w:sz="4" w:space="0"/>
                    <w:right w:val="single" w:color="auto" w:sz="4" w:space="0"/>
                  </w:tcBorders>
                  <w:vAlign w:val="center"/>
                </w:tcPr>
                <w:p>
                  <w:pPr>
                    <w:pStyle w:val="47"/>
                  </w:pPr>
                  <w:r>
                    <w:t>地面3层</w:t>
                  </w:r>
                </w:p>
              </w:tc>
              <w:tc>
                <w:tcPr>
                  <w:tcW w:w="438" w:type="pct"/>
                  <w:tcBorders>
                    <w:top w:val="single" w:color="auto" w:sz="4" w:space="0"/>
                    <w:left w:val="single" w:color="auto" w:sz="4" w:space="0"/>
                    <w:bottom w:val="single" w:color="auto" w:sz="4" w:space="0"/>
                    <w:right w:val="single" w:color="auto" w:sz="4" w:space="0"/>
                  </w:tcBorders>
                  <w:vAlign w:val="center"/>
                </w:tcPr>
                <w:p>
                  <w:pPr>
                    <w:pStyle w:val="47"/>
                  </w:pPr>
                  <w:r>
                    <w:t>间歇</w:t>
                  </w:r>
                </w:p>
              </w:tc>
              <w:tc>
                <w:tcPr>
                  <w:tcW w:w="464"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70~75</w:t>
                  </w:r>
                </w:p>
              </w:tc>
              <w:tc>
                <w:tcPr>
                  <w:tcW w:w="372" w:type="pct"/>
                  <w:vMerge w:val="continue"/>
                  <w:tcBorders>
                    <w:left w:val="single" w:color="auto" w:sz="4" w:space="0"/>
                    <w:right w:val="single" w:color="auto" w:sz="4" w:space="0"/>
                  </w:tcBorders>
                  <w:vAlign w:val="center"/>
                </w:tcPr>
                <w:p>
                  <w:pPr>
                    <w:pStyle w:val="49"/>
                    <w:rPr>
                      <w:szCs w:val="21"/>
                    </w:rPr>
                  </w:pPr>
                </w:p>
              </w:tc>
              <w:tc>
                <w:tcPr>
                  <w:tcW w:w="436" w:type="pct"/>
                  <w:vMerge w:val="continue"/>
                  <w:tcBorders>
                    <w:left w:val="single" w:color="auto" w:sz="4" w:space="0"/>
                    <w:right w:val="single" w:color="auto" w:sz="4" w:space="0"/>
                  </w:tcBorders>
                  <w:vAlign w:val="center"/>
                </w:tcPr>
                <w:p>
                  <w:pPr>
                    <w:pStyle w:val="49"/>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15</w:t>
                  </w:r>
                </w:p>
              </w:tc>
              <w:tc>
                <w:tcPr>
                  <w:tcW w:w="97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定子绕线机</w:t>
                  </w:r>
                </w:p>
              </w:tc>
              <w:tc>
                <w:tcPr>
                  <w:tcW w:w="48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w:t>
                  </w:r>
                </w:p>
              </w:tc>
              <w:tc>
                <w:tcPr>
                  <w:tcW w:w="524" w:type="pct"/>
                  <w:vMerge w:val="continue"/>
                  <w:tcBorders>
                    <w:left w:val="single" w:color="auto" w:sz="4" w:space="0"/>
                    <w:right w:val="single" w:color="auto" w:sz="4" w:space="0"/>
                  </w:tcBorders>
                  <w:vAlign w:val="center"/>
                </w:tcPr>
                <w:p>
                  <w:pPr>
                    <w:pStyle w:val="47"/>
                  </w:pPr>
                </w:p>
              </w:tc>
              <w:tc>
                <w:tcPr>
                  <w:tcW w:w="404" w:type="pct"/>
                  <w:vMerge w:val="continue"/>
                  <w:tcBorders>
                    <w:left w:val="single" w:color="auto" w:sz="4" w:space="0"/>
                    <w:right w:val="single" w:color="auto" w:sz="4" w:space="0"/>
                  </w:tcBorders>
                  <w:vAlign w:val="center"/>
                </w:tcPr>
                <w:p>
                  <w:pPr>
                    <w:pStyle w:val="47"/>
                  </w:pPr>
                </w:p>
              </w:tc>
              <w:tc>
                <w:tcPr>
                  <w:tcW w:w="611" w:type="pct"/>
                  <w:tcBorders>
                    <w:top w:val="single" w:color="auto" w:sz="4" w:space="0"/>
                    <w:left w:val="single" w:color="auto" w:sz="4" w:space="0"/>
                    <w:bottom w:val="single" w:color="auto" w:sz="4" w:space="0"/>
                    <w:right w:val="single" w:color="auto" w:sz="4" w:space="0"/>
                  </w:tcBorders>
                  <w:vAlign w:val="center"/>
                </w:tcPr>
                <w:p>
                  <w:pPr>
                    <w:pStyle w:val="47"/>
                  </w:pPr>
                  <w:r>
                    <w:t>地面3层</w:t>
                  </w:r>
                </w:p>
              </w:tc>
              <w:tc>
                <w:tcPr>
                  <w:tcW w:w="438" w:type="pct"/>
                  <w:tcBorders>
                    <w:top w:val="single" w:color="auto" w:sz="4" w:space="0"/>
                    <w:left w:val="single" w:color="auto" w:sz="4" w:space="0"/>
                    <w:bottom w:val="single" w:color="auto" w:sz="4" w:space="0"/>
                    <w:right w:val="single" w:color="auto" w:sz="4" w:space="0"/>
                  </w:tcBorders>
                  <w:vAlign w:val="center"/>
                </w:tcPr>
                <w:p>
                  <w:pPr>
                    <w:pStyle w:val="47"/>
                  </w:pPr>
                  <w:r>
                    <w:t>间歇</w:t>
                  </w:r>
                </w:p>
              </w:tc>
              <w:tc>
                <w:tcPr>
                  <w:tcW w:w="464"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65~70</w:t>
                  </w:r>
                </w:p>
              </w:tc>
              <w:tc>
                <w:tcPr>
                  <w:tcW w:w="372" w:type="pct"/>
                  <w:vMerge w:val="continue"/>
                  <w:tcBorders>
                    <w:left w:val="single" w:color="auto" w:sz="4" w:space="0"/>
                    <w:right w:val="single" w:color="auto" w:sz="4" w:space="0"/>
                  </w:tcBorders>
                  <w:vAlign w:val="center"/>
                </w:tcPr>
                <w:p>
                  <w:pPr>
                    <w:pStyle w:val="49"/>
                    <w:rPr>
                      <w:szCs w:val="21"/>
                    </w:rPr>
                  </w:pPr>
                </w:p>
              </w:tc>
              <w:tc>
                <w:tcPr>
                  <w:tcW w:w="436" w:type="pct"/>
                  <w:vMerge w:val="continue"/>
                  <w:tcBorders>
                    <w:left w:val="single" w:color="auto" w:sz="4" w:space="0"/>
                    <w:right w:val="single" w:color="auto" w:sz="4" w:space="0"/>
                  </w:tcBorders>
                  <w:vAlign w:val="center"/>
                </w:tcPr>
                <w:p>
                  <w:pPr>
                    <w:pStyle w:val="49"/>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16</w:t>
                  </w:r>
                </w:p>
              </w:tc>
              <w:tc>
                <w:tcPr>
                  <w:tcW w:w="971" w:type="pct"/>
                  <w:tcBorders>
                    <w:top w:val="single" w:color="auto" w:sz="4" w:space="0"/>
                    <w:left w:val="single" w:color="auto" w:sz="4" w:space="0"/>
                    <w:bottom w:val="single" w:color="auto" w:sz="4" w:space="0"/>
                    <w:right w:val="single" w:color="auto" w:sz="4" w:space="0"/>
                  </w:tcBorders>
                  <w:vAlign w:val="center"/>
                </w:tcPr>
                <w:p>
                  <w:pPr>
                    <w:pStyle w:val="47"/>
                  </w:pPr>
                  <w:r>
                    <w:t>交流氩弧焊机</w:t>
                  </w:r>
                </w:p>
              </w:tc>
              <w:tc>
                <w:tcPr>
                  <w:tcW w:w="481" w:type="pct"/>
                  <w:tcBorders>
                    <w:top w:val="single" w:color="auto" w:sz="4" w:space="0"/>
                    <w:left w:val="single" w:color="auto" w:sz="4" w:space="0"/>
                    <w:bottom w:val="single" w:color="auto" w:sz="4" w:space="0"/>
                    <w:right w:val="single" w:color="auto" w:sz="4" w:space="0"/>
                  </w:tcBorders>
                  <w:vAlign w:val="center"/>
                </w:tcPr>
                <w:p>
                  <w:pPr>
                    <w:pStyle w:val="47"/>
                  </w:pPr>
                  <w:r>
                    <w:t>1</w:t>
                  </w:r>
                </w:p>
              </w:tc>
              <w:tc>
                <w:tcPr>
                  <w:tcW w:w="524" w:type="pct"/>
                  <w:vMerge w:val="continue"/>
                  <w:tcBorders>
                    <w:left w:val="single" w:color="auto" w:sz="4" w:space="0"/>
                    <w:right w:val="single" w:color="auto" w:sz="4" w:space="0"/>
                  </w:tcBorders>
                  <w:vAlign w:val="center"/>
                </w:tcPr>
                <w:p>
                  <w:pPr>
                    <w:pStyle w:val="47"/>
                  </w:pPr>
                </w:p>
              </w:tc>
              <w:tc>
                <w:tcPr>
                  <w:tcW w:w="404" w:type="pct"/>
                  <w:vMerge w:val="continue"/>
                  <w:tcBorders>
                    <w:left w:val="single" w:color="auto" w:sz="4" w:space="0"/>
                    <w:right w:val="single" w:color="auto" w:sz="4" w:space="0"/>
                  </w:tcBorders>
                  <w:vAlign w:val="center"/>
                </w:tcPr>
                <w:p>
                  <w:pPr>
                    <w:pStyle w:val="47"/>
                  </w:pPr>
                </w:p>
              </w:tc>
              <w:tc>
                <w:tcPr>
                  <w:tcW w:w="611" w:type="pct"/>
                  <w:tcBorders>
                    <w:top w:val="single" w:color="auto" w:sz="4" w:space="0"/>
                    <w:left w:val="single" w:color="auto" w:sz="4" w:space="0"/>
                    <w:bottom w:val="single" w:color="auto" w:sz="4" w:space="0"/>
                    <w:right w:val="single" w:color="auto" w:sz="4" w:space="0"/>
                  </w:tcBorders>
                  <w:vAlign w:val="center"/>
                </w:tcPr>
                <w:p>
                  <w:pPr>
                    <w:pStyle w:val="47"/>
                  </w:pPr>
                  <w:r>
                    <w:t>地面3层</w:t>
                  </w:r>
                </w:p>
              </w:tc>
              <w:tc>
                <w:tcPr>
                  <w:tcW w:w="438" w:type="pct"/>
                  <w:tcBorders>
                    <w:top w:val="single" w:color="auto" w:sz="4" w:space="0"/>
                    <w:left w:val="single" w:color="auto" w:sz="4" w:space="0"/>
                    <w:bottom w:val="single" w:color="auto" w:sz="4" w:space="0"/>
                    <w:right w:val="single" w:color="auto" w:sz="4" w:space="0"/>
                  </w:tcBorders>
                  <w:vAlign w:val="center"/>
                </w:tcPr>
                <w:p>
                  <w:pPr>
                    <w:pStyle w:val="47"/>
                  </w:pPr>
                  <w:r>
                    <w:t>间歇</w:t>
                  </w:r>
                </w:p>
              </w:tc>
              <w:tc>
                <w:tcPr>
                  <w:tcW w:w="464" w:type="pct"/>
                  <w:tcBorders>
                    <w:top w:val="single" w:color="auto" w:sz="4" w:space="0"/>
                    <w:left w:val="single" w:color="auto" w:sz="4" w:space="0"/>
                    <w:bottom w:val="single" w:color="auto" w:sz="4" w:space="0"/>
                    <w:right w:val="single" w:color="auto" w:sz="4" w:space="0"/>
                  </w:tcBorders>
                  <w:vAlign w:val="center"/>
                </w:tcPr>
                <w:p>
                  <w:pPr>
                    <w:pStyle w:val="47"/>
                  </w:pPr>
                  <w:r>
                    <w:t>75~80</w:t>
                  </w:r>
                </w:p>
              </w:tc>
              <w:tc>
                <w:tcPr>
                  <w:tcW w:w="372" w:type="pct"/>
                  <w:vMerge w:val="continue"/>
                  <w:tcBorders>
                    <w:left w:val="single" w:color="auto" w:sz="4" w:space="0"/>
                    <w:right w:val="single" w:color="auto" w:sz="4" w:space="0"/>
                  </w:tcBorders>
                  <w:vAlign w:val="center"/>
                </w:tcPr>
                <w:p>
                  <w:pPr>
                    <w:pStyle w:val="49"/>
                    <w:rPr>
                      <w:szCs w:val="21"/>
                    </w:rPr>
                  </w:pPr>
                </w:p>
              </w:tc>
              <w:tc>
                <w:tcPr>
                  <w:tcW w:w="436" w:type="pct"/>
                  <w:vMerge w:val="continue"/>
                  <w:tcBorders>
                    <w:left w:val="single" w:color="auto" w:sz="4" w:space="0"/>
                    <w:right w:val="single" w:color="auto" w:sz="4" w:space="0"/>
                  </w:tcBorders>
                  <w:vAlign w:val="center"/>
                </w:tcPr>
                <w:p>
                  <w:pPr>
                    <w:pStyle w:val="49"/>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17</w:t>
                  </w:r>
                </w:p>
              </w:tc>
              <w:tc>
                <w:tcPr>
                  <w:tcW w:w="97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二保焊</w:t>
                  </w:r>
                </w:p>
              </w:tc>
              <w:tc>
                <w:tcPr>
                  <w:tcW w:w="48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w:t>
                  </w:r>
                </w:p>
              </w:tc>
              <w:tc>
                <w:tcPr>
                  <w:tcW w:w="524" w:type="pct"/>
                  <w:vMerge w:val="continue"/>
                  <w:tcBorders>
                    <w:left w:val="single" w:color="auto" w:sz="4" w:space="0"/>
                    <w:right w:val="single" w:color="auto" w:sz="4" w:space="0"/>
                  </w:tcBorders>
                  <w:vAlign w:val="center"/>
                </w:tcPr>
                <w:p>
                  <w:pPr>
                    <w:pStyle w:val="47"/>
                  </w:pPr>
                </w:p>
              </w:tc>
              <w:tc>
                <w:tcPr>
                  <w:tcW w:w="404" w:type="pct"/>
                  <w:vMerge w:val="continue"/>
                  <w:tcBorders>
                    <w:left w:val="single" w:color="auto" w:sz="4" w:space="0"/>
                    <w:right w:val="single" w:color="auto" w:sz="4" w:space="0"/>
                  </w:tcBorders>
                  <w:vAlign w:val="center"/>
                </w:tcPr>
                <w:p>
                  <w:pPr>
                    <w:pStyle w:val="47"/>
                  </w:pPr>
                </w:p>
              </w:tc>
              <w:tc>
                <w:tcPr>
                  <w:tcW w:w="611" w:type="pct"/>
                  <w:tcBorders>
                    <w:top w:val="single" w:color="auto" w:sz="4" w:space="0"/>
                    <w:left w:val="single" w:color="auto" w:sz="4" w:space="0"/>
                    <w:bottom w:val="single" w:color="auto" w:sz="4" w:space="0"/>
                    <w:right w:val="single" w:color="auto" w:sz="4" w:space="0"/>
                  </w:tcBorders>
                  <w:vAlign w:val="center"/>
                </w:tcPr>
                <w:p>
                  <w:pPr>
                    <w:pStyle w:val="47"/>
                  </w:pPr>
                  <w:r>
                    <w:t>地面3层</w:t>
                  </w:r>
                </w:p>
              </w:tc>
              <w:tc>
                <w:tcPr>
                  <w:tcW w:w="438" w:type="pct"/>
                  <w:tcBorders>
                    <w:top w:val="single" w:color="auto" w:sz="4" w:space="0"/>
                    <w:left w:val="single" w:color="auto" w:sz="4" w:space="0"/>
                    <w:bottom w:val="single" w:color="auto" w:sz="4" w:space="0"/>
                    <w:right w:val="single" w:color="auto" w:sz="4" w:space="0"/>
                  </w:tcBorders>
                  <w:vAlign w:val="center"/>
                </w:tcPr>
                <w:p>
                  <w:pPr>
                    <w:pStyle w:val="47"/>
                  </w:pPr>
                  <w:r>
                    <w:t>间歇</w:t>
                  </w:r>
                </w:p>
              </w:tc>
              <w:tc>
                <w:tcPr>
                  <w:tcW w:w="464" w:type="pct"/>
                  <w:tcBorders>
                    <w:top w:val="single" w:color="auto" w:sz="4" w:space="0"/>
                    <w:left w:val="single" w:color="auto" w:sz="4" w:space="0"/>
                    <w:bottom w:val="single" w:color="auto" w:sz="4" w:space="0"/>
                    <w:right w:val="single" w:color="auto" w:sz="4" w:space="0"/>
                  </w:tcBorders>
                  <w:vAlign w:val="center"/>
                </w:tcPr>
                <w:p>
                  <w:pPr>
                    <w:pStyle w:val="47"/>
                  </w:pPr>
                  <w:r>
                    <w:t>75~80</w:t>
                  </w:r>
                </w:p>
              </w:tc>
              <w:tc>
                <w:tcPr>
                  <w:tcW w:w="372" w:type="pct"/>
                  <w:vMerge w:val="continue"/>
                  <w:tcBorders>
                    <w:left w:val="single" w:color="auto" w:sz="4" w:space="0"/>
                    <w:right w:val="single" w:color="auto" w:sz="4" w:space="0"/>
                  </w:tcBorders>
                  <w:vAlign w:val="center"/>
                </w:tcPr>
                <w:p>
                  <w:pPr>
                    <w:pStyle w:val="49"/>
                    <w:rPr>
                      <w:szCs w:val="21"/>
                    </w:rPr>
                  </w:pPr>
                </w:p>
              </w:tc>
              <w:tc>
                <w:tcPr>
                  <w:tcW w:w="436" w:type="pct"/>
                  <w:vMerge w:val="continue"/>
                  <w:tcBorders>
                    <w:left w:val="single" w:color="auto" w:sz="4" w:space="0"/>
                    <w:right w:val="single" w:color="auto" w:sz="4" w:space="0"/>
                  </w:tcBorders>
                  <w:vAlign w:val="center"/>
                </w:tcPr>
                <w:p>
                  <w:pPr>
                    <w:pStyle w:val="49"/>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18</w:t>
                  </w:r>
                </w:p>
              </w:tc>
              <w:tc>
                <w:tcPr>
                  <w:tcW w:w="97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立式机械式插纸机</w:t>
                  </w:r>
                </w:p>
              </w:tc>
              <w:tc>
                <w:tcPr>
                  <w:tcW w:w="48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w:t>
                  </w:r>
                </w:p>
              </w:tc>
              <w:tc>
                <w:tcPr>
                  <w:tcW w:w="524" w:type="pct"/>
                  <w:vMerge w:val="continue"/>
                  <w:tcBorders>
                    <w:left w:val="single" w:color="auto" w:sz="4" w:space="0"/>
                    <w:right w:val="single" w:color="auto" w:sz="4" w:space="0"/>
                  </w:tcBorders>
                  <w:vAlign w:val="center"/>
                </w:tcPr>
                <w:p>
                  <w:pPr>
                    <w:pStyle w:val="47"/>
                  </w:pPr>
                </w:p>
              </w:tc>
              <w:tc>
                <w:tcPr>
                  <w:tcW w:w="404" w:type="pct"/>
                  <w:vMerge w:val="continue"/>
                  <w:tcBorders>
                    <w:left w:val="single" w:color="auto" w:sz="4" w:space="0"/>
                    <w:right w:val="single" w:color="auto" w:sz="4" w:space="0"/>
                  </w:tcBorders>
                  <w:vAlign w:val="center"/>
                </w:tcPr>
                <w:p>
                  <w:pPr>
                    <w:pStyle w:val="47"/>
                  </w:pPr>
                </w:p>
              </w:tc>
              <w:tc>
                <w:tcPr>
                  <w:tcW w:w="611" w:type="pct"/>
                  <w:tcBorders>
                    <w:top w:val="single" w:color="auto" w:sz="4" w:space="0"/>
                    <w:left w:val="single" w:color="auto" w:sz="4" w:space="0"/>
                    <w:bottom w:val="single" w:color="auto" w:sz="4" w:space="0"/>
                    <w:right w:val="single" w:color="auto" w:sz="4" w:space="0"/>
                  </w:tcBorders>
                  <w:vAlign w:val="center"/>
                </w:tcPr>
                <w:p>
                  <w:pPr>
                    <w:pStyle w:val="47"/>
                  </w:pPr>
                  <w:r>
                    <w:t>地面3层</w:t>
                  </w:r>
                </w:p>
              </w:tc>
              <w:tc>
                <w:tcPr>
                  <w:tcW w:w="438" w:type="pct"/>
                  <w:tcBorders>
                    <w:top w:val="single" w:color="auto" w:sz="4" w:space="0"/>
                    <w:left w:val="single" w:color="auto" w:sz="4" w:space="0"/>
                    <w:bottom w:val="single" w:color="auto" w:sz="4" w:space="0"/>
                    <w:right w:val="single" w:color="auto" w:sz="4" w:space="0"/>
                  </w:tcBorders>
                  <w:vAlign w:val="center"/>
                </w:tcPr>
                <w:p>
                  <w:pPr>
                    <w:pStyle w:val="47"/>
                  </w:pPr>
                  <w:r>
                    <w:t>间歇</w:t>
                  </w:r>
                </w:p>
              </w:tc>
              <w:tc>
                <w:tcPr>
                  <w:tcW w:w="464" w:type="pct"/>
                  <w:tcBorders>
                    <w:top w:val="single" w:color="auto" w:sz="4" w:space="0"/>
                    <w:left w:val="single" w:color="auto" w:sz="4" w:space="0"/>
                    <w:bottom w:val="single" w:color="auto" w:sz="4" w:space="0"/>
                    <w:right w:val="single" w:color="auto" w:sz="4" w:space="0"/>
                  </w:tcBorders>
                  <w:vAlign w:val="center"/>
                </w:tcPr>
                <w:p>
                  <w:pPr>
                    <w:pStyle w:val="47"/>
                  </w:pPr>
                  <w:r>
                    <w:t>75~80</w:t>
                  </w:r>
                </w:p>
              </w:tc>
              <w:tc>
                <w:tcPr>
                  <w:tcW w:w="372" w:type="pct"/>
                  <w:vMerge w:val="continue"/>
                  <w:tcBorders>
                    <w:left w:val="single" w:color="auto" w:sz="4" w:space="0"/>
                    <w:right w:val="single" w:color="auto" w:sz="4" w:space="0"/>
                  </w:tcBorders>
                  <w:vAlign w:val="center"/>
                </w:tcPr>
                <w:p>
                  <w:pPr>
                    <w:pStyle w:val="49"/>
                    <w:rPr>
                      <w:szCs w:val="21"/>
                    </w:rPr>
                  </w:pPr>
                </w:p>
              </w:tc>
              <w:tc>
                <w:tcPr>
                  <w:tcW w:w="436" w:type="pct"/>
                  <w:vMerge w:val="continue"/>
                  <w:tcBorders>
                    <w:left w:val="single" w:color="auto" w:sz="4" w:space="0"/>
                    <w:right w:val="single" w:color="auto" w:sz="4" w:space="0"/>
                  </w:tcBorders>
                  <w:vAlign w:val="center"/>
                </w:tcPr>
                <w:p>
                  <w:pPr>
                    <w:pStyle w:val="49"/>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19</w:t>
                  </w:r>
                </w:p>
              </w:tc>
              <w:tc>
                <w:tcPr>
                  <w:tcW w:w="971" w:type="pct"/>
                  <w:tcBorders>
                    <w:top w:val="single" w:color="auto" w:sz="4" w:space="0"/>
                    <w:left w:val="single" w:color="auto" w:sz="4" w:space="0"/>
                    <w:bottom w:val="single" w:color="auto" w:sz="4" w:space="0"/>
                    <w:right w:val="single" w:color="auto" w:sz="4" w:space="0"/>
                  </w:tcBorders>
                  <w:vAlign w:val="center"/>
                </w:tcPr>
                <w:p>
                  <w:pPr>
                    <w:pStyle w:val="47"/>
                  </w:pPr>
                  <w:r>
                    <w:t>喷油螺杆空压机</w:t>
                  </w:r>
                </w:p>
              </w:tc>
              <w:tc>
                <w:tcPr>
                  <w:tcW w:w="48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2</w:t>
                  </w:r>
                </w:p>
              </w:tc>
              <w:tc>
                <w:tcPr>
                  <w:tcW w:w="524" w:type="pct"/>
                  <w:vMerge w:val="continue"/>
                  <w:tcBorders>
                    <w:left w:val="single" w:color="auto" w:sz="4" w:space="0"/>
                    <w:right w:val="single" w:color="auto" w:sz="4" w:space="0"/>
                  </w:tcBorders>
                  <w:vAlign w:val="center"/>
                </w:tcPr>
                <w:p>
                  <w:pPr>
                    <w:pStyle w:val="47"/>
                  </w:pPr>
                </w:p>
              </w:tc>
              <w:tc>
                <w:tcPr>
                  <w:tcW w:w="404" w:type="pct"/>
                  <w:vMerge w:val="continue"/>
                  <w:tcBorders>
                    <w:left w:val="single" w:color="auto" w:sz="4" w:space="0"/>
                    <w:right w:val="single" w:color="auto" w:sz="4" w:space="0"/>
                  </w:tcBorders>
                  <w:vAlign w:val="center"/>
                </w:tcPr>
                <w:p>
                  <w:pPr>
                    <w:pStyle w:val="47"/>
                  </w:pPr>
                </w:p>
              </w:tc>
              <w:tc>
                <w:tcPr>
                  <w:tcW w:w="611" w:type="pct"/>
                  <w:tcBorders>
                    <w:top w:val="single" w:color="auto" w:sz="4" w:space="0"/>
                    <w:left w:val="single" w:color="auto" w:sz="4" w:space="0"/>
                    <w:bottom w:val="single" w:color="auto" w:sz="4" w:space="0"/>
                    <w:right w:val="single" w:color="auto" w:sz="4" w:space="0"/>
                  </w:tcBorders>
                  <w:vAlign w:val="center"/>
                </w:tcPr>
                <w:p>
                  <w:pPr>
                    <w:pStyle w:val="47"/>
                  </w:pPr>
                  <w:r>
                    <w:t>地面3层</w:t>
                  </w:r>
                </w:p>
              </w:tc>
              <w:tc>
                <w:tcPr>
                  <w:tcW w:w="438" w:type="pct"/>
                  <w:tcBorders>
                    <w:top w:val="single" w:color="auto" w:sz="4" w:space="0"/>
                    <w:left w:val="single" w:color="auto" w:sz="4" w:space="0"/>
                    <w:bottom w:val="single" w:color="auto" w:sz="4" w:space="0"/>
                    <w:right w:val="single" w:color="auto" w:sz="4" w:space="0"/>
                  </w:tcBorders>
                  <w:vAlign w:val="center"/>
                </w:tcPr>
                <w:p>
                  <w:pPr>
                    <w:pStyle w:val="47"/>
                  </w:pPr>
                  <w:r>
                    <w:t>间歇</w:t>
                  </w:r>
                </w:p>
              </w:tc>
              <w:tc>
                <w:tcPr>
                  <w:tcW w:w="464" w:type="pct"/>
                  <w:tcBorders>
                    <w:top w:val="single" w:color="auto" w:sz="4" w:space="0"/>
                    <w:left w:val="single" w:color="auto" w:sz="4" w:space="0"/>
                    <w:bottom w:val="single" w:color="auto" w:sz="4" w:space="0"/>
                    <w:right w:val="single" w:color="auto" w:sz="4" w:space="0"/>
                  </w:tcBorders>
                  <w:vAlign w:val="center"/>
                </w:tcPr>
                <w:p>
                  <w:pPr>
                    <w:pStyle w:val="47"/>
                  </w:pPr>
                  <w:r>
                    <w:t>80~85</w:t>
                  </w:r>
                </w:p>
              </w:tc>
              <w:tc>
                <w:tcPr>
                  <w:tcW w:w="372" w:type="pct"/>
                  <w:vMerge w:val="continue"/>
                  <w:tcBorders>
                    <w:left w:val="single" w:color="auto" w:sz="4" w:space="0"/>
                    <w:right w:val="single" w:color="auto" w:sz="4" w:space="0"/>
                  </w:tcBorders>
                  <w:vAlign w:val="center"/>
                </w:tcPr>
                <w:p>
                  <w:pPr>
                    <w:pStyle w:val="49"/>
                    <w:rPr>
                      <w:szCs w:val="21"/>
                    </w:rPr>
                  </w:pPr>
                </w:p>
              </w:tc>
              <w:tc>
                <w:tcPr>
                  <w:tcW w:w="436" w:type="pct"/>
                  <w:vMerge w:val="continue"/>
                  <w:tcBorders>
                    <w:left w:val="single" w:color="auto" w:sz="4" w:space="0"/>
                    <w:right w:val="single" w:color="auto" w:sz="4" w:space="0"/>
                  </w:tcBorders>
                  <w:vAlign w:val="center"/>
                </w:tcPr>
                <w:p>
                  <w:pPr>
                    <w:pStyle w:val="49"/>
                    <w:rPr>
                      <w:szCs w:val="21"/>
                    </w:rPr>
                  </w:pPr>
                </w:p>
              </w:tc>
            </w:tr>
          </w:tbl>
          <w:p>
            <w:pPr>
              <w:pStyle w:val="7"/>
              <w:spacing w:before="120" w:beforeLines="50"/>
            </w:pPr>
            <w:r>
              <w:t>5.2.3.4固体废弃物</w:t>
            </w:r>
            <w:bookmarkEnd w:id="133"/>
          </w:p>
          <w:p>
            <w:pPr>
              <w:ind w:firstLine="482"/>
              <w:rPr>
                <w:b/>
                <w:bCs/>
              </w:rPr>
            </w:pPr>
            <w:r>
              <w:rPr>
                <w:b/>
                <w:bCs/>
              </w:rPr>
              <w:t>一、副产物的种类及产生量</w:t>
            </w:r>
          </w:p>
          <w:p>
            <w:pPr>
              <w:ind w:firstLine="480"/>
            </w:pPr>
            <w:r>
              <w:t>本项目产生的副产物主要是一般包装材料、</w:t>
            </w:r>
            <w:r>
              <w:rPr>
                <w:rFonts w:hint="eastAsia"/>
              </w:rPr>
              <w:t>金属边角料</w:t>
            </w:r>
            <w:r>
              <w:t>、次品</w:t>
            </w:r>
            <w:r>
              <w:rPr>
                <w:szCs w:val="22"/>
              </w:rPr>
              <w:t>、废乳化液、</w:t>
            </w:r>
            <w:r>
              <w:rPr>
                <w:rFonts w:hint="eastAsia"/>
                <w:szCs w:val="22"/>
              </w:rPr>
              <w:t>废漆料、</w:t>
            </w:r>
            <w:r>
              <w:rPr>
                <w:szCs w:val="22"/>
              </w:rPr>
              <w:t>废包装桶、</w:t>
            </w:r>
            <w:r>
              <w:rPr>
                <w:rFonts w:hint="eastAsia"/>
                <w:szCs w:val="22"/>
              </w:rPr>
              <w:t>废机油、废油桶</w:t>
            </w:r>
            <w:r>
              <w:rPr>
                <w:szCs w:val="22"/>
              </w:rPr>
              <w:t>、</w:t>
            </w:r>
            <w:r>
              <w:rPr>
                <w:rFonts w:hint="eastAsia"/>
                <w:szCs w:val="22"/>
              </w:rPr>
              <w:t>金属沉渣、</w:t>
            </w:r>
            <w:r>
              <w:rPr>
                <w:szCs w:val="22"/>
              </w:rPr>
              <w:t>废活性炭</w:t>
            </w:r>
            <w:r>
              <w:rPr>
                <w:rFonts w:hint="eastAsia"/>
              </w:rPr>
              <w:t>、废滤芯</w:t>
            </w:r>
            <w:r>
              <w:rPr>
                <w:rFonts w:hint="eastAsia"/>
                <w:szCs w:val="22"/>
              </w:rPr>
              <w:t>、含漆废抹布和手套、含油废抹布和手套以及职工</w:t>
            </w:r>
            <w:r>
              <w:t>生活垃圾。</w:t>
            </w:r>
          </w:p>
          <w:p>
            <w:pPr>
              <w:numPr>
                <w:ilvl w:val="0"/>
                <w:numId w:val="1"/>
              </w:numPr>
              <w:ind w:firstLine="480"/>
            </w:pPr>
            <w:r>
              <w:t>一般包装材料S</w:t>
            </w:r>
            <w:r>
              <w:rPr>
                <w:vertAlign w:val="subscript"/>
              </w:rPr>
              <w:t>1</w:t>
            </w:r>
          </w:p>
          <w:p>
            <w:pPr>
              <w:ind w:firstLine="480"/>
            </w:pPr>
            <w:r>
              <w:t>本项目在电机毛坯、轴承、定子组件、转子组件等</w:t>
            </w:r>
            <w:r>
              <w:rPr>
                <w:rFonts w:hint="eastAsia"/>
              </w:rPr>
              <w:t>原材料</w:t>
            </w:r>
            <w:r>
              <w:t>使用后会产生一般包装材料，</w:t>
            </w:r>
            <w:r>
              <w:rPr>
                <w:szCs w:val="22"/>
              </w:rPr>
              <w:t>主要为塑料袋、纸箱等，根据</w:t>
            </w:r>
            <w:r>
              <w:rPr>
                <w:rFonts w:hint="eastAsia"/>
                <w:szCs w:val="22"/>
              </w:rPr>
              <w:t>企业提供的资料</w:t>
            </w:r>
            <w:r>
              <w:rPr>
                <w:szCs w:val="22"/>
              </w:rPr>
              <w:t>，</w:t>
            </w:r>
            <w:r>
              <w:rPr>
                <w:rFonts w:hint="eastAsia"/>
                <w:szCs w:val="22"/>
              </w:rPr>
              <w:t>一般包装材料</w:t>
            </w:r>
            <w:r>
              <w:rPr>
                <w:szCs w:val="22"/>
              </w:rPr>
              <w:t>产生量约为4.0t/a。</w:t>
            </w:r>
          </w:p>
          <w:p>
            <w:pPr>
              <w:ind w:firstLine="480"/>
            </w:pPr>
            <w:r>
              <w:t>（2）</w:t>
            </w:r>
            <w:r>
              <w:rPr>
                <w:rFonts w:hint="eastAsia"/>
              </w:rPr>
              <w:t>金属</w:t>
            </w:r>
            <w:r>
              <w:t>边角料S</w:t>
            </w:r>
            <w:r>
              <w:rPr>
                <w:vertAlign w:val="subscript"/>
              </w:rPr>
              <w:t>2</w:t>
            </w:r>
          </w:p>
          <w:p>
            <w:pPr>
              <w:ind w:firstLine="480"/>
            </w:pPr>
            <w:r>
              <w:t>本项目在</w:t>
            </w:r>
            <w:r>
              <w:rPr>
                <w:rFonts w:hint="eastAsia"/>
              </w:rPr>
              <w:t>下料、粗车、普铣、精车、打孔、攻丝</w:t>
            </w:r>
            <w:r>
              <w:t>等机加工工序中产生金属边角料，根据</w:t>
            </w:r>
            <w:r>
              <w:rPr>
                <w:rFonts w:hint="eastAsia"/>
              </w:rPr>
              <w:t>企业提供的资料</w:t>
            </w:r>
            <w:r>
              <w:t>，</w:t>
            </w:r>
            <w:r>
              <w:rPr>
                <w:rFonts w:hint="eastAsia"/>
              </w:rPr>
              <w:t>金属</w:t>
            </w:r>
            <w:r>
              <w:t>边角料产生量约为5.0t/a。</w:t>
            </w:r>
          </w:p>
          <w:p>
            <w:pPr>
              <w:ind w:firstLine="480"/>
            </w:pPr>
            <w:r>
              <w:t>（</w:t>
            </w:r>
            <w:r>
              <w:rPr>
                <w:rFonts w:hint="eastAsia"/>
              </w:rPr>
              <w:t>3</w:t>
            </w:r>
            <w:r>
              <w:t>）次品S</w:t>
            </w:r>
            <w:r>
              <w:rPr>
                <w:rFonts w:hint="eastAsia"/>
                <w:vertAlign w:val="subscript"/>
              </w:rPr>
              <w:t>3</w:t>
            </w:r>
          </w:p>
          <w:p>
            <w:pPr>
              <w:ind w:firstLine="480"/>
            </w:pPr>
            <w:r>
              <w:t>本项目在检测过程中会产生不合格产品，即为次品，根据</w:t>
            </w:r>
            <w:r>
              <w:rPr>
                <w:rFonts w:hint="eastAsia"/>
              </w:rPr>
              <w:t>企业提供的资料</w:t>
            </w:r>
            <w:r>
              <w:t>，次品产生量约为1.0t/a。</w:t>
            </w:r>
          </w:p>
          <w:p>
            <w:pPr>
              <w:ind w:firstLine="480"/>
            </w:pPr>
            <w:r>
              <w:t>（</w:t>
            </w:r>
            <w:r>
              <w:rPr>
                <w:rFonts w:hint="eastAsia"/>
              </w:rPr>
              <w:t>4</w:t>
            </w:r>
            <w:r>
              <w:t>）废乳化液S</w:t>
            </w:r>
            <w:r>
              <w:rPr>
                <w:rFonts w:hint="eastAsia"/>
                <w:vertAlign w:val="subscript"/>
              </w:rPr>
              <w:t>4</w:t>
            </w:r>
          </w:p>
          <w:p>
            <w:pPr>
              <w:ind w:firstLine="480"/>
            </w:pPr>
            <w:r>
              <w:t>本项</w:t>
            </w:r>
            <w:r>
              <w:rPr>
                <w:szCs w:val="22"/>
              </w:rPr>
              <w:t>目</w:t>
            </w:r>
            <w:r>
              <w:rPr>
                <w:rFonts w:hint="eastAsia"/>
                <w:szCs w:val="22"/>
              </w:rPr>
              <w:t>产品在机加工设备进行粗车、普铣、精车</w:t>
            </w:r>
            <w:r>
              <w:rPr>
                <w:szCs w:val="22"/>
              </w:rPr>
              <w:t>时</w:t>
            </w:r>
            <w:r>
              <w:rPr>
                <w:rFonts w:hint="eastAsia"/>
                <w:szCs w:val="22"/>
              </w:rPr>
              <w:t>需</w:t>
            </w:r>
            <w:r>
              <w:rPr>
                <w:szCs w:val="22"/>
              </w:rPr>
              <w:t>使用</w:t>
            </w:r>
            <w:r>
              <w:rPr>
                <w:rFonts w:hint="eastAsia"/>
                <w:szCs w:val="22"/>
              </w:rPr>
              <w:t>到</w:t>
            </w:r>
            <w:r>
              <w:rPr>
                <w:szCs w:val="22"/>
              </w:rPr>
              <w:t>乳化液</w:t>
            </w:r>
            <w:r>
              <w:rPr>
                <w:rFonts w:hint="eastAsia"/>
                <w:szCs w:val="22"/>
              </w:rPr>
              <w:t>，乳化液企业</w:t>
            </w:r>
            <w:r>
              <w:rPr>
                <w:szCs w:val="22"/>
              </w:rPr>
              <w:t>循环使用</w:t>
            </w:r>
            <w:r>
              <w:rPr>
                <w:rFonts w:hint="eastAsia"/>
                <w:szCs w:val="22"/>
              </w:rPr>
              <w:t>，</w:t>
            </w:r>
            <w:r>
              <w:rPr>
                <w:szCs w:val="22"/>
              </w:rPr>
              <w:t>定期更换，</w:t>
            </w:r>
            <w:r>
              <w:rPr>
                <w:rFonts w:hint="eastAsia"/>
                <w:szCs w:val="22"/>
              </w:rPr>
              <w:t>根据企业提供资料，</w:t>
            </w:r>
            <w:r>
              <w:t>加工过程中损耗量约为</w:t>
            </w:r>
            <w:r>
              <w:rPr>
                <w:rFonts w:hint="eastAsia"/>
              </w:rPr>
              <w:t>1</w:t>
            </w:r>
            <w:r>
              <w:t>.0t/a</w:t>
            </w:r>
            <w:r>
              <w:rPr>
                <w:rFonts w:hint="eastAsia"/>
              </w:rPr>
              <w:t>，</w:t>
            </w:r>
            <w:r>
              <w:rPr>
                <w:rFonts w:hint="eastAsia"/>
                <w:szCs w:val="22"/>
              </w:rPr>
              <w:t>年更换量约为1.0t/a。</w:t>
            </w:r>
          </w:p>
          <w:p>
            <w:pPr>
              <w:ind w:firstLine="480"/>
            </w:pPr>
            <w:r>
              <w:t>（5）</w:t>
            </w:r>
            <w:r>
              <w:rPr>
                <w:rFonts w:hint="eastAsia"/>
              </w:rPr>
              <w:t>废漆料S</w:t>
            </w:r>
            <w:r>
              <w:rPr>
                <w:rFonts w:hint="eastAsia"/>
                <w:vertAlign w:val="subscript"/>
              </w:rPr>
              <w:t>5</w:t>
            </w:r>
          </w:p>
          <w:p>
            <w:pPr>
              <w:ind w:firstLine="480"/>
            </w:pPr>
            <w:r>
              <w:rPr>
                <w:rFonts w:hint="eastAsia"/>
              </w:rPr>
              <w:t>本项目环保型绝缘漆在使用过程中有少量废漆料</w:t>
            </w:r>
            <w:r>
              <w:rPr>
                <w:szCs w:val="22"/>
              </w:rPr>
              <w:t>，</w:t>
            </w:r>
            <w:r>
              <w:rPr>
                <w:rFonts w:hint="eastAsia"/>
                <w:szCs w:val="22"/>
              </w:rPr>
              <w:t>根据企业提供资料，真空浸漆过程中废漆料产生量约0.2t/a。</w:t>
            </w:r>
          </w:p>
          <w:p>
            <w:pPr>
              <w:ind w:firstLine="480"/>
            </w:pPr>
            <w:r>
              <w:rPr>
                <w:rFonts w:hint="eastAsia"/>
              </w:rPr>
              <w:t>（6）</w:t>
            </w:r>
            <w:r>
              <w:t>废包装桶S</w:t>
            </w:r>
            <w:r>
              <w:rPr>
                <w:rFonts w:hint="eastAsia"/>
                <w:vertAlign w:val="subscript"/>
              </w:rPr>
              <w:t>6</w:t>
            </w:r>
          </w:p>
          <w:p>
            <w:pPr>
              <w:ind w:firstLine="480"/>
            </w:pPr>
            <w:r>
              <w:t>本项目乳化液</w:t>
            </w:r>
            <w:r>
              <w:rPr>
                <w:rFonts w:hint="eastAsia"/>
              </w:rPr>
              <w:t>、绝缘漆</w:t>
            </w:r>
            <w:r>
              <w:t>在使用过程中会产生</w:t>
            </w:r>
            <w:r>
              <w:rPr>
                <w:rFonts w:hint="eastAsia"/>
              </w:rPr>
              <w:t>沾染少量乳化液、绝缘漆的</w:t>
            </w:r>
            <w:r>
              <w:t>废包装桶</w:t>
            </w:r>
            <w:r>
              <w:rPr>
                <w:rFonts w:hint="eastAsia"/>
              </w:rPr>
              <w:t>，</w:t>
            </w:r>
            <w:r>
              <w:t>根据</w:t>
            </w:r>
            <w:r>
              <w:rPr>
                <w:rFonts w:hint="eastAsia"/>
              </w:rPr>
              <w:t>企业提供的原辅料包装</w:t>
            </w:r>
            <w:r>
              <w:rPr>
                <w:rFonts w:hint="eastAsia"/>
                <w:szCs w:val="22"/>
              </w:rPr>
              <w:t>规格和消耗情况（见表5-8）</w:t>
            </w:r>
            <w:r>
              <w:rPr>
                <w:szCs w:val="22"/>
              </w:rPr>
              <w:t>，废包装桶产生量约为0.</w:t>
            </w:r>
            <w:r>
              <w:rPr>
                <w:rFonts w:hint="eastAsia"/>
                <w:szCs w:val="22"/>
              </w:rPr>
              <w:t>3</w:t>
            </w:r>
            <w:r>
              <w:rPr>
                <w:szCs w:val="22"/>
              </w:rPr>
              <w:t>t/a</w:t>
            </w:r>
            <w:r>
              <w:rPr>
                <w:rFonts w:hint="eastAsia"/>
                <w:szCs w:val="22"/>
              </w:rPr>
              <w:t>。</w:t>
            </w:r>
          </w:p>
          <w:p>
            <w:pPr>
              <w:pStyle w:val="46"/>
            </w:pPr>
            <w:r>
              <w:rPr>
                <w:rFonts w:hint="eastAsia"/>
              </w:rPr>
              <w:t>表5-8 本项目乳化液包装桶年产生情况</w:t>
            </w:r>
          </w:p>
          <w:tbl>
            <w:tblPr>
              <w:tblStyle w:val="34"/>
              <w:tblW w:w="87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665"/>
              <w:gridCol w:w="1020"/>
              <w:gridCol w:w="1530"/>
              <w:gridCol w:w="1275"/>
              <w:gridCol w:w="1314"/>
              <w:gridCol w:w="1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dxa"/>
                  <w:vAlign w:val="center"/>
                </w:tcPr>
                <w:p>
                  <w:pPr>
                    <w:pStyle w:val="46"/>
                  </w:pPr>
                  <w:r>
                    <w:rPr>
                      <w:rFonts w:hint="eastAsia"/>
                    </w:rPr>
                    <w:t>序号</w:t>
                  </w:r>
                </w:p>
              </w:tc>
              <w:tc>
                <w:tcPr>
                  <w:tcW w:w="1665" w:type="dxa"/>
                  <w:vAlign w:val="center"/>
                </w:tcPr>
                <w:p>
                  <w:pPr>
                    <w:pStyle w:val="46"/>
                  </w:pPr>
                  <w:r>
                    <w:rPr>
                      <w:rFonts w:hint="eastAsia"/>
                    </w:rPr>
                    <w:t>原料</w:t>
                  </w:r>
                </w:p>
              </w:tc>
              <w:tc>
                <w:tcPr>
                  <w:tcW w:w="1020" w:type="dxa"/>
                  <w:vAlign w:val="center"/>
                </w:tcPr>
                <w:p>
                  <w:pPr>
                    <w:pStyle w:val="46"/>
                  </w:pPr>
                  <w:r>
                    <w:rPr>
                      <w:rFonts w:hint="eastAsia"/>
                    </w:rPr>
                    <w:t>消耗量（</w:t>
                  </w:r>
                  <w:r>
                    <w:t>t/a</w:t>
                  </w:r>
                  <w:r>
                    <w:rPr>
                      <w:rFonts w:hint="eastAsia"/>
                    </w:rPr>
                    <w:t>）</w:t>
                  </w:r>
                </w:p>
              </w:tc>
              <w:tc>
                <w:tcPr>
                  <w:tcW w:w="1530" w:type="dxa"/>
                  <w:vAlign w:val="center"/>
                </w:tcPr>
                <w:p>
                  <w:pPr>
                    <w:pStyle w:val="46"/>
                  </w:pPr>
                  <w:r>
                    <w:rPr>
                      <w:rFonts w:hint="eastAsia"/>
                    </w:rPr>
                    <w:t>包装规格</w:t>
                  </w:r>
                </w:p>
              </w:tc>
              <w:tc>
                <w:tcPr>
                  <w:tcW w:w="1275" w:type="dxa"/>
                  <w:vAlign w:val="center"/>
                </w:tcPr>
                <w:p>
                  <w:pPr>
                    <w:pStyle w:val="46"/>
                  </w:pPr>
                  <w:r>
                    <w:rPr>
                      <w:rFonts w:hint="eastAsia"/>
                    </w:rPr>
                    <w:t>年产生包装桶数量</w:t>
                  </w:r>
                </w:p>
              </w:tc>
              <w:tc>
                <w:tcPr>
                  <w:tcW w:w="1314" w:type="dxa"/>
                  <w:vAlign w:val="center"/>
                </w:tcPr>
                <w:p>
                  <w:pPr>
                    <w:pStyle w:val="46"/>
                  </w:pPr>
                  <w:r>
                    <w:rPr>
                      <w:rFonts w:hint="eastAsia"/>
                    </w:rPr>
                    <w:t>单个包装桶重量（</w:t>
                  </w:r>
                  <w:r>
                    <w:t>kg</w:t>
                  </w:r>
                  <w:r>
                    <w:rPr>
                      <w:rFonts w:hint="eastAsia"/>
                    </w:rPr>
                    <w:t>）</w:t>
                  </w:r>
                </w:p>
              </w:tc>
              <w:tc>
                <w:tcPr>
                  <w:tcW w:w="1248" w:type="dxa"/>
                  <w:vAlign w:val="center"/>
                </w:tcPr>
                <w:p>
                  <w:pPr>
                    <w:pStyle w:val="46"/>
                  </w:pPr>
                  <w:r>
                    <w:rPr>
                      <w:rFonts w:hint="eastAsia"/>
                    </w:rPr>
                    <w:t>产生量（</w:t>
                  </w:r>
                  <w:r>
                    <w:t>t/a</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dxa"/>
                  <w:vAlign w:val="center"/>
                </w:tcPr>
                <w:p>
                  <w:pPr>
                    <w:pStyle w:val="47"/>
                  </w:pPr>
                  <w:r>
                    <w:rPr>
                      <w:rFonts w:hint="eastAsia"/>
                    </w:rPr>
                    <w:t>1</w:t>
                  </w:r>
                </w:p>
              </w:tc>
              <w:tc>
                <w:tcPr>
                  <w:tcW w:w="1665" w:type="dxa"/>
                  <w:vAlign w:val="center"/>
                </w:tcPr>
                <w:p>
                  <w:pPr>
                    <w:pStyle w:val="47"/>
                  </w:pPr>
                  <w:r>
                    <w:rPr>
                      <w:rFonts w:hint="eastAsia"/>
                    </w:rPr>
                    <w:t>乳化液</w:t>
                  </w:r>
                </w:p>
              </w:tc>
              <w:tc>
                <w:tcPr>
                  <w:tcW w:w="1020" w:type="dxa"/>
                  <w:vAlign w:val="center"/>
                </w:tcPr>
                <w:p>
                  <w:pPr>
                    <w:pStyle w:val="47"/>
                  </w:pPr>
                  <w:r>
                    <w:rPr>
                      <w:rFonts w:hint="eastAsia"/>
                    </w:rPr>
                    <w:t>2</w:t>
                  </w:r>
                </w:p>
              </w:tc>
              <w:tc>
                <w:tcPr>
                  <w:tcW w:w="1530" w:type="dxa"/>
                  <w:vAlign w:val="center"/>
                </w:tcPr>
                <w:p>
                  <w:pPr>
                    <w:pStyle w:val="47"/>
                    <w:rPr>
                      <w:szCs w:val="22"/>
                    </w:rPr>
                  </w:pPr>
                  <w:r>
                    <w:rPr>
                      <w:rFonts w:hint="eastAsia"/>
                      <w:szCs w:val="22"/>
                    </w:rPr>
                    <w:t>200kg/塑料桶</w:t>
                  </w:r>
                </w:p>
              </w:tc>
              <w:tc>
                <w:tcPr>
                  <w:tcW w:w="1275" w:type="dxa"/>
                  <w:vAlign w:val="center"/>
                </w:tcPr>
                <w:p>
                  <w:pPr>
                    <w:pStyle w:val="47"/>
                  </w:pPr>
                  <w:r>
                    <w:rPr>
                      <w:rFonts w:hint="eastAsia"/>
                    </w:rPr>
                    <w:t>10</w:t>
                  </w:r>
                </w:p>
              </w:tc>
              <w:tc>
                <w:tcPr>
                  <w:tcW w:w="1314" w:type="dxa"/>
                  <w:vAlign w:val="center"/>
                </w:tcPr>
                <w:p>
                  <w:pPr>
                    <w:pStyle w:val="47"/>
                  </w:pPr>
                  <w:r>
                    <w:rPr>
                      <w:rFonts w:hint="eastAsia"/>
                    </w:rPr>
                    <w:t>10</w:t>
                  </w:r>
                </w:p>
              </w:tc>
              <w:tc>
                <w:tcPr>
                  <w:tcW w:w="1248" w:type="dxa"/>
                  <w:vAlign w:val="center"/>
                </w:tcPr>
                <w:p>
                  <w:pPr>
                    <w:pStyle w:val="47"/>
                  </w:pPr>
                  <w:r>
                    <w:rPr>
                      <w:rFonts w:hint="eastAsia"/>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dxa"/>
                  <w:vAlign w:val="center"/>
                </w:tcPr>
                <w:p>
                  <w:pPr>
                    <w:pStyle w:val="47"/>
                  </w:pPr>
                  <w:r>
                    <w:rPr>
                      <w:rFonts w:hint="eastAsia"/>
                    </w:rPr>
                    <w:t>2</w:t>
                  </w:r>
                </w:p>
              </w:tc>
              <w:tc>
                <w:tcPr>
                  <w:tcW w:w="1665" w:type="dxa"/>
                  <w:vAlign w:val="center"/>
                </w:tcPr>
                <w:p>
                  <w:pPr>
                    <w:pStyle w:val="47"/>
                  </w:pPr>
                  <w:r>
                    <w:rPr>
                      <w:rFonts w:hint="eastAsia"/>
                    </w:rPr>
                    <w:t>环保型绝缘漆</w:t>
                  </w:r>
                </w:p>
              </w:tc>
              <w:tc>
                <w:tcPr>
                  <w:tcW w:w="1020" w:type="dxa"/>
                  <w:vAlign w:val="center"/>
                </w:tcPr>
                <w:p>
                  <w:pPr>
                    <w:pStyle w:val="47"/>
                  </w:pPr>
                  <w:r>
                    <w:rPr>
                      <w:rFonts w:hint="eastAsia"/>
                    </w:rPr>
                    <w:t>2</w:t>
                  </w:r>
                </w:p>
              </w:tc>
              <w:tc>
                <w:tcPr>
                  <w:tcW w:w="1530" w:type="dxa"/>
                  <w:vAlign w:val="center"/>
                </w:tcPr>
                <w:p>
                  <w:pPr>
                    <w:pStyle w:val="47"/>
                    <w:rPr>
                      <w:szCs w:val="22"/>
                    </w:rPr>
                  </w:pPr>
                  <w:r>
                    <w:rPr>
                      <w:rFonts w:hint="eastAsia"/>
                      <w:szCs w:val="22"/>
                    </w:rPr>
                    <w:t>20kg/塑料桶</w:t>
                  </w:r>
                </w:p>
              </w:tc>
              <w:tc>
                <w:tcPr>
                  <w:tcW w:w="1275" w:type="dxa"/>
                  <w:vAlign w:val="center"/>
                </w:tcPr>
                <w:p>
                  <w:pPr>
                    <w:pStyle w:val="47"/>
                  </w:pPr>
                  <w:r>
                    <w:rPr>
                      <w:rFonts w:hint="eastAsia"/>
                    </w:rPr>
                    <w:t>100</w:t>
                  </w:r>
                </w:p>
              </w:tc>
              <w:tc>
                <w:tcPr>
                  <w:tcW w:w="1314" w:type="dxa"/>
                  <w:vAlign w:val="center"/>
                </w:tcPr>
                <w:p>
                  <w:pPr>
                    <w:pStyle w:val="47"/>
                  </w:pPr>
                  <w:r>
                    <w:rPr>
                      <w:rFonts w:hint="eastAsia"/>
                    </w:rPr>
                    <w:t>2</w:t>
                  </w:r>
                </w:p>
              </w:tc>
              <w:tc>
                <w:tcPr>
                  <w:tcW w:w="1248" w:type="dxa"/>
                  <w:vAlign w:val="center"/>
                </w:tcPr>
                <w:p>
                  <w:pPr>
                    <w:pStyle w:val="47"/>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82" w:type="dxa"/>
                  <w:gridSpan w:val="6"/>
                  <w:vAlign w:val="center"/>
                </w:tcPr>
                <w:p>
                  <w:pPr>
                    <w:pStyle w:val="47"/>
                  </w:pPr>
                  <w:r>
                    <w:rPr>
                      <w:rFonts w:hint="eastAsia"/>
                    </w:rPr>
                    <w:t>合计</w:t>
                  </w:r>
                </w:p>
              </w:tc>
              <w:tc>
                <w:tcPr>
                  <w:tcW w:w="1248" w:type="dxa"/>
                  <w:vAlign w:val="center"/>
                </w:tcPr>
                <w:p>
                  <w:pPr>
                    <w:pStyle w:val="47"/>
                  </w:pPr>
                  <w:r>
                    <w:rPr>
                      <w:rFonts w:hint="eastAsia"/>
                    </w:rPr>
                    <w:t>0.3</w:t>
                  </w:r>
                </w:p>
              </w:tc>
            </w:tr>
          </w:tbl>
          <w:p>
            <w:pPr>
              <w:ind w:firstLine="480"/>
            </w:pPr>
            <w:r>
              <w:t>（</w:t>
            </w:r>
            <w:r>
              <w:rPr>
                <w:rFonts w:hint="eastAsia"/>
              </w:rPr>
              <w:t>7</w:t>
            </w:r>
            <w:r>
              <w:t>）</w:t>
            </w:r>
            <w:r>
              <w:rPr>
                <w:rFonts w:hint="eastAsia"/>
              </w:rPr>
              <w:t>废机油</w:t>
            </w:r>
            <w:r>
              <w:t>S</w:t>
            </w:r>
            <w:r>
              <w:rPr>
                <w:rFonts w:hint="eastAsia"/>
                <w:vertAlign w:val="subscript"/>
              </w:rPr>
              <w:t>7</w:t>
            </w:r>
          </w:p>
          <w:p>
            <w:pPr>
              <w:ind w:firstLine="480"/>
            </w:pPr>
            <w:r>
              <w:rPr>
                <w:rFonts w:hint="eastAsia"/>
              </w:rPr>
              <w:t>本</w:t>
            </w:r>
            <w:r>
              <w:rPr>
                <w:rFonts w:hint="eastAsia"/>
                <w:szCs w:val="22"/>
              </w:rPr>
              <w:t>项目生产设备需定期进行保养维护，在此过程中会有废机油产生，根据企业提供的资料，保养周期为一年进行一次，废</w:t>
            </w:r>
            <w:r>
              <w:rPr>
                <w:rFonts w:hint="eastAsia"/>
              </w:rPr>
              <w:t>机油产生量约为0.02t/a。</w:t>
            </w:r>
          </w:p>
          <w:p>
            <w:pPr>
              <w:ind w:firstLine="480"/>
            </w:pPr>
            <w:r>
              <w:rPr>
                <w:rFonts w:hint="eastAsia"/>
              </w:rPr>
              <w:t>（8）废油桶S</w:t>
            </w:r>
            <w:r>
              <w:rPr>
                <w:rFonts w:hint="eastAsia"/>
                <w:vertAlign w:val="subscript"/>
              </w:rPr>
              <w:t>8</w:t>
            </w:r>
          </w:p>
          <w:p>
            <w:pPr>
              <w:ind w:firstLine="480"/>
            </w:pPr>
            <w:r>
              <w:t>本项目</w:t>
            </w:r>
            <w:r>
              <w:rPr>
                <w:rFonts w:hint="eastAsia"/>
              </w:rPr>
              <w:t>机油、液压油</w:t>
            </w:r>
            <w:r>
              <w:t>在使用过程中会产生</w:t>
            </w:r>
            <w:r>
              <w:rPr>
                <w:rFonts w:hint="eastAsia"/>
              </w:rPr>
              <w:t>沾染少量机油、液压油的</w:t>
            </w:r>
            <w:r>
              <w:t>废包装桶</w:t>
            </w:r>
            <w:r>
              <w:rPr>
                <w:rFonts w:hint="eastAsia"/>
              </w:rPr>
              <w:t>，</w:t>
            </w:r>
            <w:r>
              <w:t>根据</w:t>
            </w:r>
            <w:r>
              <w:rPr>
                <w:rFonts w:hint="eastAsia"/>
              </w:rPr>
              <w:t>企业提供的原辅料包装规格和消耗情况</w:t>
            </w:r>
            <w:r>
              <w:rPr>
                <w:rFonts w:hint="eastAsia"/>
                <w:szCs w:val="22"/>
              </w:rPr>
              <w:t>（见表5-9）</w:t>
            </w:r>
            <w:r>
              <w:t>，废</w:t>
            </w:r>
            <w:r>
              <w:rPr>
                <w:rFonts w:hint="eastAsia"/>
              </w:rPr>
              <w:t>油</w:t>
            </w:r>
            <w:r>
              <w:t>桶产生量约为0.</w:t>
            </w:r>
            <w:r>
              <w:rPr>
                <w:rFonts w:hint="eastAsia"/>
              </w:rPr>
              <w:t>004</w:t>
            </w:r>
            <w:r>
              <w:t>t/a</w:t>
            </w:r>
            <w:r>
              <w:rPr>
                <w:rFonts w:hint="eastAsia"/>
                <w:szCs w:val="22"/>
              </w:rPr>
              <w:t>。</w:t>
            </w:r>
          </w:p>
          <w:p>
            <w:pPr>
              <w:pStyle w:val="46"/>
            </w:pPr>
          </w:p>
          <w:p>
            <w:pPr>
              <w:pStyle w:val="46"/>
            </w:pPr>
            <w:r>
              <w:rPr>
                <w:rFonts w:hint="eastAsia"/>
              </w:rPr>
              <w:t>表5-9 本项目机油、液压油包装桶年产生情况</w:t>
            </w:r>
          </w:p>
          <w:tbl>
            <w:tblPr>
              <w:tblStyle w:val="34"/>
              <w:tblW w:w="87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440"/>
              <w:gridCol w:w="1005"/>
              <w:gridCol w:w="1453"/>
              <w:gridCol w:w="1157"/>
              <w:gridCol w:w="1749"/>
              <w:gridCol w:w="1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dxa"/>
                  <w:vAlign w:val="center"/>
                </w:tcPr>
                <w:p>
                  <w:pPr>
                    <w:pStyle w:val="46"/>
                  </w:pPr>
                  <w:r>
                    <w:rPr>
                      <w:rFonts w:hint="eastAsia"/>
                    </w:rPr>
                    <w:t>序号</w:t>
                  </w:r>
                </w:p>
              </w:tc>
              <w:tc>
                <w:tcPr>
                  <w:tcW w:w="1440" w:type="dxa"/>
                  <w:vAlign w:val="center"/>
                </w:tcPr>
                <w:p>
                  <w:pPr>
                    <w:pStyle w:val="46"/>
                  </w:pPr>
                  <w:r>
                    <w:rPr>
                      <w:rFonts w:hint="eastAsia"/>
                    </w:rPr>
                    <w:t>原料</w:t>
                  </w:r>
                </w:p>
              </w:tc>
              <w:tc>
                <w:tcPr>
                  <w:tcW w:w="1005" w:type="dxa"/>
                  <w:vAlign w:val="center"/>
                </w:tcPr>
                <w:p>
                  <w:pPr>
                    <w:pStyle w:val="46"/>
                  </w:pPr>
                  <w:r>
                    <w:rPr>
                      <w:rFonts w:hint="eastAsia"/>
                    </w:rPr>
                    <w:t>消耗量（</w:t>
                  </w:r>
                  <w:r>
                    <w:t>t/a</w:t>
                  </w:r>
                  <w:r>
                    <w:rPr>
                      <w:rFonts w:hint="eastAsia"/>
                    </w:rPr>
                    <w:t>）</w:t>
                  </w:r>
                </w:p>
              </w:tc>
              <w:tc>
                <w:tcPr>
                  <w:tcW w:w="1453" w:type="dxa"/>
                  <w:vAlign w:val="center"/>
                </w:tcPr>
                <w:p>
                  <w:pPr>
                    <w:pStyle w:val="46"/>
                  </w:pPr>
                  <w:r>
                    <w:rPr>
                      <w:rFonts w:hint="eastAsia"/>
                    </w:rPr>
                    <w:t>包装规格</w:t>
                  </w:r>
                </w:p>
              </w:tc>
              <w:tc>
                <w:tcPr>
                  <w:tcW w:w="1157" w:type="dxa"/>
                  <w:vAlign w:val="center"/>
                </w:tcPr>
                <w:p>
                  <w:pPr>
                    <w:pStyle w:val="46"/>
                  </w:pPr>
                  <w:r>
                    <w:rPr>
                      <w:rFonts w:hint="eastAsia"/>
                    </w:rPr>
                    <w:t>年产生包装桶数量</w:t>
                  </w:r>
                </w:p>
              </w:tc>
              <w:tc>
                <w:tcPr>
                  <w:tcW w:w="1749" w:type="dxa"/>
                  <w:vAlign w:val="center"/>
                </w:tcPr>
                <w:p>
                  <w:pPr>
                    <w:pStyle w:val="46"/>
                  </w:pPr>
                  <w:r>
                    <w:rPr>
                      <w:rFonts w:hint="eastAsia"/>
                    </w:rPr>
                    <w:t>单个包装桶重量（</w:t>
                  </w:r>
                  <w:r>
                    <w:t>kg</w:t>
                  </w:r>
                  <w:r>
                    <w:rPr>
                      <w:rFonts w:hint="eastAsia"/>
                    </w:rPr>
                    <w:t>）</w:t>
                  </w:r>
                </w:p>
              </w:tc>
              <w:tc>
                <w:tcPr>
                  <w:tcW w:w="1248" w:type="dxa"/>
                  <w:vAlign w:val="center"/>
                </w:tcPr>
                <w:p>
                  <w:pPr>
                    <w:pStyle w:val="46"/>
                  </w:pPr>
                  <w:r>
                    <w:rPr>
                      <w:rFonts w:hint="eastAsia"/>
                    </w:rPr>
                    <w:t>产生量（</w:t>
                  </w:r>
                  <w:r>
                    <w:t>t/a</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dxa"/>
                  <w:vAlign w:val="center"/>
                </w:tcPr>
                <w:p>
                  <w:pPr>
                    <w:pStyle w:val="47"/>
                  </w:pPr>
                  <w:r>
                    <w:rPr>
                      <w:rFonts w:hint="eastAsia"/>
                    </w:rPr>
                    <w:t>1</w:t>
                  </w:r>
                </w:p>
              </w:tc>
              <w:tc>
                <w:tcPr>
                  <w:tcW w:w="1440" w:type="dxa"/>
                  <w:vAlign w:val="center"/>
                </w:tcPr>
                <w:p>
                  <w:pPr>
                    <w:pStyle w:val="47"/>
                  </w:pPr>
                  <w:r>
                    <w:rPr>
                      <w:rFonts w:hint="eastAsia"/>
                    </w:rPr>
                    <w:t>机油</w:t>
                  </w:r>
                </w:p>
              </w:tc>
              <w:tc>
                <w:tcPr>
                  <w:tcW w:w="1005" w:type="dxa"/>
                  <w:vAlign w:val="center"/>
                </w:tcPr>
                <w:p>
                  <w:pPr>
                    <w:pStyle w:val="47"/>
                  </w:pPr>
                  <w:r>
                    <w:rPr>
                      <w:rFonts w:hint="eastAsia"/>
                    </w:rPr>
                    <w:t>0.02</w:t>
                  </w:r>
                </w:p>
              </w:tc>
              <w:tc>
                <w:tcPr>
                  <w:tcW w:w="1453" w:type="dxa"/>
                  <w:vAlign w:val="center"/>
                </w:tcPr>
                <w:p>
                  <w:pPr>
                    <w:pStyle w:val="47"/>
                    <w:rPr>
                      <w:szCs w:val="22"/>
                    </w:rPr>
                  </w:pPr>
                  <w:r>
                    <w:rPr>
                      <w:rFonts w:hint="eastAsia"/>
                      <w:szCs w:val="22"/>
                    </w:rPr>
                    <w:t>20kg/塑料桶</w:t>
                  </w:r>
                </w:p>
              </w:tc>
              <w:tc>
                <w:tcPr>
                  <w:tcW w:w="1157" w:type="dxa"/>
                  <w:vAlign w:val="center"/>
                </w:tcPr>
                <w:p>
                  <w:pPr>
                    <w:pStyle w:val="47"/>
                  </w:pPr>
                  <w:r>
                    <w:rPr>
                      <w:rFonts w:hint="eastAsia"/>
                    </w:rPr>
                    <w:t>1</w:t>
                  </w:r>
                </w:p>
              </w:tc>
              <w:tc>
                <w:tcPr>
                  <w:tcW w:w="1749" w:type="dxa"/>
                  <w:vAlign w:val="center"/>
                </w:tcPr>
                <w:p>
                  <w:pPr>
                    <w:pStyle w:val="47"/>
                  </w:pPr>
                  <w:r>
                    <w:rPr>
                      <w:rFonts w:hint="eastAsia"/>
                    </w:rPr>
                    <w:t>2</w:t>
                  </w:r>
                </w:p>
              </w:tc>
              <w:tc>
                <w:tcPr>
                  <w:tcW w:w="1248" w:type="dxa"/>
                  <w:vAlign w:val="center"/>
                </w:tcPr>
                <w:p>
                  <w:pPr>
                    <w:pStyle w:val="47"/>
                  </w:pPr>
                  <w:r>
                    <w:rPr>
                      <w:rFonts w:hint="eastAsia"/>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dxa"/>
                  <w:vAlign w:val="center"/>
                </w:tcPr>
                <w:p>
                  <w:pPr>
                    <w:pStyle w:val="47"/>
                  </w:pPr>
                  <w:r>
                    <w:rPr>
                      <w:rFonts w:hint="eastAsia"/>
                    </w:rPr>
                    <w:t>2</w:t>
                  </w:r>
                </w:p>
              </w:tc>
              <w:tc>
                <w:tcPr>
                  <w:tcW w:w="1440" w:type="dxa"/>
                  <w:vAlign w:val="center"/>
                </w:tcPr>
                <w:p>
                  <w:pPr>
                    <w:pStyle w:val="47"/>
                  </w:pPr>
                  <w:r>
                    <w:rPr>
                      <w:rFonts w:hint="eastAsia"/>
                    </w:rPr>
                    <w:t>液压油</w:t>
                  </w:r>
                </w:p>
              </w:tc>
              <w:tc>
                <w:tcPr>
                  <w:tcW w:w="1005" w:type="dxa"/>
                  <w:vAlign w:val="center"/>
                </w:tcPr>
                <w:p>
                  <w:pPr>
                    <w:pStyle w:val="47"/>
                  </w:pPr>
                  <w:r>
                    <w:rPr>
                      <w:rFonts w:hint="eastAsia"/>
                    </w:rPr>
                    <w:t>0.02</w:t>
                  </w:r>
                </w:p>
              </w:tc>
              <w:tc>
                <w:tcPr>
                  <w:tcW w:w="1453" w:type="dxa"/>
                  <w:vAlign w:val="center"/>
                </w:tcPr>
                <w:p>
                  <w:pPr>
                    <w:pStyle w:val="47"/>
                    <w:rPr>
                      <w:szCs w:val="22"/>
                    </w:rPr>
                  </w:pPr>
                  <w:r>
                    <w:rPr>
                      <w:rFonts w:hint="eastAsia"/>
                      <w:szCs w:val="22"/>
                    </w:rPr>
                    <w:t>20kg/塑料桶</w:t>
                  </w:r>
                </w:p>
              </w:tc>
              <w:tc>
                <w:tcPr>
                  <w:tcW w:w="1157" w:type="dxa"/>
                  <w:vAlign w:val="center"/>
                </w:tcPr>
                <w:p>
                  <w:pPr>
                    <w:pStyle w:val="47"/>
                  </w:pPr>
                  <w:r>
                    <w:rPr>
                      <w:rFonts w:hint="eastAsia"/>
                    </w:rPr>
                    <w:t>1</w:t>
                  </w:r>
                </w:p>
              </w:tc>
              <w:tc>
                <w:tcPr>
                  <w:tcW w:w="1749" w:type="dxa"/>
                  <w:vAlign w:val="center"/>
                </w:tcPr>
                <w:p>
                  <w:pPr>
                    <w:pStyle w:val="47"/>
                  </w:pPr>
                  <w:r>
                    <w:rPr>
                      <w:rFonts w:hint="eastAsia"/>
                    </w:rPr>
                    <w:t>2</w:t>
                  </w:r>
                </w:p>
              </w:tc>
              <w:tc>
                <w:tcPr>
                  <w:tcW w:w="1248" w:type="dxa"/>
                  <w:vAlign w:val="center"/>
                </w:tcPr>
                <w:p>
                  <w:pPr>
                    <w:pStyle w:val="47"/>
                  </w:pPr>
                  <w:r>
                    <w:rPr>
                      <w:rFonts w:hint="eastAsia"/>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18" w:type="dxa"/>
                  <w:gridSpan w:val="2"/>
                  <w:vAlign w:val="center"/>
                </w:tcPr>
                <w:p>
                  <w:pPr>
                    <w:pStyle w:val="47"/>
                  </w:pPr>
                  <w:r>
                    <w:rPr>
                      <w:rFonts w:hint="eastAsia"/>
                    </w:rPr>
                    <w:t>合计</w:t>
                  </w:r>
                </w:p>
              </w:tc>
              <w:tc>
                <w:tcPr>
                  <w:tcW w:w="1005" w:type="dxa"/>
                  <w:vAlign w:val="center"/>
                </w:tcPr>
                <w:p>
                  <w:pPr>
                    <w:pStyle w:val="47"/>
                  </w:pPr>
                  <w:r>
                    <w:rPr>
                      <w:rFonts w:hint="eastAsia"/>
                    </w:rPr>
                    <w:t>0.04</w:t>
                  </w:r>
                </w:p>
              </w:tc>
              <w:tc>
                <w:tcPr>
                  <w:tcW w:w="1453" w:type="dxa"/>
                  <w:vAlign w:val="center"/>
                </w:tcPr>
                <w:p>
                  <w:pPr>
                    <w:pStyle w:val="47"/>
                    <w:rPr>
                      <w:szCs w:val="22"/>
                    </w:rPr>
                  </w:pPr>
                  <w:r>
                    <w:rPr>
                      <w:rFonts w:hint="eastAsia"/>
                      <w:szCs w:val="22"/>
                    </w:rPr>
                    <w:t>/</w:t>
                  </w:r>
                </w:p>
              </w:tc>
              <w:tc>
                <w:tcPr>
                  <w:tcW w:w="1157" w:type="dxa"/>
                  <w:vAlign w:val="center"/>
                </w:tcPr>
                <w:p>
                  <w:pPr>
                    <w:pStyle w:val="47"/>
                  </w:pPr>
                  <w:r>
                    <w:rPr>
                      <w:rFonts w:hint="eastAsia"/>
                    </w:rPr>
                    <w:t>2</w:t>
                  </w:r>
                </w:p>
              </w:tc>
              <w:tc>
                <w:tcPr>
                  <w:tcW w:w="1749" w:type="dxa"/>
                  <w:vAlign w:val="center"/>
                </w:tcPr>
                <w:p>
                  <w:pPr>
                    <w:pStyle w:val="47"/>
                  </w:pPr>
                  <w:r>
                    <w:rPr>
                      <w:rFonts w:hint="eastAsia"/>
                    </w:rPr>
                    <w:t>/</w:t>
                  </w:r>
                </w:p>
              </w:tc>
              <w:tc>
                <w:tcPr>
                  <w:tcW w:w="1248" w:type="dxa"/>
                  <w:vAlign w:val="center"/>
                </w:tcPr>
                <w:p>
                  <w:pPr>
                    <w:pStyle w:val="47"/>
                  </w:pPr>
                  <w:r>
                    <w:rPr>
                      <w:rFonts w:hint="eastAsia"/>
                    </w:rPr>
                    <w:t>0.004</w:t>
                  </w:r>
                </w:p>
              </w:tc>
            </w:tr>
          </w:tbl>
          <w:p>
            <w:pPr>
              <w:ind w:firstLine="480"/>
            </w:pPr>
            <w:r>
              <w:rPr>
                <w:rFonts w:hint="eastAsia"/>
              </w:rPr>
              <w:t>（9）金属沉渣S</w:t>
            </w:r>
            <w:r>
              <w:rPr>
                <w:rFonts w:hint="eastAsia"/>
                <w:vertAlign w:val="subscript"/>
              </w:rPr>
              <w:t>9</w:t>
            </w:r>
          </w:p>
          <w:p>
            <w:pPr>
              <w:ind w:firstLine="480"/>
            </w:pPr>
            <w:r>
              <w:t>本项目粗磨、精磨过程中产生打磨废水，打磨废水</w:t>
            </w:r>
            <w:r>
              <w:rPr>
                <w:rFonts w:hint="eastAsia"/>
              </w:rPr>
              <w:t>中主要为水和金属屑，金属屑比重较大，打磨废水经沉淀池</w:t>
            </w:r>
            <w:r>
              <w:t>沉淀后</w:t>
            </w:r>
            <w:r>
              <w:rPr>
                <w:rFonts w:hint="eastAsia"/>
              </w:rPr>
              <w:t>金属屑沉降在沉淀池底部，金属屑定期打捞作金属沉渣处理，根据企业提供资料，金属沉渣产生量约0.1t/a。</w:t>
            </w:r>
          </w:p>
          <w:p>
            <w:pPr>
              <w:ind w:firstLine="480"/>
            </w:pPr>
            <w:r>
              <w:rPr>
                <w:rFonts w:hint="eastAsia"/>
              </w:rPr>
              <w:t>（10）</w:t>
            </w:r>
            <w:r>
              <w:t>废活性炭S</w:t>
            </w:r>
            <w:r>
              <w:rPr>
                <w:rFonts w:hint="eastAsia"/>
                <w:vertAlign w:val="subscript"/>
              </w:rPr>
              <w:t>10</w:t>
            </w:r>
          </w:p>
          <w:p>
            <w:pPr>
              <w:ind w:firstLine="480"/>
            </w:pPr>
            <w:r>
              <w:t>本项目浸漆、烘干产生的有机废气采用“一级活性炭吸+二级活性炭”</w:t>
            </w:r>
            <w:r>
              <w:rPr>
                <w:rFonts w:hint="eastAsia"/>
              </w:rPr>
              <w:t>吸附处理</w:t>
            </w:r>
            <w:r>
              <w:t>的工艺进行处理，活性炭需定期更换，参照《浙江省工业涂装工序挥发性有机物排放量计算暂行办法》，活性炭吸附效率取0.15t废气/t-活性炭，本项目浸漆、烘干产生的有机废气为0</w:t>
            </w:r>
            <w:r>
              <w:rPr>
                <w:rFonts w:hint="eastAsia"/>
              </w:rPr>
              <w:t>.460</w:t>
            </w:r>
            <w:r>
              <w:t>t/a，排放量为0.0</w:t>
            </w:r>
            <w:r>
              <w:rPr>
                <w:rFonts w:hint="eastAsia"/>
              </w:rPr>
              <w:t>8</w:t>
            </w:r>
            <w:r>
              <w:t>7t/a，全部通过活性炭吸附削减，削减量为0.</w:t>
            </w:r>
            <w:r>
              <w:rPr>
                <w:rFonts w:hint="eastAsia"/>
              </w:rPr>
              <w:t>373</w:t>
            </w:r>
            <w:r>
              <w:t>t/a，</w:t>
            </w:r>
            <w:r>
              <w:rPr>
                <w:kern w:val="0"/>
                <w:szCs w:val="24"/>
              </w:rPr>
              <w:t>则本项目需活性炭量为</w:t>
            </w:r>
            <w:r>
              <w:rPr>
                <w:rFonts w:hint="eastAsia"/>
                <w:kern w:val="0"/>
                <w:szCs w:val="24"/>
              </w:rPr>
              <w:t>2.5</w:t>
            </w:r>
            <w:r>
              <w:t>t/a，</w:t>
            </w:r>
            <w:r>
              <w:rPr>
                <w:kern w:val="0"/>
                <w:szCs w:val="24"/>
              </w:rPr>
              <w:t>本项目一级活性炭吸附箱装填量约为</w:t>
            </w:r>
            <w:r>
              <w:rPr>
                <w:rFonts w:hint="eastAsia"/>
                <w:kern w:val="0"/>
                <w:szCs w:val="24"/>
              </w:rPr>
              <w:t>0.35</w:t>
            </w:r>
            <w:r>
              <w:rPr>
                <w:kern w:val="0"/>
                <w:szCs w:val="24"/>
              </w:rPr>
              <w:t>t，二级活性炭吸附箱装填量约0.</w:t>
            </w:r>
            <w:r>
              <w:rPr>
                <w:rFonts w:hint="eastAsia"/>
                <w:kern w:val="0"/>
                <w:szCs w:val="24"/>
              </w:rPr>
              <w:t>35</w:t>
            </w:r>
            <w:r>
              <w:rPr>
                <w:kern w:val="0"/>
                <w:szCs w:val="24"/>
              </w:rPr>
              <w:t>t，活性炭平均每三个月更换一次，满足有机废气去除所需的活性炭消耗量，则产生的废活性炭量为</w:t>
            </w:r>
            <w:r>
              <w:rPr>
                <w:rFonts w:hint="eastAsia"/>
                <w:kern w:val="0"/>
                <w:szCs w:val="24"/>
              </w:rPr>
              <w:t>3.173</w:t>
            </w:r>
            <w:r>
              <w:rPr>
                <w:kern w:val="0"/>
                <w:szCs w:val="24"/>
              </w:rPr>
              <w:t>t/a</w:t>
            </w:r>
            <w:r>
              <w:t>。</w:t>
            </w:r>
          </w:p>
          <w:p>
            <w:pPr>
              <w:ind w:firstLine="480"/>
            </w:pPr>
            <w:r>
              <w:t>（</w:t>
            </w:r>
            <w:r>
              <w:rPr>
                <w:rFonts w:hint="eastAsia"/>
              </w:rPr>
              <w:t>11</w:t>
            </w:r>
            <w:r>
              <w:t>）</w:t>
            </w:r>
            <w:r>
              <w:rPr>
                <w:rFonts w:hint="eastAsia"/>
              </w:rPr>
              <w:t>废滤芯S</w:t>
            </w:r>
            <w:r>
              <w:rPr>
                <w:rFonts w:hint="eastAsia"/>
                <w:vertAlign w:val="subscript"/>
              </w:rPr>
              <w:t>11</w:t>
            </w:r>
          </w:p>
          <w:p>
            <w:pPr>
              <w:ind w:firstLine="480"/>
            </w:pPr>
            <w:r>
              <w:rPr>
                <w:rFonts w:hint="eastAsia"/>
              </w:rPr>
              <w:t>本项目焊接过程产生的焊接烟尘采用</w:t>
            </w:r>
            <w:r>
              <w:rPr>
                <w:rFonts w:hint="eastAsia"/>
                <w:bCs/>
              </w:rPr>
              <w:t>移动式焊接烟尘净化器（滤芯除尘）处理，滤芯定期更换，根据企业提供的资料，产生的含烟尘废滤芯约0.01t/a。</w:t>
            </w:r>
          </w:p>
          <w:p>
            <w:pPr>
              <w:ind w:firstLine="480"/>
            </w:pPr>
            <w:r>
              <w:rPr>
                <w:rFonts w:hint="eastAsia"/>
              </w:rPr>
              <w:t>（12）含漆废抹布和手套S</w:t>
            </w:r>
            <w:r>
              <w:rPr>
                <w:rFonts w:hint="eastAsia"/>
                <w:vertAlign w:val="subscript"/>
              </w:rPr>
              <w:t>12</w:t>
            </w:r>
          </w:p>
          <w:p>
            <w:pPr>
              <w:ind w:firstLine="480"/>
            </w:pPr>
            <w:r>
              <w:rPr>
                <w:rFonts w:hint="eastAsia"/>
              </w:rPr>
              <w:t>本项目在真空浸漆过程中，员工均配备手套以及抹布用于防护、清洗和擦拭，因此会产生少量沾染漆料的废抹布和手套，根据企业提供的资料，年产生量约0.01t/a。</w:t>
            </w:r>
          </w:p>
          <w:p>
            <w:pPr>
              <w:ind w:firstLine="480"/>
            </w:pPr>
            <w:r>
              <w:rPr>
                <w:rFonts w:hint="eastAsia"/>
              </w:rPr>
              <w:t>（13）含油废抹布和手套</w:t>
            </w:r>
            <w:r>
              <w:t>S</w:t>
            </w:r>
            <w:r>
              <w:rPr>
                <w:rFonts w:hint="eastAsia"/>
                <w:vertAlign w:val="subscript"/>
              </w:rPr>
              <w:t>13</w:t>
            </w:r>
          </w:p>
          <w:p>
            <w:pPr>
              <w:ind w:firstLine="480"/>
            </w:pPr>
            <w:r>
              <w:t>本项目</w:t>
            </w:r>
            <w:r>
              <w:rPr>
                <w:rFonts w:hint="eastAsia"/>
              </w:rPr>
              <w:t>设备保养过程中</w:t>
            </w:r>
            <w:r>
              <w:t>会产生沾染了机油</w:t>
            </w:r>
            <w:r>
              <w:rPr>
                <w:rFonts w:hint="eastAsia"/>
              </w:rPr>
              <w:t>、液压油</w:t>
            </w:r>
            <w:r>
              <w:t>的抹布和手套，根据</w:t>
            </w:r>
            <w:r>
              <w:rPr>
                <w:rFonts w:hint="eastAsia"/>
              </w:rPr>
              <w:t>企业提供的资料</w:t>
            </w:r>
            <w:r>
              <w:t>，废抹布和废手套产量约为0.</w:t>
            </w:r>
            <w:r>
              <w:rPr>
                <w:rFonts w:hint="eastAsia"/>
              </w:rPr>
              <w:t>002</w:t>
            </w:r>
            <w:r>
              <w:t>t/a。</w:t>
            </w:r>
          </w:p>
          <w:p>
            <w:pPr>
              <w:ind w:firstLine="480"/>
            </w:pPr>
            <w:r>
              <w:t>（</w:t>
            </w:r>
            <w:r>
              <w:rPr>
                <w:rFonts w:hint="eastAsia"/>
              </w:rPr>
              <w:t>14</w:t>
            </w:r>
            <w:r>
              <w:t>）生活垃圾S</w:t>
            </w:r>
            <w:r>
              <w:rPr>
                <w:rFonts w:hint="eastAsia"/>
                <w:vertAlign w:val="subscript"/>
              </w:rPr>
              <w:t>14</w:t>
            </w:r>
          </w:p>
          <w:p>
            <w:pPr>
              <w:ind w:firstLine="480"/>
            </w:pPr>
            <w:r>
              <w:t>职工生活垃圾按1.0kg/（人·天）计，本项目职工30人，年工作天数为300天，则生活垃圾的产生量为9.0t/a。</w:t>
            </w:r>
          </w:p>
          <w:p>
            <w:pPr>
              <w:ind w:firstLine="480"/>
            </w:pPr>
            <w:r>
              <w:t>本项目副产物产生情况汇总见表5-</w:t>
            </w:r>
            <w:r>
              <w:rPr>
                <w:rFonts w:hint="eastAsia"/>
              </w:rPr>
              <w:t>10</w:t>
            </w:r>
            <w:r>
              <w:t>。</w:t>
            </w:r>
          </w:p>
          <w:p>
            <w:pPr>
              <w:pStyle w:val="46"/>
            </w:pPr>
          </w:p>
          <w:p>
            <w:pPr>
              <w:pStyle w:val="46"/>
            </w:pPr>
            <w:r>
              <w:t>表5-</w:t>
            </w:r>
            <w:r>
              <w:rPr>
                <w:rFonts w:hint="eastAsia"/>
              </w:rPr>
              <w:t>10</w:t>
            </w:r>
            <w:r>
              <w:t xml:space="preserve">  本项目副产物产生情况  （单位：t/a）</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341"/>
              <w:gridCol w:w="2261"/>
              <w:gridCol w:w="900"/>
              <w:gridCol w:w="779"/>
              <w:gridCol w:w="2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pct"/>
                  <w:tcBorders>
                    <w:top w:val="single" w:color="auto" w:sz="4" w:space="0"/>
                    <w:left w:val="single" w:color="auto" w:sz="4" w:space="0"/>
                    <w:bottom w:val="single" w:color="auto" w:sz="4" w:space="0"/>
                    <w:right w:val="single" w:color="auto" w:sz="4" w:space="0"/>
                  </w:tcBorders>
                  <w:vAlign w:val="center"/>
                </w:tcPr>
                <w:p>
                  <w:pPr>
                    <w:pStyle w:val="46"/>
                  </w:pPr>
                  <w:r>
                    <w:t>序号</w:t>
                  </w:r>
                </w:p>
              </w:tc>
              <w:tc>
                <w:tcPr>
                  <w:tcW w:w="769" w:type="pct"/>
                  <w:tcBorders>
                    <w:top w:val="single" w:color="auto" w:sz="4" w:space="0"/>
                    <w:left w:val="single" w:color="auto" w:sz="4" w:space="0"/>
                    <w:bottom w:val="single" w:color="auto" w:sz="4" w:space="0"/>
                    <w:right w:val="single" w:color="auto" w:sz="4" w:space="0"/>
                  </w:tcBorders>
                  <w:vAlign w:val="center"/>
                </w:tcPr>
                <w:p>
                  <w:pPr>
                    <w:pStyle w:val="46"/>
                  </w:pPr>
                  <w:r>
                    <w:t>名称</w:t>
                  </w:r>
                </w:p>
              </w:tc>
              <w:tc>
                <w:tcPr>
                  <w:tcW w:w="1296" w:type="pct"/>
                  <w:tcBorders>
                    <w:top w:val="single" w:color="auto" w:sz="4" w:space="0"/>
                    <w:left w:val="single" w:color="auto" w:sz="4" w:space="0"/>
                    <w:bottom w:val="single" w:color="auto" w:sz="4" w:space="0"/>
                    <w:right w:val="single" w:color="auto" w:sz="4" w:space="0"/>
                  </w:tcBorders>
                  <w:vAlign w:val="center"/>
                </w:tcPr>
                <w:p>
                  <w:pPr>
                    <w:pStyle w:val="46"/>
                  </w:pPr>
                  <w:r>
                    <w:t>产污过程</w:t>
                  </w:r>
                </w:p>
              </w:tc>
              <w:tc>
                <w:tcPr>
                  <w:tcW w:w="516" w:type="pct"/>
                  <w:tcBorders>
                    <w:top w:val="single" w:color="auto" w:sz="4" w:space="0"/>
                    <w:left w:val="single" w:color="auto" w:sz="4" w:space="0"/>
                    <w:bottom w:val="single" w:color="auto" w:sz="4" w:space="0"/>
                    <w:right w:val="single" w:color="auto" w:sz="4" w:space="0"/>
                  </w:tcBorders>
                  <w:vAlign w:val="center"/>
                </w:tcPr>
                <w:p>
                  <w:pPr>
                    <w:pStyle w:val="46"/>
                  </w:pPr>
                  <w:r>
                    <w:t>产生量</w:t>
                  </w:r>
                </w:p>
              </w:tc>
              <w:tc>
                <w:tcPr>
                  <w:tcW w:w="447" w:type="pct"/>
                  <w:tcBorders>
                    <w:top w:val="single" w:color="auto" w:sz="4" w:space="0"/>
                    <w:left w:val="single" w:color="auto" w:sz="4" w:space="0"/>
                    <w:bottom w:val="single" w:color="auto" w:sz="4" w:space="0"/>
                    <w:right w:val="single" w:color="auto" w:sz="4" w:space="0"/>
                  </w:tcBorders>
                  <w:vAlign w:val="center"/>
                </w:tcPr>
                <w:p>
                  <w:pPr>
                    <w:pStyle w:val="46"/>
                  </w:pPr>
                  <w:r>
                    <w:t>形态</w:t>
                  </w:r>
                </w:p>
              </w:tc>
              <w:tc>
                <w:tcPr>
                  <w:tcW w:w="1548" w:type="pct"/>
                  <w:tcBorders>
                    <w:top w:val="single" w:color="auto" w:sz="4" w:space="0"/>
                    <w:left w:val="single" w:color="auto" w:sz="4" w:space="0"/>
                    <w:bottom w:val="single" w:color="auto" w:sz="4" w:space="0"/>
                    <w:right w:val="single" w:color="auto" w:sz="4" w:space="0"/>
                  </w:tcBorders>
                  <w:vAlign w:val="center"/>
                </w:tcPr>
                <w:p>
                  <w:pPr>
                    <w:pStyle w:val="46"/>
                  </w:pPr>
                  <w:r>
                    <w:t>主要成分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1</w:t>
                  </w:r>
                </w:p>
              </w:tc>
              <w:tc>
                <w:tcPr>
                  <w:tcW w:w="769"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一般包装材料</w:t>
                  </w:r>
                </w:p>
              </w:tc>
              <w:tc>
                <w:tcPr>
                  <w:tcW w:w="1296"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原料使用</w:t>
                  </w:r>
                </w:p>
              </w:tc>
              <w:tc>
                <w:tcPr>
                  <w:tcW w:w="516"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4.0</w:t>
                  </w:r>
                </w:p>
              </w:tc>
              <w:tc>
                <w:tcPr>
                  <w:tcW w:w="447"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固态</w:t>
                  </w:r>
                </w:p>
              </w:tc>
              <w:tc>
                <w:tcPr>
                  <w:tcW w:w="1548"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塑料袋、纸箱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2</w:t>
                  </w:r>
                </w:p>
              </w:tc>
              <w:tc>
                <w:tcPr>
                  <w:tcW w:w="769"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金属边角料</w:t>
                  </w:r>
                </w:p>
              </w:tc>
              <w:tc>
                <w:tcPr>
                  <w:tcW w:w="1296"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下料、粗车、普铣、精车、打孔、攻丝</w:t>
                  </w:r>
                </w:p>
              </w:tc>
              <w:tc>
                <w:tcPr>
                  <w:tcW w:w="516"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5.0</w:t>
                  </w:r>
                </w:p>
              </w:tc>
              <w:tc>
                <w:tcPr>
                  <w:tcW w:w="447"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固态</w:t>
                  </w:r>
                </w:p>
              </w:tc>
              <w:tc>
                <w:tcPr>
                  <w:tcW w:w="1548"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废钢材、铝材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3</w:t>
                  </w:r>
                </w:p>
              </w:tc>
              <w:tc>
                <w:tcPr>
                  <w:tcW w:w="769"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次品</w:t>
                  </w:r>
                </w:p>
              </w:tc>
              <w:tc>
                <w:tcPr>
                  <w:tcW w:w="1296"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检测</w:t>
                  </w:r>
                </w:p>
              </w:tc>
              <w:tc>
                <w:tcPr>
                  <w:tcW w:w="516"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1.0</w:t>
                  </w:r>
                </w:p>
              </w:tc>
              <w:tc>
                <w:tcPr>
                  <w:tcW w:w="447"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固态</w:t>
                  </w:r>
                </w:p>
              </w:tc>
              <w:tc>
                <w:tcPr>
                  <w:tcW w:w="1548"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钢材、铝材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4</w:t>
                  </w:r>
                </w:p>
              </w:tc>
              <w:tc>
                <w:tcPr>
                  <w:tcW w:w="769"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废乳化液</w:t>
                  </w:r>
                </w:p>
              </w:tc>
              <w:tc>
                <w:tcPr>
                  <w:tcW w:w="1296"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粗车、普铣、精车</w:t>
                  </w:r>
                </w:p>
              </w:tc>
              <w:tc>
                <w:tcPr>
                  <w:tcW w:w="516"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1.0</w:t>
                  </w:r>
                </w:p>
              </w:tc>
              <w:tc>
                <w:tcPr>
                  <w:tcW w:w="447"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液态</w:t>
                  </w:r>
                </w:p>
              </w:tc>
              <w:tc>
                <w:tcPr>
                  <w:tcW w:w="1548"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乳化液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5</w:t>
                  </w:r>
                </w:p>
              </w:tc>
              <w:tc>
                <w:tcPr>
                  <w:tcW w:w="769"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废漆料</w:t>
                  </w:r>
                </w:p>
              </w:tc>
              <w:tc>
                <w:tcPr>
                  <w:tcW w:w="1296"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真空浸漆</w:t>
                  </w:r>
                </w:p>
              </w:tc>
              <w:tc>
                <w:tcPr>
                  <w:tcW w:w="516"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0.2</w:t>
                  </w:r>
                </w:p>
              </w:tc>
              <w:tc>
                <w:tcPr>
                  <w:tcW w:w="447"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固态</w:t>
                  </w:r>
                </w:p>
              </w:tc>
              <w:tc>
                <w:tcPr>
                  <w:tcW w:w="1548"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绝缘漆残渣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6</w:t>
                  </w:r>
                </w:p>
              </w:tc>
              <w:tc>
                <w:tcPr>
                  <w:tcW w:w="769"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废包装桶</w:t>
                  </w:r>
                </w:p>
              </w:tc>
              <w:tc>
                <w:tcPr>
                  <w:tcW w:w="1296"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乳化液</w:t>
                  </w:r>
                  <w:r>
                    <w:rPr>
                      <w:rFonts w:hint="eastAsia"/>
                      <w:szCs w:val="21"/>
                    </w:rPr>
                    <w:t>、绝缘漆</w:t>
                  </w:r>
                  <w:r>
                    <w:rPr>
                      <w:szCs w:val="21"/>
                    </w:rPr>
                    <w:t>使用</w:t>
                  </w:r>
                </w:p>
              </w:tc>
              <w:tc>
                <w:tcPr>
                  <w:tcW w:w="516"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0.</w:t>
                  </w:r>
                  <w:r>
                    <w:rPr>
                      <w:rFonts w:hint="eastAsia"/>
                      <w:szCs w:val="21"/>
                    </w:rPr>
                    <w:t>3</w:t>
                  </w:r>
                </w:p>
              </w:tc>
              <w:tc>
                <w:tcPr>
                  <w:tcW w:w="447"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固态</w:t>
                  </w:r>
                </w:p>
              </w:tc>
              <w:tc>
                <w:tcPr>
                  <w:tcW w:w="1548"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乳化液</w:t>
                  </w:r>
                  <w:r>
                    <w:rPr>
                      <w:rFonts w:hint="eastAsia"/>
                      <w:szCs w:val="21"/>
                    </w:rPr>
                    <w:t>、绝缘漆、废包装</w:t>
                  </w:r>
                  <w:r>
                    <w:rPr>
                      <w:szCs w:val="21"/>
                    </w:rPr>
                    <w:t>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7</w:t>
                  </w:r>
                </w:p>
              </w:tc>
              <w:tc>
                <w:tcPr>
                  <w:tcW w:w="769"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废机油</w:t>
                  </w:r>
                </w:p>
              </w:tc>
              <w:tc>
                <w:tcPr>
                  <w:tcW w:w="1296"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设备保养</w:t>
                  </w:r>
                </w:p>
              </w:tc>
              <w:tc>
                <w:tcPr>
                  <w:tcW w:w="516"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0.02</w:t>
                  </w:r>
                </w:p>
              </w:tc>
              <w:tc>
                <w:tcPr>
                  <w:tcW w:w="447"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液态</w:t>
                  </w:r>
                </w:p>
              </w:tc>
              <w:tc>
                <w:tcPr>
                  <w:tcW w:w="1548"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机油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8</w:t>
                  </w:r>
                </w:p>
              </w:tc>
              <w:tc>
                <w:tcPr>
                  <w:tcW w:w="769"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废油桶</w:t>
                  </w:r>
                </w:p>
              </w:tc>
              <w:tc>
                <w:tcPr>
                  <w:tcW w:w="1296"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机油、液压油使用</w:t>
                  </w:r>
                </w:p>
              </w:tc>
              <w:tc>
                <w:tcPr>
                  <w:tcW w:w="516"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0.</w:t>
                  </w:r>
                  <w:r>
                    <w:rPr>
                      <w:rFonts w:hint="eastAsia"/>
                      <w:szCs w:val="21"/>
                    </w:rPr>
                    <w:t>004</w:t>
                  </w:r>
                </w:p>
              </w:tc>
              <w:tc>
                <w:tcPr>
                  <w:tcW w:w="447"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固态</w:t>
                  </w:r>
                </w:p>
              </w:tc>
              <w:tc>
                <w:tcPr>
                  <w:tcW w:w="1548"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机油、液压油、废包装</w:t>
                  </w:r>
                  <w:r>
                    <w:rPr>
                      <w:szCs w:val="21"/>
                    </w:rPr>
                    <w:t>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21"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9</w:t>
                  </w:r>
                </w:p>
              </w:tc>
              <w:tc>
                <w:tcPr>
                  <w:tcW w:w="769"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金属沉渣</w:t>
                  </w:r>
                </w:p>
              </w:tc>
              <w:tc>
                <w:tcPr>
                  <w:tcW w:w="1296"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废水处理</w:t>
                  </w:r>
                </w:p>
              </w:tc>
              <w:tc>
                <w:tcPr>
                  <w:tcW w:w="516"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0.1</w:t>
                  </w:r>
                </w:p>
              </w:tc>
              <w:tc>
                <w:tcPr>
                  <w:tcW w:w="447"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固态</w:t>
                  </w:r>
                </w:p>
              </w:tc>
              <w:tc>
                <w:tcPr>
                  <w:tcW w:w="1548"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金属屑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10</w:t>
                  </w:r>
                </w:p>
              </w:tc>
              <w:tc>
                <w:tcPr>
                  <w:tcW w:w="769"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废活性炭</w:t>
                  </w:r>
                </w:p>
              </w:tc>
              <w:tc>
                <w:tcPr>
                  <w:tcW w:w="1296"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废气处理</w:t>
                  </w:r>
                </w:p>
              </w:tc>
              <w:tc>
                <w:tcPr>
                  <w:tcW w:w="516"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3.173</w:t>
                  </w:r>
                </w:p>
              </w:tc>
              <w:tc>
                <w:tcPr>
                  <w:tcW w:w="447"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固态</w:t>
                  </w:r>
                </w:p>
              </w:tc>
              <w:tc>
                <w:tcPr>
                  <w:tcW w:w="1548"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活性炭、有机废气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11</w:t>
                  </w:r>
                </w:p>
              </w:tc>
              <w:tc>
                <w:tcPr>
                  <w:tcW w:w="769"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废滤芯</w:t>
                  </w:r>
                </w:p>
              </w:tc>
              <w:tc>
                <w:tcPr>
                  <w:tcW w:w="1296"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废气处理</w:t>
                  </w:r>
                </w:p>
              </w:tc>
              <w:tc>
                <w:tcPr>
                  <w:tcW w:w="516"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0.01</w:t>
                  </w:r>
                </w:p>
              </w:tc>
              <w:tc>
                <w:tcPr>
                  <w:tcW w:w="447"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固态</w:t>
                  </w:r>
                </w:p>
              </w:tc>
              <w:tc>
                <w:tcPr>
                  <w:tcW w:w="1548"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滤芯、焊接烟尘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12</w:t>
                  </w:r>
                </w:p>
              </w:tc>
              <w:tc>
                <w:tcPr>
                  <w:tcW w:w="769"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含漆废抹布和手套</w:t>
                  </w:r>
                </w:p>
              </w:tc>
              <w:tc>
                <w:tcPr>
                  <w:tcW w:w="1296"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绝缘漆使用</w:t>
                  </w:r>
                </w:p>
              </w:tc>
              <w:tc>
                <w:tcPr>
                  <w:tcW w:w="516"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0.01</w:t>
                  </w:r>
                </w:p>
              </w:tc>
              <w:tc>
                <w:tcPr>
                  <w:tcW w:w="447"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固态</w:t>
                  </w:r>
                </w:p>
              </w:tc>
              <w:tc>
                <w:tcPr>
                  <w:tcW w:w="1548"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手套、抹布、</w:t>
                  </w:r>
                  <w:r>
                    <w:rPr>
                      <w:rFonts w:hint="eastAsia"/>
                      <w:szCs w:val="21"/>
                    </w:rPr>
                    <w:t>绝缘漆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13</w:t>
                  </w:r>
                </w:p>
              </w:tc>
              <w:tc>
                <w:tcPr>
                  <w:tcW w:w="769"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含油废抹布和手套</w:t>
                  </w:r>
                </w:p>
              </w:tc>
              <w:tc>
                <w:tcPr>
                  <w:tcW w:w="1296"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设备保养</w:t>
                  </w:r>
                </w:p>
              </w:tc>
              <w:tc>
                <w:tcPr>
                  <w:tcW w:w="516"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0.</w:t>
                  </w:r>
                  <w:r>
                    <w:rPr>
                      <w:rFonts w:hint="eastAsia"/>
                      <w:szCs w:val="21"/>
                    </w:rPr>
                    <w:t>002</w:t>
                  </w:r>
                </w:p>
              </w:tc>
              <w:tc>
                <w:tcPr>
                  <w:tcW w:w="447"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固态</w:t>
                  </w:r>
                </w:p>
              </w:tc>
              <w:tc>
                <w:tcPr>
                  <w:tcW w:w="1548"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手套、抹布、</w:t>
                  </w:r>
                  <w:r>
                    <w:rPr>
                      <w:rFonts w:hint="eastAsia"/>
                      <w:szCs w:val="21"/>
                    </w:rPr>
                    <w:t>机油、液压油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14</w:t>
                  </w:r>
                </w:p>
              </w:tc>
              <w:tc>
                <w:tcPr>
                  <w:tcW w:w="769"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生活垃圾</w:t>
                  </w:r>
                </w:p>
              </w:tc>
              <w:tc>
                <w:tcPr>
                  <w:tcW w:w="1296"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职工生活</w:t>
                  </w:r>
                </w:p>
              </w:tc>
              <w:tc>
                <w:tcPr>
                  <w:tcW w:w="516"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9.0</w:t>
                  </w:r>
                </w:p>
              </w:tc>
              <w:tc>
                <w:tcPr>
                  <w:tcW w:w="447"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固态</w:t>
                  </w:r>
                </w:p>
              </w:tc>
              <w:tc>
                <w:tcPr>
                  <w:tcW w:w="1548"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生活垃圾</w:t>
                  </w:r>
                </w:p>
              </w:tc>
            </w:tr>
          </w:tbl>
          <w:p>
            <w:pPr>
              <w:spacing w:before="120" w:beforeLines="50"/>
              <w:ind w:firstLine="482"/>
              <w:rPr>
                <w:b/>
                <w:bCs/>
              </w:rPr>
            </w:pPr>
            <w:r>
              <w:rPr>
                <w:b/>
                <w:bCs/>
              </w:rPr>
              <w:t>二、固体废物属性判定</w:t>
            </w:r>
          </w:p>
          <w:p>
            <w:pPr>
              <w:ind w:firstLine="480"/>
            </w:pPr>
            <w:r>
              <w:t>1、根据《固体废物鉴别标准 通则》（GB34330-2017），判断每种副产物是否属于固体废物，本项目副产物属性判定结果见表5-1</w:t>
            </w:r>
            <w:r>
              <w:rPr>
                <w:rFonts w:hint="eastAsia"/>
              </w:rPr>
              <w:t>1</w:t>
            </w:r>
            <w:r>
              <w:t>。</w:t>
            </w:r>
          </w:p>
          <w:p>
            <w:pPr>
              <w:pStyle w:val="46"/>
            </w:pPr>
            <w:r>
              <w:t>表5-1</w:t>
            </w:r>
            <w:r>
              <w:rPr>
                <w:rFonts w:hint="eastAsia"/>
              </w:rPr>
              <w:t>1</w:t>
            </w:r>
            <w:r>
              <w:t xml:space="preserve">  本项目副产物属性判定表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1573"/>
              <w:gridCol w:w="2028"/>
              <w:gridCol w:w="717"/>
              <w:gridCol w:w="2028"/>
              <w:gridCol w:w="1123"/>
              <w:gridCol w:w="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tcBorders>
                    <w:top w:val="single" w:color="auto" w:sz="4" w:space="0"/>
                    <w:left w:val="single" w:color="auto" w:sz="4" w:space="0"/>
                    <w:bottom w:val="single" w:color="auto" w:sz="4" w:space="0"/>
                    <w:right w:val="single" w:color="auto" w:sz="4" w:space="0"/>
                  </w:tcBorders>
                  <w:vAlign w:val="center"/>
                </w:tcPr>
                <w:p>
                  <w:pPr>
                    <w:pStyle w:val="46"/>
                  </w:pPr>
                  <w:r>
                    <w:t>序号</w:t>
                  </w:r>
                </w:p>
              </w:tc>
              <w:tc>
                <w:tcPr>
                  <w:tcW w:w="902" w:type="pct"/>
                  <w:tcBorders>
                    <w:top w:val="single" w:color="auto" w:sz="4" w:space="0"/>
                    <w:left w:val="single" w:color="auto" w:sz="4" w:space="0"/>
                    <w:bottom w:val="single" w:color="auto" w:sz="4" w:space="0"/>
                    <w:right w:val="single" w:color="auto" w:sz="4" w:space="0"/>
                  </w:tcBorders>
                  <w:vAlign w:val="center"/>
                </w:tcPr>
                <w:p>
                  <w:pPr>
                    <w:pStyle w:val="46"/>
                  </w:pPr>
                  <w:r>
                    <w:t>副产物名称</w:t>
                  </w:r>
                </w:p>
              </w:tc>
              <w:tc>
                <w:tcPr>
                  <w:tcW w:w="1163" w:type="pct"/>
                  <w:tcBorders>
                    <w:top w:val="single" w:color="auto" w:sz="4" w:space="0"/>
                    <w:left w:val="single" w:color="auto" w:sz="4" w:space="0"/>
                    <w:bottom w:val="single" w:color="auto" w:sz="4" w:space="0"/>
                    <w:right w:val="single" w:color="auto" w:sz="4" w:space="0"/>
                  </w:tcBorders>
                  <w:vAlign w:val="center"/>
                </w:tcPr>
                <w:p>
                  <w:pPr>
                    <w:pStyle w:val="46"/>
                  </w:pPr>
                  <w:r>
                    <w:t>产生工序</w:t>
                  </w:r>
                </w:p>
              </w:tc>
              <w:tc>
                <w:tcPr>
                  <w:tcW w:w="411" w:type="pct"/>
                  <w:tcBorders>
                    <w:top w:val="single" w:color="auto" w:sz="4" w:space="0"/>
                    <w:left w:val="single" w:color="auto" w:sz="4" w:space="0"/>
                    <w:bottom w:val="single" w:color="auto" w:sz="4" w:space="0"/>
                    <w:right w:val="single" w:color="auto" w:sz="4" w:space="0"/>
                  </w:tcBorders>
                  <w:vAlign w:val="center"/>
                </w:tcPr>
                <w:p>
                  <w:pPr>
                    <w:pStyle w:val="46"/>
                  </w:pPr>
                  <w:r>
                    <w:t>形态</w:t>
                  </w:r>
                </w:p>
              </w:tc>
              <w:tc>
                <w:tcPr>
                  <w:tcW w:w="1163" w:type="pct"/>
                  <w:tcBorders>
                    <w:top w:val="single" w:color="auto" w:sz="4" w:space="0"/>
                    <w:left w:val="single" w:color="auto" w:sz="4" w:space="0"/>
                    <w:bottom w:val="single" w:color="auto" w:sz="4" w:space="0"/>
                    <w:right w:val="single" w:color="auto" w:sz="4" w:space="0"/>
                  </w:tcBorders>
                  <w:vAlign w:val="center"/>
                </w:tcPr>
                <w:p>
                  <w:pPr>
                    <w:pStyle w:val="46"/>
                  </w:pPr>
                  <w:r>
                    <w:t>主要成分</w:t>
                  </w:r>
                </w:p>
              </w:tc>
              <w:tc>
                <w:tcPr>
                  <w:tcW w:w="644" w:type="pct"/>
                  <w:tcBorders>
                    <w:top w:val="single" w:color="auto" w:sz="4" w:space="0"/>
                    <w:left w:val="single" w:color="auto" w:sz="4" w:space="0"/>
                    <w:bottom w:val="single" w:color="auto" w:sz="4" w:space="0"/>
                    <w:right w:val="single" w:color="auto" w:sz="4" w:space="0"/>
                  </w:tcBorders>
                  <w:vAlign w:val="center"/>
                </w:tcPr>
                <w:p>
                  <w:pPr>
                    <w:pStyle w:val="46"/>
                  </w:pPr>
                  <w:r>
                    <w:t>是否属固体废弃物</w:t>
                  </w:r>
                </w:p>
              </w:tc>
              <w:tc>
                <w:tcPr>
                  <w:tcW w:w="414" w:type="pct"/>
                  <w:tcBorders>
                    <w:top w:val="single" w:color="auto" w:sz="4" w:space="0"/>
                    <w:left w:val="single" w:color="auto" w:sz="4" w:space="0"/>
                    <w:bottom w:val="single" w:color="auto" w:sz="4" w:space="0"/>
                    <w:right w:val="single" w:color="auto" w:sz="4" w:space="0"/>
                  </w:tcBorders>
                  <w:vAlign w:val="center"/>
                </w:tcPr>
                <w:p>
                  <w:pPr>
                    <w:pStyle w:val="46"/>
                  </w:pPr>
                  <w:r>
                    <w:t>判断依据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w:t>
                  </w:r>
                </w:p>
              </w:tc>
              <w:tc>
                <w:tcPr>
                  <w:tcW w:w="902" w:type="pct"/>
                  <w:tcBorders>
                    <w:top w:val="single" w:color="auto" w:sz="4" w:space="0"/>
                    <w:left w:val="single" w:color="auto" w:sz="4" w:space="0"/>
                    <w:bottom w:val="single" w:color="auto" w:sz="4" w:space="0"/>
                    <w:right w:val="single" w:color="auto" w:sz="4" w:space="0"/>
                  </w:tcBorders>
                  <w:vAlign w:val="center"/>
                </w:tcPr>
                <w:p>
                  <w:pPr>
                    <w:pStyle w:val="47"/>
                  </w:pPr>
                  <w:r>
                    <w:t>一般包装材料</w:t>
                  </w:r>
                </w:p>
              </w:tc>
              <w:tc>
                <w:tcPr>
                  <w:tcW w:w="1163" w:type="pct"/>
                  <w:tcBorders>
                    <w:top w:val="single" w:color="auto" w:sz="4" w:space="0"/>
                    <w:left w:val="single" w:color="auto" w:sz="4" w:space="0"/>
                    <w:bottom w:val="single" w:color="auto" w:sz="4" w:space="0"/>
                    <w:right w:val="single" w:color="auto" w:sz="4" w:space="0"/>
                  </w:tcBorders>
                  <w:vAlign w:val="center"/>
                </w:tcPr>
                <w:p>
                  <w:pPr>
                    <w:pStyle w:val="47"/>
                  </w:pPr>
                  <w:r>
                    <w:t>原料使用</w:t>
                  </w:r>
                </w:p>
              </w:tc>
              <w:tc>
                <w:tcPr>
                  <w:tcW w:w="411" w:type="pct"/>
                  <w:tcBorders>
                    <w:top w:val="single" w:color="auto" w:sz="4" w:space="0"/>
                    <w:left w:val="single" w:color="auto" w:sz="4" w:space="0"/>
                    <w:bottom w:val="single" w:color="auto" w:sz="4" w:space="0"/>
                    <w:right w:val="single" w:color="auto" w:sz="4" w:space="0"/>
                  </w:tcBorders>
                  <w:vAlign w:val="center"/>
                </w:tcPr>
                <w:p>
                  <w:pPr>
                    <w:pStyle w:val="47"/>
                  </w:pPr>
                  <w:r>
                    <w:t>固态</w:t>
                  </w:r>
                </w:p>
              </w:tc>
              <w:tc>
                <w:tcPr>
                  <w:tcW w:w="1163" w:type="pct"/>
                  <w:tcBorders>
                    <w:top w:val="single" w:color="auto" w:sz="4" w:space="0"/>
                    <w:left w:val="single" w:color="auto" w:sz="4" w:space="0"/>
                    <w:bottom w:val="single" w:color="auto" w:sz="4" w:space="0"/>
                    <w:right w:val="single" w:color="auto" w:sz="4" w:space="0"/>
                  </w:tcBorders>
                  <w:vAlign w:val="center"/>
                </w:tcPr>
                <w:p>
                  <w:pPr>
                    <w:pStyle w:val="47"/>
                  </w:pPr>
                  <w:r>
                    <w:t>塑料袋、纸箱</w:t>
                  </w:r>
                </w:p>
              </w:tc>
              <w:tc>
                <w:tcPr>
                  <w:tcW w:w="644" w:type="pct"/>
                  <w:tcBorders>
                    <w:top w:val="single" w:color="auto" w:sz="4" w:space="0"/>
                    <w:left w:val="single" w:color="auto" w:sz="4" w:space="0"/>
                    <w:bottom w:val="single" w:color="auto" w:sz="4" w:space="0"/>
                    <w:right w:val="single" w:color="auto" w:sz="4" w:space="0"/>
                  </w:tcBorders>
                  <w:vAlign w:val="center"/>
                </w:tcPr>
                <w:p>
                  <w:pPr>
                    <w:pStyle w:val="47"/>
                  </w:pPr>
                  <w:r>
                    <w:t>是</w:t>
                  </w:r>
                </w:p>
              </w:tc>
              <w:tc>
                <w:tcPr>
                  <w:tcW w:w="414" w:type="pct"/>
                  <w:tcBorders>
                    <w:top w:val="single" w:color="auto" w:sz="4" w:space="0"/>
                    <w:left w:val="single" w:color="auto" w:sz="4" w:space="0"/>
                    <w:bottom w:val="single" w:color="auto" w:sz="4" w:space="0"/>
                    <w:right w:val="single" w:color="auto" w:sz="4" w:space="0"/>
                  </w:tcBorders>
                  <w:vAlign w:val="center"/>
                </w:tcPr>
                <w:p>
                  <w:pPr>
                    <w:pStyle w:val="47"/>
                  </w:pPr>
                  <w:r>
                    <w:t>4.1-h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2</w:t>
                  </w:r>
                </w:p>
              </w:tc>
              <w:tc>
                <w:tcPr>
                  <w:tcW w:w="902"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金属边角料</w:t>
                  </w:r>
                </w:p>
              </w:tc>
              <w:tc>
                <w:tcPr>
                  <w:tcW w:w="116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下料、粗车、普铣、精车、打孔、攻丝</w:t>
                  </w:r>
                </w:p>
              </w:tc>
              <w:tc>
                <w:tcPr>
                  <w:tcW w:w="411" w:type="pct"/>
                  <w:tcBorders>
                    <w:top w:val="single" w:color="auto" w:sz="4" w:space="0"/>
                    <w:left w:val="single" w:color="auto" w:sz="4" w:space="0"/>
                    <w:bottom w:val="single" w:color="auto" w:sz="4" w:space="0"/>
                    <w:right w:val="single" w:color="auto" w:sz="4" w:space="0"/>
                  </w:tcBorders>
                  <w:vAlign w:val="center"/>
                </w:tcPr>
                <w:p>
                  <w:pPr>
                    <w:pStyle w:val="47"/>
                  </w:pPr>
                  <w:r>
                    <w:t>固态</w:t>
                  </w:r>
                </w:p>
              </w:tc>
              <w:tc>
                <w:tcPr>
                  <w:tcW w:w="116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废钢材、铝材</w:t>
                  </w:r>
                </w:p>
              </w:tc>
              <w:tc>
                <w:tcPr>
                  <w:tcW w:w="644" w:type="pct"/>
                  <w:tcBorders>
                    <w:top w:val="single" w:color="auto" w:sz="4" w:space="0"/>
                    <w:left w:val="single" w:color="auto" w:sz="4" w:space="0"/>
                    <w:bottom w:val="single" w:color="auto" w:sz="4" w:space="0"/>
                    <w:right w:val="single" w:color="auto" w:sz="4" w:space="0"/>
                  </w:tcBorders>
                  <w:vAlign w:val="center"/>
                </w:tcPr>
                <w:p>
                  <w:pPr>
                    <w:pStyle w:val="47"/>
                  </w:pPr>
                  <w:r>
                    <w:t>是</w:t>
                  </w:r>
                </w:p>
              </w:tc>
              <w:tc>
                <w:tcPr>
                  <w:tcW w:w="414" w:type="pct"/>
                  <w:tcBorders>
                    <w:top w:val="single" w:color="auto" w:sz="4" w:space="0"/>
                    <w:left w:val="single" w:color="auto" w:sz="4" w:space="0"/>
                    <w:bottom w:val="single" w:color="auto" w:sz="4" w:space="0"/>
                    <w:right w:val="single" w:color="auto" w:sz="4" w:space="0"/>
                  </w:tcBorders>
                  <w:vAlign w:val="center"/>
                </w:tcPr>
                <w:p>
                  <w:pPr>
                    <w:pStyle w:val="47"/>
                  </w:pPr>
                  <w:r>
                    <w:t>4.2-a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3</w:t>
                  </w:r>
                </w:p>
              </w:tc>
              <w:tc>
                <w:tcPr>
                  <w:tcW w:w="902" w:type="pct"/>
                  <w:tcBorders>
                    <w:top w:val="single" w:color="auto" w:sz="4" w:space="0"/>
                    <w:left w:val="single" w:color="auto" w:sz="4" w:space="0"/>
                    <w:bottom w:val="single" w:color="auto" w:sz="4" w:space="0"/>
                    <w:right w:val="single" w:color="auto" w:sz="4" w:space="0"/>
                  </w:tcBorders>
                  <w:vAlign w:val="center"/>
                </w:tcPr>
                <w:p>
                  <w:pPr>
                    <w:pStyle w:val="47"/>
                  </w:pPr>
                  <w:r>
                    <w:t>次品</w:t>
                  </w:r>
                </w:p>
              </w:tc>
              <w:tc>
                <w:tcPr>
                  <w:tcW w:w="1163" w:type="pct"/>
                  <w:tcBorders>
                    <w:top w:val="single" w:color="auto" w:sz="4" w:space="0"/>
                    <w:left w:val="single" w:color="auto" w:sz="4" w:space="0"/>
                    <w:bottom w:val="single" w:color="auto" w:sz="4" w:space="0"/>
                    <w:right w:val="single" w:color="auto" w:sz="4" w:space="0"/>
                  </w:tcBorders>
                  <w:vAlign w:val="center"/>
                </w:tcPr>
                <w:p>
                  <w:pPr>
                    <w:pStyle w:val="47"/>
                  </w:pPr>
                  <w:r>
                    <w:t>检测</w:t>
                  </w:r>
                </w:p>
              </w:tc>
              <w:tc>
                <w:tcPr>
                  <w:tcW w:w="411" w:type="pct"/>
                  <w:tcBorders>
                    <w:top w:val="single" w:color="auto" w:sz="4" w:space="0"/>
                    <w:left w:val="single" w:color="auto" w:sz="4" w:space="0"/>
                    <w:bottom w:val="single" w:color="auto" w:sz="4" w:space="0"/>
                    <w:right w:val="single" w:color="auto" w:sz="4" w:space="0"/>
                  </w:tcBorders>
                  <w:vAlign w:val="center"/>
                </w:tcPr>
                <w:p>
                  <w:pPr>
                    <w:pStyle w:val="47"/>
                  </w:pPr>
                  <w:r>
                    <w:t>固态</w:t>
                  </w:r>
                </w:p>
              </w:tc>
              <w:tc>
                <w:tcPr>
                  <w:tcW w:w="116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钢材、铝材</w:t>
                  </w:r>
                </w:p>
              </w:tc>
              <w:tc>
                <w:tcPr>
                  <w:tcW w:w="644" w:type="pct"/>
                  <w:tcBorders>
                    <w:top w:val="single" w:color="auto" w:sz="4" w:space="0"/>
                    <w:left w:val="single" w:color="auto" w:sz="4" w:space="0"/>
                    <w:bottom w:val="single" w:color="auto" w:sz="4" w:space="0"/>
                    <w:right w:val="single" w:color="auto" w:sz="4" w:space="0"/>
                  </w:tcBorders>
                  <w:vAlign w:val="center"/>
                </w:tcPr>
                <w:p>
                  <w:pPr>
                    <w:pStyle w:val="47"/>
                  </w:pPr>
                  <w:r>
                    <w:t>是</w:t>
                  </w:r>
                </w:p>
              </w:tc>
              <w:tc>
                <w:tcPr>
                  <w:tcW w:w="414" w:type="pct"/>
                  <w:tcBorders>
                    <w:top w:val="single" w:color="auto" w:sz="4" w:space="0"/>
                    <w:left w:val="single" w:color="auto" w:sz="4" w:space="0"/>
                    <w:bottom w:val="single" w:color="auto" w:sz="4" w:space="0"/>
                    <w:right w:val="single" w:color="auto" w:sz="4" w:space="0"/>
                  </w:tcBorders>
                  <w:vAlign w:val="center"/>
                </w:tcPr>
                <w:p>
                  <w:pPr>
                    <w:pStyle w:val="47"/>
                  </w:pPr>
                  <w:r>
                    <w:t>4.1-a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4</w:t>
                  </w:r>
                </w:p>
              </w:tc>
              <w:tc>
                <w:tcPr>
                  <w:tcW w:w="902" w:type="pct"/>
                  <w:tcBorders>
                    <w:top w:val="single" w:color="auto" w:sz="4" w:space="0"/>
                    <w:left w:val="single" w:color="auto" w:sz="4" w:space="0"/>
                    <w:bottom w:val="single" w:color="auto" w:sz="4" w:space="0"/>
                    <w:right w:val="single" w:color="auto" w:sz="4" w:space="0"/>
                  </w:tcBorders>
                  <w:vAlign w:val="center"/>
                </w:tcPr>
                <w:p>
                  <w:pPr>
                    <w:pStyle w:val="47"/>
                  </w:pPr>
                  <w:r>
                    <w:t>废乳化液</w:t>
                  </w:r>
                </w:p>
              </w:tc>
              <w:tc>
                <w:tcPr>
                  <w:tcW w:w="1163" w:type="pct"/>
                  <w:tcBorders>
                    <w:top w:val="single" w:color="auto" w:sz="4" w:space="0"/>
                    <w:left w:val="single" w:color="auto" w:sz="4" w:space="0"/>
                    <w:bottom w:val="single" w:color="auto" w:sz="4" w:space="0"/>
                    <w:right w:val="single" w:color="auto" w:sz="4" w:space="0"/>
                  </w:tcBorders>
                  <w:vAlign w:val="center"/>
                </w:tcPr>
                <w:p>
                  <w:pPr>
                    <w:pStyle w:val="47"/>
                  </w:pPr>
                  <w:r>
                    <w:t>粗车、普铣、精车</w:t>
                  </w:r>
                </w:p>
              </w:tc>
              <w:tc>
                <w:tcPr>
                  <w:tcW w:w="411" w:type="pct"/>
                  <w:tcBorders>
                    <w:top w:val="single" w:color="auto" w:sz="4" w:space="0"/>
                    <w:left w:val="single" w:color="auto" w:sz="4" w:space="0"/>
                    <w:bottom w:val="single" w:color="auto" w:sz="4" w:space="0"/>
                    <w:right w:val="single" w:color="auto" w:sz="4" w:space="0"/>
                  </w:tcBorders>
                  <w:vAlign w:val="center"/>
                </w:tcPr>
                <w:p>
                  <w:pPr>
                    <w:pStyle w:val="47"/>
                  </w:pPr>
                  <w:r>
                    <w:t>液态</w:t>
                  </w:r>
                </w:p>
              </w:tc>
              <w:tc>
                <w:tcPr>
                  <w:tcW w:w="1163" w:type="pct"/>
                  <w:tcBorders>
                    <w:top w:val="single" w:color="auto" w:sz="4" w:space="0"/>
                    <w:left w:val="single" w:color="auto" w:sz="4" w:space="0"/>
                    <w:bottom w:val="single" w:color="auto" w:sz="4" w:space="0"/>
                    <w:right w:val="single" w:color="auto" w:sz="4" w:space="0"/>
                  </w:tcBorders>
                  <w:vAlign w:val="center"/>
                </w:tcPr>
                <w:p>
                  <w:pPr>
                    <w:pStyle w:val="47"/>
                  </w:pPr>
                  <w:r>
                    <w:t>乳化液</w:t>
                  </w:r>
                </w:p>
              </w:tc>
              <w:tc>
                <w:tcPr>
                  <w:tcW w:w="644" w:type="pct"/>
                  <w:tcBorders>
                    <w:top w:val="single" w:color="auto" w:sz="4" w:space="0"/>
                    <w:left w:val="single" w:color="auto" w:sz="4" w:space="0"/>
                    <w:bottom w:val="single" w:color="auto" w:sz="4" w:space="0"/>
                    <w:right w:val="single" w:color="auto" w:sz="4" w:space="0"/>
                  </w:tcBorders>
                  <w:vAlign w:val="center"/>
                </w:tcPr>
                <w:p>
                  <w:pPr>
                    <w:pStyle w:val="47"/>
                  </w:pPr>
                  <w:r>
                    <w:t>是</w:t>
                  </w:r>
                </w:p>
              </w:tc>
              <w:tc>
                <w:tcPr>
                  <w:tcW w:w="414" w:type="pct"/>
                  <w:tcBorders>
                    <w:top w:val="single" w:color="auto" w:sz="4" w:space="0"/>
                    <w:left w:val="single" w:color="auto" w:sz="4" w:space="0"/>
                    <w:bottom w:val="single" w:color="auto" w:sz="4" w:space="0"/>
                    <w:right w:val="single" w:color="auto" w:sz="4" w:space="0"/>
                  </w:tcBorders>
                  <w:vAlign w:val="center"/>
                </w:tcPr>
                <w:p>
                  <w:pPr>
                    <w:pStyle w:val="47"/>
                  </w:pPr>
                  <w:r>
                    <w:t>4.1-h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5</w:t>
                  </w:r>
                </w:p>
              </w:tc>
              <w:tc>
                <w:tcPr>
                  <w:tcW w:w="902"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废漆料</w:t>
                  </w:r>
                </w:p>
              </w:tc>
              <w:tc>
                <w:tcPr>
                  <w:tcW w:w="116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真空浸漆</w:t>
                  </w:r>
                </w:p>
              </w:tc>
              <w:tc>
                <w:tcPr>
                  <w:tcW w:w="411" w:type="pct"/>
                  <w:tcBorders>
                    <w:top w:val="single" w:color="auto" w:sz="4" w:space="0"/>
                    <w:left w:val="single" w:color="auto" w:sz="4" w:space="0"/>
                    <w:bottom w:val="single" w:color="auto" w:sz="4" w:space="0"/>
                    <w:right w:val="single" w:color="auto" w:sz="4" w:space="0"/>
                  </w:tcBorders>
                  <w:vAlign w:val="center"/>
                </w:tcPr>
                <w:p>
                  <w:pPr>
                    <w:pStyle w:val="47"/>
                  </w:pPr>
                  <w:r>
                    <w:t>固态</w:t>
                  </w:r>
                </w:p>
              </w:tc>
              <w:tc>
                <w:tcPr>
                  <w:tcW w:w="116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绝缘漆残渣</w:t>
                  </w:r>
                </w:p>
              </w:tc>
              <w:tc>
                <w:tcPr>
                  <w:tcW w:w="644" w:type="pct"/>
                  <w:tcBorders>
                    <w:top w:val="single" w:color="auto" w:sz="4" w:space="0"/>
                    <w:left w:val="single" w:color="auto" w:sz="4" w:space="0"/>
                    <w:bottom w:val="single" w:color="auto" w:sz="4" w:space="0"/>
                    <w:right w:val="single" w:color="auto" w:sz="4" w:space="0"/>
                  </w:tcBorders>
                  <w:vAlign w:val="center"/>
                </w:tcPr>
                <w:p>
                  <w:pPr>
                    <w:pStyle w:val="47"/>
                  </w:pPr>
                  <w:r>
                    <w:t>是</w:t>
                  </w:r>
                </w:p>
              </w:tc>
              <w:tc>
                <w:tcPr>
                  <w:tcW w:w="414" w:type="pct"/>
                  <w:tcBorders>
                    <w:top w:val="single" w:color="auto" w:sz="4" w:space="0"/>
                    <w:left w:val="single" w:color="auto" w:sz="4" w:space="0"/>
                    <w:bottom w:val="single" w:color="auto" w:sz="4" w:space="0"/>
                    <w:right w:val="single" w:color="auto" w:sz="4" w:space="0"/>
                  </w:tcBorders>
                  <w:vAlign w:val="center"/>
                </w:tcPr>
                <w:p>
                  <w:pPr>
                    <w:pStyle w:val="47"/>
                  </w:pPr>
                  <w:r>
                    <w:t>4.1-h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6</w:t>
                  </w:r>
                </w:p>
              </w:tc>
              <w:tc>
                <w:tcPr>
                  <w:tcW w:w="902" w:type="pct"/>
                  <w:tcBorders>
                    <w:top w:val="single" w:color="auto" w:sz="4" w:space="0"/>
                    <w:left w:val="single" w:color="auto" w:sz="4" w:space="0"/>
                    <w:bottom w:val="single" w:color="auto" w:sz="4" w:space="0"/>
                    <w:right w:val="single" w:color="auto" w:sz="4" w:space="0"/>
                  </w:tcBorders>
                  <w:vAlign w:val="center"/>
                </w:tcPr>
                <w:p>
                  <w:pPr>
                    <w:pStyle w:val="47"/>
                  </w:pPr>
                  <w:r>
                    <w:t>废包装桶</w:t>
                  </w:r>
                </w:p>
              </w:tc>
              <w:tc>
                <w:tcPr>
                  <w:tcW w:w="1163" w:type="pct"/>
                  <w:tcBorders>
                    <w:top w:val="single" w:color="auto" w:sz="4" w:space="0"/>
                    <w:left w:val="single" w:color="auto" w:sz="4" w:space="0"/>
                    <w:bottom w:val="single" w:color="auto" w:sz="4" w:space="0"/>
                    <w:right w:val="single" w:color="auto" w:sz="4" w:space="0"/>
                  </w:tcBorders>
                  <w:vAlign w:val="center"/>
                </w:tcPr>
                <w:p>
                  <w:pPr>
                    <w:pStyle w:val="47"/>
                  </w:pPr>
                  <w:r>
                    <w:t>乳化液</w:t>
                  </w:r>
                  <w:r>
                    <w:rPr>
                      <w:rFonts w:hint="eastAsia"/>
                    </w:rPr>
                    <w:t>、绝缘漆</w:t>
                  </w:r>
                  <w:r>
                    <w:t>使用</w:t>
                  </w:r>
                </w:p>
              </w:tc>
              <w:tc>
                <w:tcPr>
                  <w:tcW w:w="411" w:type="pct"/>
                  <w:tcBorders>
                    <w:top w:val="single" w:color="auto" w:sz="4" w:space="0"/>
                    <w:left w:val="single" w:color="auto" w:sz="4" w:space="0"/>
                    <w:bottom w:val="single" w:color="auto" w:sz="4" w:space="0"/>
                    <w:right w:val="single" w:color="auto" w:sz="4" w:space="0"/>
                  </w:tcBorders>
                  <w:vAlign w:val="center"/>
                </w:tcPr>
                <w:p>
                  <w:pPr>
                    <w:pStyle w:val="47"/>
                  </w:pPr>
                  <w:r>
                    <w:t>固态</w:t>
                  </w:r>
                </w:p>
              </w:tc>
              <w:tc>
                <w:tcPr>
                  <w:tcW w:w="1163" w:type="pct"/>
                  <w:tcBorders>
                    <w:top w:val="single" w:color="auto" w:sz="4" w:space="0"/>
                    <w:left w:val="single" w:color="auto" w:sz="4" w:space="0"/>
                    <w:bottom w:val="single" w:color="auto" w:sz="4" w:space="0"/>
                    <w:right w:val="single" w:color="auto" w:sz="4" w:space="0"/>
                  </w:tcBorders>
                  <w:vAlign w:val="center"/>
                </w:tcPr>
                <w:p>
                  <w:pPr>
                    <w:pStyle w:val="47"/>
                  </w:pPr>
                  <w:r>
                    <w:t>乳化液</w:t>
                  </w:r>
                  <w:r>
                    <w:rPr>
                      <w:rFonts w:hint="eastAsia"/>
                    </w:rPr>
                    <w:t>、绝缘漆、废包装</w:t>
                  </w:r>
                  <w:r>
                    <w:t>桶</w:t>
                  </w:r>
                </w:p>
              </w:tc>
              <w:tc>
                <w:tcPr>
                  <w:tcW w:w="644" w:type="pct"/>
                  <w:tcBorders>
                    <w:top w:val="single" w:color="auto" w:sz="4" w:space="0"/>
                    <w:left w:val="single" w:color="auto" w:sz="4" w:space="0"/>
                    <w:bottom w:val="single" w:color="auto" w:sz="4" w:space="0"/>
                    <w:right w:val="single" w:color="auto" w:sz="4" w:space="0"/>
                  </w:tcBorders>
                  <w:vAlign w:val="center"/>
                </w:tcPr>
                <w:p>
                  <w:pPr>
                    <w:pStyle w:val="47"/>
                  </w:pPr>
                  <w:r>
                    <w:t>是</w:t>
                  </w:r>
                </w:p>
              </w:tc>
              <w:tc>
                <w:tcPr>
                  <w:tcW w:w="414" w:type="pct"/>
                  <w:tcBorders>
                    <w:top w:val="single" w:color="auto" w:sz="4" w:space="0"/>
                    <w:left w:val="single" w:color="auto" w:sz="4" w:space="0"/>
                    <w:bottom w:val="single" w:color="auto" w:sz="4" w:space="0"/>
                    <w:right w:val="single" w:color="auto" w:sz="4" w:space="0"/>
                  </w:tcBorders>
                  <w:vAlign w:val="center"/>
                </w:tcPr>
                <w:p>
                  <w:pPr>
                    <w:pStyle w:val="47"/>
                  </w:pPr>
                  <w:r>
                    <w:t>4.1-h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7</w:t>
                  </w:r>
                </w:p>
              </w:tc>
              <w:tc>
                <w:tcPr>
                  <w:tcW w:w="902"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废机油</w:t>
                  </w:r>
                </w:p>
              </w:tc>
              <w:tc>
                <w:tcPr>
                  <w:tcW w:w="116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设备保养</w:t>
                  </w:r>
                </w:p>
              </w:tc>
              <w:tc>
                <w:tcPr>
                  <w:tcW w:w="41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液态</w:t>
                  </w:r>
                </w:p>
              </w:tc>
              <w:tc>
                <w:tcPr>
                  <w:tcW w:w="116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机油</w:t>
                  </w:r>
                </w:p>
              </w:tc>
              <w:tc>
                <w:tcPr>
                  <w:tcW w:w="644"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是</w:t>
                  </w:r>
                </w:p>
              </w:tc>
              <w:tc>
                <w:tcPr>
                  <w:tcW w:w="414"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4.1-c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8</w:t>
                  </w:r>
                </w:p>
              </w:tc>
              <w:tc>
                <w:tcPr>
                  <w:tcW w:w="902"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废油桶</w:t>
                  </w:r>
                </w:p>
              </w:tc>
              <w:tc>
                <w:tcPr>
                  <w:tcW w:w="116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机油、液压油使用</w:t>
                  </w:r>
                </w:p>
              </w:tc>
              <w:tc>
                <w:tcPr>
                  <w:tcW w:w="411" w:type="pct"/>
                  <w:tcBorders>
                    <w:top w:val="single" w:color="auto" w:sz="4" w:space="0"/>
                    <w:left w:val="single" w:color="auto" w:sz="4" w:space="0"/>
                    <w:bottom w:val="single" w:color="auto" w:sz="4" w:space="0"/>
                    <w:right w:val="single" w:color="auto" w:sz="4" w:space="0"/>
                  </w:tcBorders>
                  <w:vAlign w:val="center"/>
                </w:tcPr>
                <w:p>
                  <w:pPr>
                    <w:pStyle w:val="47"/>
                  </w:pPr>
                  <w:r>
                    <w:t>固态</w:t>
                  </w:r>
                </w:p>
              </w:tc>
              <w:tc>
                <w:tcPr>
                  <w:tcW w:w="116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机油、液压油、废包装</w:t>
                  </w:r>
                  <w:r>
                    <w:t>桶</w:t>
                  </w:r>
                </w:p>
              </w:tc>
              <w:tc>
                <w:tcPr>
                  <w:tcW w:w="644" w:type="pct"/>
                  <w:tcBorders>
                    <w:top w:val="single" w:color="auto" w:sz="4" w:space="0"/>
                    <w:left w:val="single" w:color="auto" w:sz="4" w:space="0"/>
                    <w:bottom w:val="single" w:color="auto" w:sz="4" w:space="0"/>
                    <w:right w:val="single" w:color="auto" w:sz="4" w:space="0"/>
                  </w:tcBorders>
                  <w:vAlign w:val="center"/>
                </w:tcPr>
                <w:p>
                  <w:pPr>
                    <w:pStyle w:val="47"/>
                  </w:pPr>
                  <w:r>
                    <w:t>是</w:t>
                  </w:r>
                </w:p>
              </w:tc>
              <w:tc>
                <w:tcPr>
                  <w:tcW w:w="414" w:type="pct"/>
                  <w:tcBorders>
                    <w:top w:val="single" w:color="auto" w:sz="4" w:space="0"/>
                    <w:left w:val="single" w:color="auto" w:sz="4" w:space="0"/>
                    <w:bottom w:val="single" w:color="auto" w:sz="4" w:space="0"/>
                    <w:right w:val="single" w:color="auto" w:sz="4" w:space="0"/>
                  </w:tcBorders>
                  <w:vAlign w:val="center"/>
                </w:tcPr>
                <w:p>
                  <w:pPr>
                    <w:pStyle w:val="47"/>
                  </w:pPr>
                  <w:r>
                    <w:t>4.1-h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9</w:t>
                  </w:r>
                </w:p>
              </w:tc>
              <w:tc>
                <w:tcPr>
                  <w:tcW w:w="902"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金属沉渣</w:t>
                  </w:r>
                </w:p>
              </w:tc>
              <w:tc>
                <w:tcPr>
                  <w:tcW w:w="116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废水处理</w:t>
                  </w:r>
                </w:p>
              </w:tc>
              <w:tc>
                <w:tcPr>
                  <w:tcW w:w="411" w:type="pct"/>
                  <w:tcBorders>
                    <w:top w:val="single" w:color="auto" w:sz="4" w:space="0"/>
                    <w:left w:val="single" w:color="auto" w:sz="4" w:space="0"/>
                    <w:bottom w:val="single" w:color="auto" w:sz="4" w:space="0"/>
                    <w:right w:val="single" w:color="auto" w:sz="4" w:space="0"/>
                  </w:tcBorders>
                  <w:vAlign w:val="center"/>
                </w:tcPr>
                <w:p>
                  <w:pPr>
                    <w:pStyle w:val="47"/>
                  </w:pPr>
                  <w:r>
                    <w:t>固态</w:t>
                  </w:r>
                </w:p>
              </w:tc>
              <w:tc>
                <w:tcPr>
                  <w:tcW w:w="116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金属屑</w:t>
                  </w:r>
                </w:p>
              </w:tc>
              <w:tc>
                <w:tcPr>
                  <w:tcW w:w="644" w:type="pct"/>
                  <w:tcBorders>
                    <w:top w:val="single" w:color="auto" w:sz="4" w:space="0"/>
                    <w:left w:val="single" w:color="auto" w:sz="4" w:space="0"/>
                    <w:bottom w:val="single" w:color="auto" w:sz="4" w:space="0"/>
                    <w:right w:val="single" w:color="auto" w:sz="4" w:space="0"/>
                  </w:tcBorders>
                  <w:vAlign w:val="center"/>
                </w:tcPr>
                <w:p>
                  <w:pPr>
                    <w:pStyle w:val="47"/>
                  </w:pPr>
                  <w:r>
                    <w:t>是</w:t>
                  </w:r>
                </w:p>
              </w:tc>
              <w:tc>
                <w:tcPr>
                  <w:tcW w:w="414"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4.3-e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10</w:t>
                  </w:r>
                </w:p>
              </w:tc>
              <w:tc>
                <w:tcPr>
                  <w:tcW w:w="902" w:type="pct"/>
                  <w:tcBorders>
                    <w:top w:val="single" w:color="auto" w:sz="4" w:space="0"/>
                    <w:left w:val="single" w:color="auto" w:sz="4" w:space="0"/>
                    <w:bottom w:val="single" w:color="auto" w:sz="4" w:space="0"/>
                    <w:right w:val="single" w:color="auto" w:sz="4" w:space="0"/>
                  </w:tcBorders>
                  <w:vAlign w:val="center"/>
                </w:tcPr>
                <w:p>
                  <w:pPr>
                    <w:pStyle w:val="47"/>
                  </w:pPr>
                  <w:r>
                    <w:t>废活性炭</w:t>
                  </w:r>
                </w:p>
              </w:tc>
              <w:tc>
                <w:tcPr>
                  <w:tcW w:w="1163" w:type="pct"/>
                  <w:tcBorders>
                    <w:top w:val="single" w:color="auto" w:sz="4" w:space="0"/>
                    <w:left w:val="single" w:color="auto" w:sz="4" w:space="0"/>
                    <w:bottom w:val="single" w:color="auto" w:sz="4" w:space="0"/>
                    <w:right w:val="single" w:color="auto" w:sz="4" w:space="0"/>
                  </w:tcBorders>
                  <w:vAlign w:val="center"/>
                </w:tcPr>
                <w:p>
                  <w:pPr>
                    <w:pStyle w:val="47"/>
                  </w:pPr>
                  <w:r>
                    <w:t>废气处理</w:t>
                  </w:r>
                </w:p>
              </w:tc>
              <w:tc>
                <w:tcPr>
                  <w:tcW w:w="411" w:type="pct"/>
                  <w:tcBorders>
                    <w:top w:val="single" w:color="auto" w:sz="4" w:space="0"/>
                    <w:left w:val="single" w:color="auto" w:sz="4" w:space="0"/>
                    <w:bottom w:val="single" w:color="auto" w:sz="4" w:space="0"/>
                    <w:right w:val="single" w:color="auto" w:sz="4" w:space="0"/>
                  </w:tcBorders>
                  <w:vAlign w:val="center"/>
                </w:tcPr>
                <w:p>
                  <w:pPr>
                    <w:pStyle w:val="47"/>
                  </w:pPr>
                  <w:r>
                    <w:t>固态</w:t>
                  </w:r>
                </w:p>
              </w:tc>
              <w:tc>
                <w:tcPr>
                  <w:tcW w:w="1163" w:type="pct"/>
                  <w:tcBorders>
                    <w:top w:val="single" w:color="auto" w:sz="4" w:space="0"/>
                    <w:left w:val="single" w:color="auto" w:sz="4" w:space="0"/>
                    <w:bottom w:val="single" w:color="auto" w:sz="4" w:space="0"/>
                    <w:right w:val="single" w:color="auto" w:sz="4" w:space="0"/>
                  </w:tcBorders>
                  <w:vAlign w:val="center"/>
                </w:tcPr>
                <w:p>
                  <w:pPr>
                    <w:pStyle w:val="47"/>
                  </w:pPr>
                  <w:r>
                    <w:t>活性炭、有机废气</w:t>
                  </w:r>
                </w:p>
              </w:tc>
              <w:tc>
                <w:tcPr>
                  <w:tcW w:w="644" w:type="pct"/>
                  <w:tcBorders>
                    <w:top w:val="single" w:color="auto" w:sz="4" w:space="0"/>
                    <w:left w:val="single" w:color="auto" w:sz="4" w:space="0"/>
                    <w:bottom w:val="single" w:color="auto" w:sz="4" w:space="0"/>
                    <w:right w:val="single" w:color="auto" w:sz="4" w:space="0"/>
                  </w:tcBorders>
                  <w:vAlign w:val="center"/>
                </w:tcPr>
                <w:p>
                  <w:pPr>
                    <w:pStyle w:val="47"/>
                  </w:pPr>
                  <w:r>
                    <w:t>是</w:t>
                  </w:r>
                </w:p>
              </w:tc>
              <w:tc>
                <w:tcPr>
                  <w:tcW w:w="414" w:type="pct"/>
                  <w:tcBorders>
                    <w:top w:val="single" w:color="auto" w:sz="4" w:space="0"/>
                    <w:left w:val="single" w:color="auto" w:sz="4" w:space="0"/>
                    <w:bottom w:val="single" w:color="auto" w:sz="4" w:space="0"/>
                    <w:right w:val="single" w:color="auto" w:sz="4" w:space="0"/>
                  </w:tcBorders>
                  <w:vAlign w:val="center"/>
                </w:tcPr>
                <w:p>
                  <w:pPr>
                    <w:pStyle w:val="47"/>
                  </w:pPr>
                  <w:r>
                    <w:t>4.3-l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11</w:t>
                  </w:r>
                </w:p>
              </w:tc>
              <w:tc>
                <w:tcPr>
                  <w:tcW w:w="902"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废滤芯</w:t>
                  </w:r>
                </w:p>
              </w:tc>
              <w:tc>
                <w:tcPr>
                  <w:tcW w:w="116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废气处理</w:t>
                  </w:r>
                </w:p>
              </w:tc>
              <w:tc>
                <w:tcPr>
                  <w:tcW w:w="41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固态</w:t>
                  </w:r>
                </w:p>
              </w:tc>
              <w:tc>
                <w:tcPr>
                  <w:tcW w:w="116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滤芯、焊接烟尘</w:t>
                  </w:r>
                </w:p>
              </w:tc>
              <w:tc>
                <w:tcPr>
                  <w:tcW w:w="644"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是</w:t>
                  </w:r>
                </w:p>
              </w:tc>
              <w:tc>
                <w:tcPr>
                  <w:tcW w:w="414"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4.3-l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12</w:t>
                  </w:r>
                </w:p>
              </w:tc>
              <w:tc>
                <w:tcPr>
                  <w:tcW w:w="902"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含漆废抹布和手套</w:t>
                  </w:r>
                </w:p>
              </w:tc>
              <w:tc>
                <w:tcPr>
                  <w:tcW w:w="116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绝缘漆使用</w:t>
                  </w:r>
                </w:p>
              </w:tc>
              <w:tc>
                <w:tcPr>
                  <w:tcW w:w="411" w:type="pct"/>
                  <w:tcBorders>
                    <w:top w:val="single" w:color="auto" w:sz="4" w:space="0"/>
                    <w:left w:val="single" w:color="auto" w:sz="4" w:space="0"/>
                    <w:bottom w:val="single" w:color="auto" w:sz="4" w:space="0"/>
                    <w:right w:val="single" w:color="auto" w:sz="4" w:space="0"/>
                  </w:tcBorders>
                  <w:vAlign w:val="center"/>
                </w:tcPr>
                <w:p>
                  <w:pPr>
                    <w:pStyle w:val="47"/>
                  </w:pPr>
                  <w:r>
                    <w:t>固态</w:t>
                  </w:r>
                </w:p>
              </w:tc>
              <w:tc>
                <w:tcPr>
                  <w:tcW w:w="1163" w:type="pct"/>
                  <w:tcBorders>
                    <w:top w:val="single" w:color="auto" w:sz="4" w:space="0"/>
                    <w:left w:val="single" w:color="auto" w:sz="4" w:space="0"/>
                    <w:bottom w:val="single" w:color="auto" w:sz="4" w:space="0"/>
                    <w:right w:val="single" w:color="auto" w:sz="4" w:space="0"/>
                  </w:tcBorders>
                  <w:vAlign w:val="center"/>
                </w:tcPr>
                <w:p>
                  <w:pPr>
                    <w:pStyle w:val="47"/>
                  </w:pPr>
                  <w:r>
                    <w:t>手套、抹布、</w:t>
                  </w:r>
                  <w:r>
                    <w:rPr>
                      <w:rFonts w:hint="eastAsia"/>
                    </w:rPr>
                    <w:t>绝缘漆</w:t>
                  </w:r>
                </w:p>
              </w:tc>
              <w:tc>
                <w:tcPr>
                  <w:tcW w:w="644" w:type="pct"/>
                  <w:tcBorders>
                    <w:top w:val="single" w:color="auto" w:sz="4" w:space="0"/>
                    <w:left w:val="single" w:color="auto" w:sz="4" w:space="0"/>
                    <w:bottom w:val="single" w:color="auto" w:sz="4" w:space="0"/>
                    <w:right w:val="single" w:color="auto" w:sz="4" w:space="0"/>
                  </w:tcBorders>
                  <w:vAlign w:val="center"/>
                </w:tcPr>
                <w:p>
                  <w:pPr>
                    <w:pStyle w:val="47"/>
                  </w:pPr>
                  <w:r>
                    <w:t>是</w:t>
                  </w:r>
                </w:p>
              </w:tc>
              <w:tc>
                <w:tcPr>
                  <w:tcW w:w="414" w:type="pct"/>
                  <w:tcBorders>
                    <w:top w:val="single" w:color="auto" w:sz="4" w:space="0"/>
                    <w:left w:val="single" w:color="auto" w:sz="4" w:space="0"/>
                    <w:bottom w:val="single" w:color="auto" w:sz="4" w:space="0"/>
                    <w:right w:val="single" w:color="auto" w:sz="4" w:space="0"/>
                  </w:tcBorders>
                  <w:vAlign w:val="center"/>
                </w:tcPr>
                <w:p>
                  <w:pPr>
                    <w:pStyle w:val="47"/>
                  </w:pPr>
                  <w:r>
                    <w:t>4.1-c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13</w:t>
                  </w:r>
                </w:p>
              </w:tc>
              <w:tc>
                <w:tcPr>
                  <w:tcW w:w="902"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含油废抹布和手套</w:t>
                  </w:r>
                </w:p>
              </w:tc>
              <w:tc>
                <w:tcPr>
                  <w:tcW w:w="116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设备保养</w:t>
                  </w:r>
                </w:p>
              </w:tc>
              <w:tc>
                <w:tcPr>
                  <w:tcW w:w="411" w:type="pct"/>
                  <w:tcBorders>
                    <w:top w:val="single" w:color="auto" w:sz="4" w:space="0"/>
                    <w:left w:val="single" w:color="auto" w:sz="4" w:space="0"/>
                    <w:bottom w:val="single" w:color="auto" w:sz="4" w:space="0"/>
                    <w:right w:val="single" w:color="auto" w:sz="4" w:space="0"/>
                  </w:tcBorders>
                  <w:vAlign w:val="center"/>
                </w:tcPr>
                <w:p>
                  <w:pPr>
                    <w:pStyle w:val="47"/>
                  </w:pPr>
                  <w:r>
                    <w:t>固态</w:t>
                  </w:r>
                </w:p>
              </w:tc>
              <w:tc>
                <w:tcPr>
                  <w:tcW w:w="1163" w:type="pct"/>
                  <w:tcBorders>
                    <w:top w:val="single" w:color="auto" w:sz="4" w:space="0"/>
                    <w:left w:val="single" w:color="auto" w:sz="4" w:space="0"/>
                    <w:bottom w:val="single" w:color="auto" w:sz="4" w:space="0"/>
                    <w:right w:val="single" w:color="auto" w:sz="4" w:space="0"/>
                  </w:tcBorders>
                  <w:vAlign w:val="center"/>
                </w:tcPr>
                <w:p>
                  <w:pPr>
                    <w:pStyle w:val="47"/>
                  </w:pPr>
                  <w:r>
                    <w:t>手套、抹布、</w:t>
                  </w:r>
                  <w:r>
                    <w:rPr>
                      <w:rFonts w:hint="eastAsia"/>
                    </w:rPr>
                    <w:t>机油、液压油</w:t>
                  </w:r>
                </w:p>
              </w:tc>
              <w:tc>
                <w:tcPr>
                  <w:tcW w:w="644" w:type="pct"/>
                  <w:tcBorders>
                    <w:top w:val="single" w:color="auto" w:sz="4" w:space="0"/>
                    <w:left w:val="single" w:color="auto" w:sz="4" w:space="0"/>
                    <w:bottom w:val="single" w:color="auto" w:sz="4" w:space="0"/>
                    <w:right w:val="single" w:color="auto" w:sz="4" w:space="0"/>
                  </w:tcBorders>
                  <w:vAlign w:val="center"/>
                </w:tcPr>
                <w:p>
                  <w:pPr>
                    <w:pStyle w:val="47"/>
                  </w:pPr>
                  <w:r>
                    <w:t>是</w:t>
                  </w:r>
                </w:p>
              </w:tc>
              <w:tc>
                <w:tcPr>
                  <w:tcW w:w="414" w:type="pct"/>
                  <w:tcBorders>
                    <w:top w:val="single" w:color="auto" w:sz="4" w:space="0"/>
                    <w:left w:val="single" w:color="auto" w:sz="4" w:space="0"/>
                    <w:bottom w:val="single" w:color="auto" w:sz="4" w:space="0"/>
                    <w:right w:val="single" w:color="auto" w:sz="4" w:space="0"/>
                  </w:tcBorders>
                  <w:vAlign w:val="center"/>
                </w:tcPr>
                <w:p>
                  <w:pPr>
                    <w:pStyle w:val="47"/>
                  </w:pPr>
                  <w:r>
                    <w:t>4.1-c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14</w:t>
                  </w:r>
                </w:p>
              </w:tc>
              <w:tc>
                <w:tcPr>
                  <w:tcW w:w="902" w:type="pct"/>
                  <w:tcBorders>
                    <w:top w:val="single" w:color="auto" w:sz="4" w:space="0"/>
                    <w:left w:val="single" w:color="auto" w:sz="4" w:space="0"/>
                    <w:bottom w:val="single" w:color="auto" w:sz="4" w:space="0"/>
                    <w:right w:val="single" w:color="auto" w:sz="4" w:space="0"/>
                  </w:tcBorders>
                  <w:vAlign w:val="center"/>
                </w:tcPr>
                <w:p>
                  <w:pPr>
                    <w:pStyle w:val="47"/>
                  </w:pPr>
                  <w:r>
                    <w:t>生活垃圾</w:t>
                  </w:r>
                </w:p>
              </w:tc>
              <w:tc>
                <w:tcPr>
                  <w:tcW w:w="1163" w:type="pct"/>
                  <w:tcBorders>
                    <w:top w:val="single" w:color="auto" w:sz="4" w:space="0"/>
                    <w:left w:val="single" w:color="auto" w:sz="4" w:space="0"/>
                    <w:bottom w:val="single" w:color="auto" w:sz="4" w:space="0"/>
                    <w:right w:val="single" w:color="auto" w:sz="4" w:space="0"/>
                  </w:tcBorders>
                  <w:vAlign w:val="center"/>
                </w:tcPr>
                <w:p>
                  <w:pPr>
                    <w:pStyle w:val="47"/>
                  </w:pPr>
                  <w:r>
                    <w:t>职工生活</w:t>
                  </w:r>
                </w:p>
              </w:tc>
              <w:tc>
                <w:tcPr>
                  <w:tcW w:w="411" w:type="pct"/>
                  <w:tcBorders>
                    <w:top w:val="single" w:color="auto" w:sz="4" w:space="0"/>
                    <w:left w:val="single" w:color="auto" w:sz="4" w:space="0"/>
                    <w:bottom w:val="single" w:color="auto" w:sz="4" w:space="0"/>
                    <w:right w:val="single" w:color="auto" w:sz="4" w:space="0"/>
                  </w:tcBorders>
                  <w:vAlign w:val="center"/>
                </w:tcPr>
                <w:p>
                  <w:pPr>
                    <w:pStyle w:val="47"/>
                  </w:pPr>
                  <w:r>
                    <w:t>固态</w:t>
                  </w:r>
                </w:p>
              </w:tc>
              <w:tc>
                <w:tcPr>
                  <w:tcW w:w="1163" w:type="pct"/>
                  <w:tcBorders>
                    <w:top w:val="single" w:color="auto" w:sz="4" w:space="0"/>
                    <w:left w:val="single" w:color="auto" w:sz="4" w:space="0"/>
                    <w:bottom w:val="single" w:color="auto" w:sz="4" w:space="0"/>
                    <w:right w:val="single" w:color="auto" w:sz="4" w:space="0"/>
                  </w:tcBorders>
                  <w:vAlign w:val="center"/>
                </w:tcPr>
                <w:p>
                  <w:pPr>
                    <w:pStyle w:val="47"/>
                  </w:pPr>
                  <w:r>
                    <w:t>生活垃圾</w:t>
                  </w:r>
                </w:p>
              </w:tc>
              <w:tc>
                <w:tcPr>
                  <w:tcW w:w="644" w:type="pct"/>
                  <w:tcBorders>
                    <w:top w:val="single" w:color="auto" w:sz="4" w:space="0"/>
                    <w:left w:val="single" w:color="auto" w:sz="4" w:space="0"/>
                    <w:bottom w:val="single" w:color="auto" w:sz="4" w:space="0"/>
                    <w:right w:val="single" w:color="auto" w:sz="4" w:space="0"/>
                  </w:tcBorders>
                  <w:vAlign w:val="center"/>
                </w:tcPr>
                <w:p>
                  <w:pPr>
                    <w:pStyle w:val="47"/>
                  </w:pPr>
                  <w:r>
                    <w:t>是</w:t>
                  </w:r>
                </w:p>
              </w:tc>
              <w:tc>
                <w:tcPr>
                  <w:tcW w:w="414" w:type="pct"/>
                  <w:tcBorders>
                    <w:top w:val="single" w:color="auto" w:sz="4" w:space="0"/>
                    <w:left w:val="single" w:color="auto" w:sz="4" w:space="0"/>
                    <w:bottom w:val="single" w:color="auto" w:sz="4" w:space="0"/>
                    <w:right w:val="single" w:color="auto" w:sz="4" w:space="0"/>
                  </w:tcBorders>
                  <w:vAlign w:val="center"/>
                </w:tcPr>
                <w:p>
                  <w:pPr>
                    <w:pStyle w:val="47"/>
                  </w:pPr>
                  <w:r>
                    <w:t>4.3-a</w:t>
                  </w:r>
                </w:p>
              </w:tc>
            </w:tr>
          </w:tbl>
          <w:p>
            <w:pPr>
              <w:spacing w:before="120" w:beforeLines="50"/>
              <w:ind w:firstLine="480"/>
            </w:pPr>
            <w:r>
              <w:t>2、危险废物属性判定</w:t>
            </w:r>
          </w:p>
          <w:p>
            <w:pPr>
              <w:ind w:firstLine="480"/>
            </w:pPr>
            <w:r>
              <w:t>根据《国家危险废物名录》（20</w:t>
            </w:r>
            <w:r>
              <w:rPr>
                <w:rFonts w:hint="eastAsia"/>
              </w:rPr>
              <w:t>21年</w:t>
            </w:r>
            <w:r>
              <w:t>版）以及《危险废物鉴别标准 通则》（GB5085.7-2019），判断本项目的固体废物是否属于危险废物，判定结果见下表。</w:t>
            </w:r>
          </w:p>
          <w:p>
            <w:pPr>
              <w:pStyle w:val="46"/>
            </w:pPr>
            <w:r>
              <w:t>表5-1</w:t>
            </w:r>
            <w:r>
              <w:rPr>
                <w:rFonts w:hint="eastAsia"/>
              </w:rPr>
              <w:t>2</w:t>
            </w:r>
            <w:r>
              <w:t xml:space="preserve">  危险废物属性判定表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484"/>
              <w:gridCol w:w="2270"/>
              <w:gridCol w:w="1756"/>
              <w:gridCol w:w="1247"/>
              <w:gridCol w:w="1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pPr>
                    <w:pStyle w:val="46"/>
                  </w:pPr>
                  <w:r>
                    <w:t>序号</w:t>
                  </w:r>
                </w:p>
              </w:tc>
              <w:tc>
                <w:tcPr>
                  <w:tcW w:w="851" w:type="pct"/>
                  <w:tcBorders>
                    <w:top w:val="single" w:color="auto" w:sz="4" w:space="0"/>
                    <w:left w:val="single" w:color="auto" w:sz="4" w:space="0"/>
                    <w:bottom w:val="single" w:color="auto" w:sz="4" w:space="0"/>
                    <w:right w:val="single" w:color="auto" w:sz="4" w:space="0"/>
                  </w:tcBorders>
                  <w:vAlign w:val="center"/>
                </w:tcPr>
                <w:p>
                  <w:pPr>
                    <w:pStyle w:val="46"/>
                  </w:pPr>
                  <w:r>
                    <w:t>固废名称</w:t>
                  </w:r>
                </w:p>
              </w:tc>
              <w:tc>
                <w:tcPr>
                  <w:tcW w:w="1302" w:type="pct"/>
                  <w:tcBorders>
                    <w:top w:val="single" w:color="auto" w:sz="4" w:space="0"/>
                    <w:left w:val="single" w:color="auto" w:sz="4" w:space="0"/>
                    <w:bottom w:val="single" w:color="auto" w:sz="4" w:space="0"/>
                    <w:right w:val="single" w:color="auto" w:sz="4" w:space="0"/>
                  </w:tcBorders>
                  <w:vAlign w:val="center"/>
                </w:tcPr>
                <w:p>
                  <w:pPr>
                    <w:pStyle w:val="46"/>
                  </w:pPr>
                  <w:r>
                    <w:t>产生工序</w:t>
                  </w:r>
                </w:p>
              </w:tc>
              <w:tc>
                <w:tcPr>
                  <w:tcW w:w="1007" w:type="pct"/>
                  <w:tcBorders>
                    <w:top w:val="single" w:color="auto" w:sz="4" w:space="0"/>
                    <w:left w:val="single" w:color="auto" w:sz="4" w:space="0"/>
                    <w:bottom w:val="single" w:color="auto" w:sz="4" w:space="0"/>
                    <w:right w:val="single" w:color="auto" w:sz="4" w:space="0"/>
                  </w:tcBorders>
                  <w:vAlign w:val="center"/>
                </w:tcPr>
                <w:p>
                  <w:pPr>
                    <w:pStyle w:val="46"/>
                  </w:pPr>
                  <w:r>
                    <w:t>是否属危险废物</w:t>
                  </w:r>
                </w:p>
              </w:tc>
              <w:tc>
                <w:tcPr>
                  <w:tcW w:w="715" w:type="pct"/>
                  <w:tcBorders>
                    <w:top w:val="single" w:color="auto" w:sz="4" w:space="0"/>
                    <w:left w:val="single" w:color="auto" w:sz="4" w:space="0"/>
                    <w:bottom w:val="single" w:color="auto" w:sz="4" w:space="0"/>
                    <w:right w:val="single" w:color="auto" w:sz="4" w:space="0"/>
                  </w:tcBorders>
                  <w:vAlign w:val="center"/>
                </w:tcPr>
                <w:p>
                  <w:pPr>
                    <w:pStyle w:val="46"/>
                  </w:pPr>
                  <w:r>
                    <w:t>废物代码</w:t>
                  </w:r>
                </w:p>
              </w:tc>
              <w:tc>
                <w:tcPr>
                  <w:tcW w:w="692" w:type="pct"/>
                  <w:tcBorders>
                    <w:top w:val="single" w:color="auto" w:sz="4" w:space="0"/>
                    <w:left w:val="single" w:color="auto" w:sz="4" w:space="0"/>
                    <w:bottom w:val="single" w:color="auto" w:sz="4" w:space="0"/>
                    <w:right w:val="single" w:color="auto" w:sz="4" w:space="0"/>
                  </w:tcBorders>
                  <w:vAlign w:val="center"/>
                </w:tcPr>
                <w:p>
                  <w:pPr>
                    <w:pStyle w:val="46"/>
                  </w:pPr>
                  <w:r>
                    <w:t>危废编号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pPr>
                    <w:pStyle w:val="47"/>
                  </w:pPr>
                  <w:r>
                    <w:t>1</w:t>
                  </w:r>
                </w:p>
              </w:tc>
              <w:tc>
                <w:tcPr>
                  <w:tcW w:w="851" w:type="pct"/>
                  <w:tcBorders>
                    <w:top w:val="single" w:color="auto" w:sz="4" w:space="0"/>
                    <w:left w:val="single" w:color="auto" w:sz="4" w:space="0"/>
                    <w:bottom w:val="single" w:color="auto" w:sz="4" w:space="0"/>
                    <w:right w:val="single" w:color="auto" w:sz="4" w:space="0"/>
                  </w:tcBorders>
                  <w:vAlign w:val="center"/>
                </w:tcPr>
                <w:p>
                  <w:pPr>
                    <w:pStyle w:val="47"/>
                  </w:pPr>
                  <w:r>
                    <w:t>一般包装材料</w:t>
                  </w:r>
                </w:p>
              </w:tc>
              <w:tc>
                <w:tcPr>
                  <w:tcW w:w="1302" w:type="pct"/>
                  <w:tcBorders>
                    <w:top w:val="single" w:color="auto" w:sz="4" w:space="0"/>
                    <w:left w:val="single" w:color="auto" w:sz="4" w:space="0"/>
                    <w:bottom w:val="single" w:color="auto" w:sz="4" w:space="0"/>
                    <w:right w:val="single" w:color="auto" w:sz="4" w:space="0"/>
                  </w:tcBorders>
                  <w:vAlign w:val="center"/>
                </w:tcPr>
                <w:p>
                  <w:pPr>
                    <w:pStyle w:val="47"/>
                  </w:pPr>
                  <w:r>
                    <w:t>原料使用</w:t>
                  </w:r>
                </w:p>
              </w:tc>
              <w:tc>
                <w:tcPr>
                  <w:tcW w:w="1007" w:type="pct"/>
                  <w:tcBorders>
                    <w:top w:val="single" w:color="auto" w:sz="4" w:space="0"/>
                    <w:left w:val="single" w:color="auto" w:sz="4" w:space="0"/>
                    <w:bottom w:val="single" w:color="auto" w:sz="4" w:space="0"/>
                    <w:right w:val="single" w:color="auto" w:sz="4" w:space="0"/>
                  </w:tcBorders>
                  <w:vAlign w:val="center"/>
                </w:tcPr>
                <w:p>
                  <w:pPr>
                    <w:pStyle w:val="47"/>
                  </w:pPr>
                  <w:r>
                    <w:t>否</w:t>
                  </w:r>
                </w:p>
              </w:tc>
              <w:tc>
                <w:tcPr>
                  <w:tcW w:w="715" w:type="pct"/>
                  <w:tcBorders>
                    <w:top w:val="single" w:color="auto" w:sz="4" w:space="0"/>
                    <w:left w:val="single" w:color="auto" w:sz="4" w:space="0"/>
                    <w:bottom w:val="single" w:color="auto" w:sz="4" w:space="0"/>
                    <w:right w:val="single" w:color="auto" w:sz="4" w:space="0"/>
                  </w:tcBorders>
                  <w:vAlign w:val="center"/>
                </w:tcPr>
                <w:p>
                  <w:pPr>
                    <w:pStyle w:val="47"/>
                  </w:pPr>
                  <w:r>
                    <w:t>/</w:t>
                  </w:r>
                </w:p>
              </w:tc>
              <w:tc>
                <w:tcPr>
                  <w:tcW w:w="692" w:type="pct"/>
                  <w:tcBorders>
                    <w:top w:val="single" w:color="auto" w:sz="4" w:space="0"/>
                    <w:left w:val="single" w:color="auto" w:sz="4" w:space="0"/>
                    <w:bottom w:val="single" w:color="auto" w:sz="4" w:space="0"/>
                    <w:right w:val="single" w:color="auto" w:sz="4" w:space="0"/>
                  </w:tcBorders>
                  <w:vAlign w:val="center"/>
                </w:tcPr>
                <w:p>
                  <w:pPr>
                    <w:pStyle w:val="4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pPr>
                    <w:pStyle w:val="47"/>
                  </w:pPr>
                  <w:r>
                    <w:t>2</w:t>
                  </w:r>
                </w:p>
              </w:tc>
              <w:tc>
                <w:tcPr>
                  <w:tcW w:w="85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金属边角料</w:t>
                  </w:r>
                </w:p>
              </w:tc>
              <w:tc>
                <w:tcPr>
                  <w:tcW w:w="1302"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下料、粗车、普铣、精车、打孔、攻丝</w:t>
                  </w:r>
                </w:p>
              </w:tc>
              <w:tc>
                <w:tcPr>
                  <w:tcW w:w="1007" w:type="pct"/>
                  <w:tcBorders>
                    <w:top w:val="single" w:color="auto" w:sz="4" w:space="0"/>
                    <w:left w:val="single" w:color="auto" w:sz="4" w:space="0"/>
                    <w:bottom w:val="single" w:color="auto" w:sz="4" w:space="0"/>
                    <w:right w:val="single" w:color="auto" w:sz="4" w:space="0"/>
                  </w:tcBorders>
                  <w:vAlign w:val="center"/>
                </w:tcPr>
                <w:p>
                  <w:pPr>
                    <w:pStyle w:val="47"/>
                  </w:pPr>
                  <w:r>
                    <w:t>否</w:t>
                  </w:r>
                </w:p>
              </w:tc>
              <w:tc>
                <w:tcPr>
                  <w:tcW w:w="715"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w:t>
                  </w:r>
                </w:p>
              </w:tc>
              <w:tc>
                <w:tcPr>
                  <w:tcW w:w="692"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3</w:t>
                  </w:r>
                </w:p>
              </w:tc>
              <w:tc>
                <w:tcPr>
                  <w:tcW w:w="851" w:type="pct"/>
                  <w:tcBorders>
                    <w:top w:val="single" w:color="auto" w:sz="4" w:space="0"/>
                    <w:left w:val="single" w:color="auto" w:sz="4" w:space="0"/>
                    <w:bottom w:val="single" w:color="auto" w:sz="4" w:space="0"/>
                    <w:right w:val="single" w:color="auto" w:sz="4" w:space="0"/>
                  </w:tcBorders>
                  <w:vAlign w:val="center"/>
                </w:tcPr>
                <w:p>
                  <w:pPr>
                    <w:pStyle w:val="47"/>
                  </w:pPr>
                  <w:r>
                    <w:t>次品</w:t>
                  </w:r>
                </w:p>
              </w:tc>
              <w:tc>
                <w:tcPr>
                  <w:tcW w:w="1302" w:type="pct"/>
                  <w:tcBorders>
                    <w:top w:val="single" w:color="auto" w:sz="4" w:space="0"/>
                    <w:left w:val="single" w:color="auto" w:sz="4" w:space="0"/>
                    <w:bottom w:val="single" w:color="auto" w:sz="4" w:space="0"/>
                    <w:right w:val="single" w:color="auto" w:sz="4" w:space="0"/>
                  </w:tcBorders>
                  <w:vAlign w:val="center"/>
                </w:tcPr>
                <w:p>
                  <w:pPr>
                    <w:pStyle w:val="47"/>
                  </w:pPr>
                  <w:r>
                    <w:t>检测</w:t>
                  </w:r>
                </w:p>
              </w:tc>
              <w:tc>
                <w:tcPr>
                  <w:tcW w:w="1007" w:type="pct"/>
                  <w:tcBorders>
                    <w:top w:val="single" w:color="auto" w:sz="4" w:space="0"/>
                    <w:left w:val="single" w:color="auto" w:sz="4" w:space="0"/>
                    <w:bottom w:val="single" w:color="auto" w:sz="4" w:space="0"/>
                    <w:right w:val="single" w:color="auto" w:sz="4" w:space="0"/>
                  </w:tcBorders>
                  <w:vAlign w:val="center"/>
                </w:tcPr>
                <w:p>
                  <w:pPr>
                    <w:pStyle w:val="47"/>
                  </w:pPr>
                  <w:r>
                    <w:t>否</w:t>
                  </w:r>
                </w:p>
              </w:tc>
              <w:tc>
                <w:tcPr>
                  <w:tcW w:w="715" w:type="pct"/>
                  <w:tcBorders>
                    <w:top w:val="single" w:color="auto" w:sz="4" w:space="0"/>
                    <w:left w:val="single" w:color="auto" w:sz="4" w:space="0"/>
                    <w:bottom w:val="single" w:color="auto" w:sz="4" w:space="0"/>
                    <w:right w:val="single" w:color="auto" w:sz="4" w:space="0"/>
                  </w:tcBorders>
                  <w:vAlign w:val="center"/>
                </w:tcPr>
                <w:p>
                  <w:pPr>
                    <w:pStyle w:val="47"/>
                  </w:pPr>
                  <w:r>
                    <w:t>/</w:t>
                  </w:r>
                </w:p>
              </w:tc>
              <w:tc>
                <w:tcPr>
                  <w:tcW w:w="692" w:type="pct"/>
                  <w:tcBorders>
                    <w:top w:val="single" w:color="auto" w:sz="4" w:space="0"/>
                    <w:left w:val="single" w:color="auto" w:sz="4" w:space="0"/>
                    <w:bottom w:val="single" w:color="auto" w:sz="4" w:space="0"/>
                    <w:right w:val="single" w:color="auto" w:sz="4" w:space="0"/>
                  </w:tcBorders>
                  <w:vAlign w:val="center"/>
                </w:tcPr>
                <w:p>
                  <w:pPr>
                    <w:pStyle w:val="4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4</w:t>
                  </w:r>
                </w:p>
              </w:tc>
              <w:tc>
                <w:tcPr>
                  <w:tcW w:w="85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金属沉渣</w:t>
                  </w:r>
                </w:p>
              </w:tc>
              <w:tc>
                <w:tcPr>
                  <w:tcW w:w="1302"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废水处理</w:t>
                  </w:r>
                </w:p>
              </w:tc>
              <w:tc>
                <w:tcPr>
                  <w:tcW w:w="1007" w:type="pct"/>
                  <w:tcBorders>
                    <w:top w:val="single" w:color="auto" w:sz="4" w:space="0"/>
                    <w:left w:val="single" w:color="auto" w:sz="4" w:space="0"/>
                    <w:bottom w:val="single" w:color="auto" w:sz="4" w:space="0"/>
                    <w:right w:val="single" w:color="auto" w:sz="4" w:space="0"/>
                  </w:tcBorders>
                  <w:vAlign w:val="center"/>
                </w:tcPr>
                <w:p>
                  <w:pPr>
                    <w:pStyle w:val="47"/>
                  </w:pPr>
                  <w:r>
                    <w:t>否</w:t>
                  </w:r>
                </w:p>
              </w:tc>
              <w:tc>
                <w:tcPr>
                  <w:tcW w:w="715" w:type="pct"/>
                  <w:tcBorders>
                    <w:top w:val="single" w:color="auto" w:sz="4" w:space="0"/>
                    <w:left w:val="single" w:color="auto" w:sz="4" w:space="0"/>
                    <w:bottom w:val="single" w:color="auto" w:sz="4" w:space="0"/>
                    <w:right w:val="single" w:color="auto" w:sz="4" w:space="0"/>
                  </w:tcBorders>
                  <w:vAlign w:val="center"/>
                </w:tcPr>
                <w:p>
                  <w:pPr>
                    <w:pStyle w:val="47"/>
                  </w:pPr>
                  <w:r>
                    <w:t>/</w:t>
                  </w:r>
                </w:p>
              </w:tc>
              <w:tc>
                <w:tcPr>
                  <w:tcW w:w="692" w:type="pct"/>
                  <w:tcBorders>
                    <w:top w:val="single" w:color="auto" w:sz="4" w:space="0"/>
                    <w:left w:val="single" w:color="auto" w:sz="4" w:space="0"/>
                    <w:bottom w:val="single" w:color="auto" w:sz="4" w:space="0"/>
                    <w:right w:val="single" w:color="auto" w:sz="4" w:space="0"/>
                  </w:tcBorders>
                  <w:vAlign w:val="center"/>
                </w:tcPr>
                <w:p>
                  <w:pPr>
                    <w:pStyle w:val="4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5</w:t>
                  </w:r>
                </w:p>
              </w:tc>
              <w:tc>
                <w:tcPr>
                  <w:tcW w:w="85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废滤芯</w:t>
                  </w:r>
                </w:p>
              </w:tc>
              <w:tc>
                <w:tcPr>
                  <w:tcW w:w="1302"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废气处理</w:t>
                  </w:r>
                </w:p>
              </w:tc>
              <w:tc>
                <w:tcPr>
                  <w:tcW w:w="1007"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否</w:t>
                  </w:r>
                </w:p>
              </w:tc>
              <w:tc>
                <w:tcPr>
                  <w:tcW w:w="715"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w:t>
                  </w:r>
                </w:p>
              </w:tc>
              <w:tc>
                <w:tcPr>
                  <w:tcW w:w="692"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6</w:t>
                  </w:r>
                </w:p>
              </w:tc>
              <w:tc>
                <w:tcPr>
                  <w:tcW w:w="851" w:type="pct"/>
                  <w:tcBorders>
                    <w:top w:val="single" w:color="auto" w:sz="4" w:space="0"/>
                    <w:left w:val="single" w:color="auto" w:sz="4" w:space="0"/>
                    <w:bottom w:val="single" w:color="auto" w:sz="4" w:space="0"/>
                    <w:right w:val="single" w:color="auto" w:sz="4" w:space="0"/>
                  </w:tcBorders>
                  <w:vAlign w:val="center"/>
                </w:tcPr>
                <w:p>
                  <w:pPr>
                    <w:pStyle w:val="47"/>
                  </w:pPr>
                  <w:r>
                    <w:t>废乳化液</w:t>
                  </w:r>
                </w:p>
              </w:tc>
              <w:tc>
                <w:tcPr>
                  <w:tcW w:w="1302" w:type="pct"/>
                  <w:tcBorders>
                    <w:top w:val="single" w:color="auto" w:sz="4" w:space="0"/>
                    <w:left w:val="single" w:color="auto" w:sz="4" w:space="0"/>
                    <w:bottom w:val="single" w:color="auto" w:sz="4" w:space="0"/>
                    <w:right w:val="single" w:color="auto" w:sz="4" w:space="0"/>
                  </w:tcBorders>
                  <w:vAlign w:val="center"/>
                </w:tcPr>
                <w:p>
                  <w:pPr>
                    <w:pStyle w:val="47"/>
                  </w:pPr>
                  <w:r>
                    <w:t>粗车、普铣、精车</w:t>
                  </w:r>
                </w:p>
              </w:tc>
              <w:tc>
                <w:tcPr>
                  <w:tcW w:w="1007" w:type="pct"/>
                  <w:tcBorders>
                    <w:top w:val="single" w:color="auto" w:sz="4" w:space="0"/>
                    <w:left w:val="single" w:color="auto" w:sz="4" w:space="0"/>
                    <w:bottom w:val="single" w:color="auto" w:sz="4" w:space="0"/>
                    <w:right w:val="single" w:color="auto" w:sz="4" w:space="0"/>
                  </w:tcBorders>
                  <w:vAlign w:val="center"/>
                </w:tcPr>
                <w:p>
                  <w:pPr>
                    <w:pStyle w:val="47"/>
                  </w:pPr>
                  <w:r>
                    <w:t>是</w:t>
                  </w:r>
                </w:p>
              </w:tc>
              <w:tc>
                <w:tcPr>
                  <w:tcW w:w="715"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900-006-09</w:t>
                  </w:r>
                </w:p>
              </w:tc>
              <w:tc>
                <w:tcPr>
                  <w:tcW w:w="692"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HW09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7</w:t>
                  </w:r>
                </w:p>
              </w:tc>
              <w:tc>
                <w:tcPr>
                  <w:tcW w:w="85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废漆料</w:t>
                  </w:r>
                </w:p>
              </w:tc>
              <w:tc>
                <w:tcPr>
                  <w:tcW w:w="1302"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真空浸漆</w:t>
                  </w:r>
                </w:p>
              </w:tc>
              <w:tc>
                <w:tcPr>
                  <w:tcW w:w="1007"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是</w:t>
                  </w:r>
                </w:p>
              </w:tc>
              <w:tc>
                <w:tcPr>
                  <w:tcW w:w="715"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900-252-12</w:t>
                  </w:r>
                </w:p>
              </w:tc>
              <w:tc>
                <w:tcPr>
                  <w:tcW w:w="692"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HW12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8</w:t>
                  </w:r>
                </w:p>
              </w:tc>
              <w:tc>
                <w:tcPr>
                  <w:tcW w:w="851" w:type="pct"/>
                  <w:tcBorders>
                    <w:top w:val="single" w:color="auto" w:sz="4" w:space="0"/>
                    <w:left w:val="single" w:color="auto" w:sz="4" w:space="0"/>
                    <w:bottom w:val="single" w:color="auto" w:sz="4" w:space="0"/>
                    <w:right w:val="single" w:color="auto" w:sz="4" w:space="0"/>
                  </w:tcBorders>
                  <w:vAlign w:val="center"/>
                </w:tcPr>
                <w:p>
                  <w:pPr>
                    <w:pStyle w:val="47"/>
                  </w:pPr>
                  <w:r>
                    <w:t>废包装桶</w:t>
                  </w:r>
                </w:p>
              </w:tc>
              <w:tc>
                <w:tcPr>
                  <w:tcW w:w="1302" w:type="pct"/>
                  <w:tcBorders>
                    <w:top w:val="single" w:color="auto" w:sz="4" w:space="0"/>
                    <w:left w:val="single" w:color="auto" w:sz="4" w:space="0"/>
                    <w:bottom w:val="single" w:color="auto" w:sz="4" w:space="0"/>
                    <w:right w:val="single" w:color="auto" w:sz="4" w:space="0"/>
                  </w:tcBorders>
                  <w:vAlign w:val="center"/>
                </w:tcPr>
                <w:p>
                  <w:pPr>
                    <w:pStyle w:val="47"/>
                  </w:pPr>
                  <w:r>
                    <w:t>乳化液</w:t>
                  </w:r>
                  <w:r>
                    <w:rPr>
                      <w:rFonts w:hint="eastAsia"/>
                    </w:rPr>
                    <w:t>、绝缘漆</w:t>
                  </w:r>
                  <w:r>
                    <w:t>使用</w:t>
                  </w:r>
                </w:p>
              </w:tc>
              <w:tc>
                <w:tcPr>
                  <w:tcW w:w="1007" w:type="pct"/>
                  <w:tcBorders>
                    <w:top w:val="single" w:color="auto" w:sz="4" w:space="0"/>
                    <w:left w:val="single" w:color="auto" w:sz="4" w:space="0"/>
                    <w:bottom w:val="single" w:color="auto" w:sz="4" w:space="0"/>
                    <w:right w:val="single" w:color="auto" w:sz="4" w:space="0"/>
                  </w:tcBorders>
                  <w:vAlign w:val="center"/>
                </w:tcPr>
                <w:p>
                  <w:pPr>
                    <w:pStyle w:val="47"/>
                  </w:pPr>
                  <w:r>
                    <w:t>是</w:t>
                  </w:r>
                </w:p>
              </w:tc>
              <w:tc>
                <w:tcPr>
                  <w:tcW w:w="715"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900-041-49</w:t>
                  </w:r>
                </w:p>
              </w:tc>
              <w:tc>
                <w:tcPr>
                  <w:tcW w:w="692"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HW49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9</w:t>
                  </w:r>
                </w:p>
              </w:tc>
              <w:tc>
                <w:tcPr>
                  <w:tcW w:w="85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废机油</w:t>
                  </w:r>
                </w:p>
              </w:tc>
              <w:tc>
                <w:tcPr>
                  <w:tcW w:w="1302"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设备保养</w:t>
                  </w:r>
                </w:p>
              </w:tc>
              <w:tc>
                <w:tcPr>
                  <w:tcW w:w="1007" w:type="pct"/>
                  <w:tcBorders>
                    <w:top w:val="single" w:color="auto" w:sz="4" w:space="0"/>
                    <w:left w:val="single" w:color="auto" w:sz="4" w:space="0"/>
                    <w:bottom w:val="single" w:color="auto" w:sz="4" w:space="0"/>
                    <w:right w:val="single" w:color="auto" w:sz="4" w:space="0"/>
                  </w:tcBorders>
                  <w:vAlign w:val="center"/>
                </w:tcPr>
                <w:p>
                  <w:pPr>
                    <w:pStyle w:val="47"/>
                  </w:pPr>
                  <w:r>
                    <w:t>是</w:t>
                  </w:r>
                </w:p>
              </w:tc>
              <w:tc>
                <w:tcPr>
                  <w:tcW w:w="715"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900-214-08</w:t>
                  </w:r>
                </w:p>
              </w:tc>
              <w:tc>
                <w:tcPr>
                  <w:tcW w:w="692"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HW08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10</w:t>
                  </w:r>
                </w:p>
              </w:tc>
              <w:tc>
                <w:tcPr>
                  <w:tcW w:w="85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废油桶</w:t>
                  </w:r>
                </w:p>
              </w:tc>
              <w:tc>
                <w:tcPr>
                  <w:tcW w:w="1302" w:type="pct"/>
                  <w:tcBorders>
                    <w:top w:val="single" w:color="auto" w:sz="4" w:space="0"/>
                    <w:left w:val="single" w:color="auto" w:sz="4" w:space="0"/>
                    <w:bottom w:val="single" w:color="auto" w:sz="4" w:space="0"/>
                    <w:right w:val="single" w:color="auto" w:sz="4" w:space="0"/>
                  </w:tcBorders>
                  <w:vAlign w:val="center"/>
                </w:tcPr>
                <w:p>
                  <w:pPr>
                    <w:pStyle w:val="47"/>
                  </w:pPr>
                  <w:r>
                    <w:t>机油</w:t>
                  </w:r>
                  <w:r>
                    <w:rPr>
                      <w:rFonts w:hint="eastAsia"/>
                    </w:rPr>
                    <w:t>、液压油</w:t>
                  </w:r>
                  <w:r>
                    <w:t>使用</w:t>
                  </w:r>
                </w:p>
              </w:tc>
              <w:tc>
                <w:tcPr>
                  <w:tcW w:w="1007" w:type="pct"/>
                  <w:tcBorders>
                    <w:top w:val="single" w:color="auto" w:sz="4" w:space="0"/>
                    <w:left w:val="single" w:color="auto" w:sz="4" w:space="0"/>
                    <w:bottom w:val="single" w:color="auto" w:sz="4" w:space="0"/>
                    <w:right w:val="single" w:color="auto" w:sz="4" w:space="0"/>
                  </w:tcBorders>
                  <w:vAlign w:val="center"/>
                </w:tcPr>
                <w:p>
                  <w:pPr>
                    <w:pStyle w:val="47"/>
                  </w:pPr>
                  <w:r>
                    <w:t>是</w:t>
                  </w:r>
                </w:p>
              </w:tc>
              <w:tc>
                <w:tcPr>
                  <w:tcW w:w="715"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900-249-08</w:t>
                  </w:r>
                </w:p>
              </w:tc>
              <w:tc>
                <w:tcPr>
                  <w:tcW w:w="692"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HW08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11</w:t>
                  </w:r>
                </w:p>
              </w:tc>
              <w:tc>
                <w:tcPr>
                  <w:tcW w:w="851" w:type="pct"/>
                  <w:tcBorders>
                    <w:top w:val="single" w:color="auto" w:sz="4" w:space="0"/>
                    <w:left w:val="single" w:color="auto" w:sz="4" w:space="0"/>
                    <w:bottom w:val="single" w:color="auto" w:sz="4" w:space="0"/>
                    <w:right w:val="single" w:color="auto" w:sz="4" w:space="0"/>
                  </w:tcBorders>
                  <w:vAlign w:val="center"/>
                </w:tcPr>
                <w:p>
                  <w:pPr>
                    <w:pStyle w:val="47"/>
                  </w:pPr>
                  <w:r>
                    <w:t>废活性炭</w:t>
                  </w:r>
                </w:p>
              </w:tc>
              <w:tc>
                <w:tcPr>
                  <w:tcW w:w="1302" w:type="pct"/>
                  <w:tcBorders>
                    <w:top w:val="single" w:color="auto" w:sz="4" w:space="0"/>
                    <w:left w:val="single" w:color="auto" w:sz="4" w:space="0"/>
                    <w:bottom w:val="single" w:color="auto" w:sz="4" w:space="0"/>
                    <w:right w:val="single" w:color="auto" w:sz="4" w:space="0"/>
                  </w:tcBorders>
                  <w:vAlign w:val="center"/>
                </w:tcPr>
                <w:p>
                  <w:pPr>
                    <w:pStyle w:val="47"/>
                  </w:pPr>
                  <w:r>
                    <w:t>废气处理</w:t>
                  </w:r>
                </w:p>
              </w:tc>
              <w:tc>
                <w:tcPr>
                  <w:tcW w:w="1007" w:type="pct"/>
                  <w:tcBorders>
                    <w:top w:val="single" w:color="auto" w:sz="4" w:space="0"/>
                    <w:left w:val="single" w:color="auto" w:sz="4" w:space="0"/>
                    <w:bottom w:val="single" w:color="auto" w:sz="4" w:space="0"/>
                    <w:right w:val="single" w:color="auto" w:sz="4" w:space="0"/>
                  </w:tcBorders>
                  <w:vAlign w:val="center"/>
                </w:tcPr>
                <w:p>
                  <w:pPr>
                    <w:pStyle w:val="47"/>
                  </w:pPr>
                  <w:r>
                    <w:t>是</w:t>
                  </w:r>
                </w:p>
              </w:tc>
              <w:tc>
                <w:tcPr>
                  <w:tcW w:w="715"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900-039-49</w:t>
                  </w:r>
                </w:p>
              </w:tc>
              <w:tc>
                <w:tcPr>
                  <w:tcW w:w="692"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HW49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12</w:t>
                  </w:r>
                </w:p>
              </w:tc>
              <w:tc>
                <w:tcPr>
                  <w:tcW w:w="85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含漆废抹布和手套</w:t>
                  </w:r>
                </w:p>
              </w:tc>
              <w:tc>
                <w:tcPr>
                  <w:tcW w:w="1302"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绝缘漆使用</w:t>
                  </w:r>
                </w:p>
              </w:tc>
              <w:tc>
                <w:tcPr>
                  <w:tcW w:w="1007" w:type="pct"/>
                  <w:tcBorders>
                    <w:top w:val="single" w:color="auto" w:sz="4" w:space="0"/>
                    <w:left w:val="single" w:color="auto" w:sz="4" w:space="0"/>
                    <w:bottom w:val="single" w:color="auto" w:sz="4" w:space="0"/>
                    <w:right w:val="single" w:color="auto" w:sz="4" w:space="0"/>
                  </w:tcBorders>
                  <w:vAlign w:val="center"/>
                </w:tcPr>
                <w:p>
                  <w:pPr>
                    <w:pStyle w:val="47"/>
                  </w:pPr>
                  <w:r>
                    <w:t>是</w:t>
                  </w:r>
                </w:p>
              </w:tc>
              <w:tc>
                <w:tcPr>
                  <w:tcW w:w="715"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900-041-49</w:t>
                  </w:r>
                </w:p>
              </w:tc>
              <w:tc>
                <w:tcPr>
                  <w:tcW w:w="692"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HW49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13</w:t>
                  </w:r>
                </w:p>
              </w:tc>
              <w:tc>
                <w:tcPr>
                  <w:tcW w:w="85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含油废抹布和手套</w:t>
                  </w:r>
                  <w:r>
                    <w:rPr>
                      <w:rFonts w:hint="eastAsia"/>
                      <w:vertAlign w:val="superscript"/>
                    </w:rPr>
                    <w:t>*</w:t>
                  </w:r>
                </w:p>
              </w:tc>
              <w:tc>
                <w:tcPr>
                  <w:tcW w:w="1302"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设备保养</w:t>
                  </w:r>
                </w:p>
              </w:tc>
              <w:tc>
                <w:tcPr>
                  <w:tcW w:w="1007" w:type="pct"/>
                  <w:tcBorders>
                    <w:top w:val="single" w:color="auto" w:sz="4" w:space="0"/>
                    <w:left w:val="single" w:color="auto" w:sz="4" w:space="0"/>
                    <w:bottom w:val="single" w:color="auto" w:sz="4" w:space="0"/>
                    <w:right w:val="single" w:color="auto" w:sz="4" w:space="0"/>
                  </w:tcBorders>
                  <w:vAlign w:val="center"/>
                </w:tcPr>
                <w:p>
                  <w:pPr>
                    <w:pStyle w:val="47"/>
                  </w:pPr>
                  <w:r>
                    <w:t>是</w:t>
                  </w:r>
                </w:p>
              </w:tc>
              <w:tc>
                <w:tcPr>
                  <w:tcW w:w="715"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900-041-49</w:t>
                  </w:r>
                </w:p>
              </w:tc>
              <w:tc>
                <w:tcPr>
                  <w:tcW w:w="692"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HW49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14</w:t>
                  </w:r>
                </w:p>
              </w:tc>
              <w:tc>
                <w:tcPr>
                  <w:tcW w:w="851" w:type="pct"/>
                  <w:tcBorders>
                    <w:top w:val="single" w:color="auto" w:sz="4" w:space="0"/>
                    <w:left w:val="single" w:color="auto" w:sz="4" w:space="0"/>
                    <w:bottom w:val="single" w:color="auto" w:sz="4" w:space="0"/>
                    <w:right w:val="single" w:color="auto" w:sz="4" w:space="0"/>
                  </w:tcBorders>
                  <w:vAlign w:val="center"/>
                </w:tcPr>
                <w:p>
                  <w:pPr>
                    <w:pStyle w:val="47"/>
                  </w:pPr>
                  <w:r>
                    <w:t>生活垃圾</w:t>
                  </w:r>
                </w:p>
              </w:tc>
              <w:tc>
                <w:tcPr>
                  <w:tcW w:w="1302" w:type="pct"/>
                  <w:tcBorders>
                    <w:top w:val="single" w:color="auto" w:sz="4" w:space="0"/>
                    <w:left w:val="single" w:color="auto" w:sz="4" w:space="0"/>
                    <w:bottom w:val="single" w:color="auto" w:sz="4" w:space="0"/>
                    <w:right w:val="single" w:color="auto" w:sz="4" w:space="0"/>
                  </w:tcBorders>
                  <w:vAlign w:val="center"/>
                </w:tcPr>
                <w:p>
                  <w:pPr>
                    <w:pStyle w:val="47"/>
                  </w:pPr>
                  <w:r>
                    <w:t>职工生活</w:t>
                  </w:r>
                </w:p>
              </w:tc>
              <w:tc>
                <w:tcPr>
                  <w:tcW w:w="1007" w:type="pct"/>
                  <w:tcBorders>
                    <w:top w:val="single" w:color="auto" w:sz="4" w:space="0"/>
                    <w:left w:val="single" w:color="auto" w:sz="4" w:space="0"/>
                    <w:bottom w:val="single" w:color="auto" w:sz="4" w:space="0"/>
                    <w:right w:val="single" w:color="auto" w:sz="4" w:space="0"/>
                  </w:tcBorders>
                  <w:vAlign w:val="center"/>
                </w:tcPr>
                <w:p>
                  <w:pPr>
                    <w:pStyle w:val="47"/>
                  </w:pPr>
                  <w:r>
                    <w:t>否</w:t>
                  </w:r>
                </w:p>
              </w:tc>
              <w:tc>
                <w:tcPr>
                  <w:tcW w:w="715" w:type="pct"/>
                  <w:tcBorders>
                    <w:top w:val="single" w:color="auto" w:sz="4" w:space="0"/>
                    <w:left w:val="single" w:color="auto" w:sz="4" w:space="0"/>
                    <w:bottom w:val="single" w:color="auto" w:sz="4" w:space="0"/>
                    <w:right w:val="single" w:color="auto" w:sz="4" w:space="0"/>
                  </w:tcBorders>
                  <w:vAlign w:val="center"/>
                </w:tcPr>
                <w:p>
                  <w:pPr>
                    <w:pStyle w:val="47"/>
                  </w:pPr>
                  <w:r>
                    <w:t>/</w:t>
                  </w:r>
                </w:p>
              </w:tc>
              <w:tc>
                <w:tcPr>
                  <w:tcW w:w="692" w:type="pct"/>
                  <w:tcBorders>
                    <w:top w:val="single" w:color="auto" w:sz="4" w:space="0"/>
                    <w:left w:val="single" w:color="auto" w:sz="4" w:space="0"/>
                    <w:bottom w:val="single" w:color="auto" w:sz="4" w:space="0"/>
                    <w:right w:val="single" w:color="auto" w:sz="4" w:space="0"/>
                  </w:tcBorders>
                  <w:vAlign w:val="center"/>
                </w:tcPr>
                <w:p>
                  <w:pPr>
                    <w:pStyle w:val="4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tcBorders>
                    <w:top w:val="single" w:color="auto" w:sz="4" w:space="0"/>
                    <w:left w:val="single" w:color="auto" w:sz="4" w:space="0"/>
                    <w:bottom w:val="single" w:color="auto" w:sz="4" w:space="0"/>
                    <w:right w:val="single" w:color="auto" w:sz="4" w:space="0"/>
                  </w:tcBorders>
                  <w:vAlign w:val="center"/>
                </w:tcPr>
                <w:p>
                  <w:pPr>
                    <w:pStyle w:val="47"/>
                    <w:jc w:val="both"/>
                  </w:pPr>
                  <w:r>
                    <w:rPr>
                      <w:rFonts w:hint="eastAsia"/>
                      <w:sz w:val="18"/>
                      <w:szCs w:val="16"/>
                    </w:rPr>
                    <w:t>注：*根据《国家危险废物名录</w:t>
                  </w:r>
                  <w:r>
                    <w:rPr>
                      <w:sz w:val="18"/>
                      <w:szCs w:val="16"/>
                    </w:rPr>
                    <w:t>(20</w:t>
                  </w:r>
                  <w:r>
                    <w:rPr>
                      <w:rFonts w:hint="eastAsia"/>
                      <w:sz w:val="18"/>
                      <w:szCs w:val="16"/>
                    </w:rPr>
                    <w:t>21年版</w:t>
                  </w:r>
                  <w:r>
                    <w:rPr>
                      <w:sz w:val="18"/>
                      <w:szCs w:val="16"/>
                    </w:rPr>
                    <w:t>)</w:t>
                  </w:r>
                  <w:r>
                    <w:rPr>
                      <w:rFonts w:hint="eastAsia"/>
                      <w:sz w:val="18"/>
                      <w:szCs w:val="16"/>
                    </w:rPr>
                    <w:t>》附录中危险废物豁免管理清单，含油废抹布及手套未分类收集，全过程不按危险废物管理。</w:t>
                  </w:r>
                </w:p>
              </w:tc>
            </w:tr>
          </w:tbl>
          <w:p>
            <w:pPr>
              <w:spacing w:before="120" w:beforeLines="50"/>
              <w:ind w:firstLine="480"/>
            </w:pPr>
            <w:r>
              <w:t>由上表可知，本项目产生的一般包装材料、</w:t>
            </w:r>
            <w:r>
              <w:rPr>
                <w:rFonts w:hint="eastAsia"/>
              </w:rPr>
              <w:t>金属</w:t>
            </w:r>
            <w:r>
              <w:t>边角料、次品、</w:t>
            </w:r>
            <w:r>
              <w:rPr>
                <w:rFonts w:hint="eastAsia"/>
              </w:rPr>
              <w:t>金属沉渣、废滤芯、</w:t>
            </w:r>
            <w:r>
              <w:t>生活垃圾属于一般固废，废乳化液、</w:t>
            </w:r>
            <w:r>
              <w:rPr>
                <w:rFonts w:hint="eastAsia"/>
              </w:rPr>
              <w:t>废漆料、</w:t>
            </w:r>
            <w:r>
              <w:t>废包装桶、</w:t>
            </w:r>
            <w:r>
              <w:rPr>
                <w:rFonts w:hint="eastAsia"/>
              </w:rPr>
              <w:t>废机油、废油桶、</w:t>
            </w:r>
            <w:r>
              <w:t>废活性炭</w:t>
            </w:r>
            <w:r>
              <w:rPr>
                <w:rFonts w:hint="eastAsia"/>
              </w:rPr>
              <w:t>、含漆废抹布和手套、含油废抹布和手套</w:t>
            </w:r>
            <w:r>
              <w:t>属于危险废物。</w:t>
            </w:r>
          </w:p>
          <w:p>
            <w:pPr>
              <w:ind w:firstLine="482"/>
              <w:rPr>
                <w:b/>
                <w:bCs/>
              </w:rPr>
            </w:pPr>
            <w:r>
              <w:rPr>
                <w:b/>
                <w:bCs/>
              </w:rPr>
              <w:t>三、固体废物分析情况汇总</w:t>
            </w:r>
          </w:p>
          <w:p>
            <w:pPr>
              <w:ind w:firstLine="480"/>
              <w:rPr>
                <w:rFonts w:hint="eastAsia"/>
              </w:rPr>
            </w:pPr>
            <w:r>
              <w:t>本项目固体废物分析结果汇总见表5-1</w:t>
            </w:r>
            <w:r>
              <w:rPr>
                <w:rFonts w:hint="eastAsia"/>
              </w:rPr>
              <w:t>3</w:t>
            </w:r>
            <w:r>
              <w:t>。</w:t>
            </w:r>
          </w:p>
          <w:p>
            <w:pPr>
              <w:pStyle w:val="2"/>
              <w:ind w:left="480" w:firstLine="400"/>
              <w:rPr>
                <w:rFonts w:hint="eastAsia"/>
              </w:rPr>
            </w:pPr>
          </w:p>
          <w:p>
            <w:pPr>
              <w:pStyle w:val="2"/>
              <w:ind w:left="480" w:firstLine="400"/>
              <w:rPr>
                <w:rFonts w:hint="eastAsia"/>
              </w:rPr>
            </w:pPr>
          </w:p>
          <w:p>
            <w:pPr>
              <w:pStyle w:val="2"/>
              <w:ind w:left="480" w:firstLine="400"/>
              <w:rPr>
                <w:rFonts w:hint="eastAsia"/>
              </w:rPr>
            </w:pPr>
          </w:p>
          <w:p>
            <w:pPr>
              <w:pStyle w:val="2"/>
              <w:ind w:left="480" w:firstLine="400"/>
              <w:rPr>
                <w:rFonts w:hint="eastAsia"/>
              </w:rPr>
            </w:pPr>
          </w:p>
          <w:p>
            <w:pPr>
              <w:pStyle w:val="2"/>
              <w:ind w:left="480" w:firstLine="400"/>
              <w:rPr>
                <w:rFonts w:hint="eastAsia"/>
              </w:rPr>
            </w:pPr>
          </w:p>
          <w:p>
            <w:pPr>
              <w:pStyle w:val="46"/>
              <w:spacing w:after="24"/>
            </w:pPr>
            <w:r>
              <w:t>表5-1</w:t>
            </w:r>
            <w:r>
              <w:rPr>
                <w:rFonts w:hint="eastAsia"/>
              </w:rPr>
              <w:t>3</w:t>
            </w:r>
            <w:r>
              <w:t xml:space="preserve"> 本项目固体废物分析结果汇总表   （单位：t/a）</w:t>
            </w:r>
          </w:p>
          <w:tbl>
            <w:tblPr>
              <w:tblStyle w:val="3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216"/>
              <w:gridCol w:w="1742"/>
              <w:gridCol w:w="1122"/>
              <w:gridCol w:w="1257"/>
              <w:gridCol w:w="1079"/>
              <w:gridCol w:w="687"/>
              <w:gridCol w:w="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05" w:type="pct"/>
                  <w:tcBorders>
                    <w:top w:val="single" w:color="auto" w:sz="4" w:space="0"/>
                    <w:left w:val="single" w:color="auto" w:sz="4" w:space="0"/>
                    <w:bottom w:val="single" w:color="auto" w:sz="4" w:space="0"/>
                    <w:right w:val="single" w:color="auto" w:sz="2" w:space="0"/>
                  </w:tcBorders>
                  <w:vAlign w:val="center"/>
                </w:tcPr>
                <w:p>
                  <w:pPr>
                    <w:pStyle w:val="46"/>
                  </w:pPr>
                  <w:r>
                    <w:t>序号</w:t>
                  </w:r>
                </w:p>
              </w:tc>
              <w:tc>
                <w:tcPr>
                  <w:tcW w:w="697" w:type="pct"/>
                  <w:tcBorders>
                    <w:top w:val="single" w:color="auto" w:sz="4" w:space="0"/>
                    <w:left w:val="single" w:color="auto" w:sz="2" w:space="0"/>
                    <w:bottom w:val="single" w:color="auto" w:sz="4" w:space="0"/>
                    <w:right w:val="single" w:color="auto" w:sz="2" w:space="0"/>
                  </w:tcBorders>
                  <w:vAlign w:val="center"/>
                </w:tcPr>
                <w:p>
                  <w:pPr>
                    <w:pStyle w:val="46"/>
                  </w:pPr>
                  <w:r>
                    <w:t>固废名称</w:t>
                  </w:r>
                </w:p>
              </w:tc>
              <w:tc>
                <w:tcPr>
                  <w:tcW w:w="998" w:type="pct"/>
                  <w:tcBorders>
                    <w:top w:val="single" w:color="auto" w:sz="4" w:space="0"/>
                    <w:left w:val="single" w:color="auto" w:sz="2" w:space="0"/>
                    <w:bottom w:val="single" w:color="auto" w:sz="4" w:space="0"/>
                    <w:right w:val="single" w:color="auto" w:sz="4" w:space="0"/>
                  </w:tcBorders>
                  <w:vAlign w:val="center"/>
                </w:tcPr>
                <w:p>
                  <w:pPr>
                    <w:pStyle w:val="46"/>
                  </w:pPr>
                  <w:r>
                    <w:t>产生工序</w:t>
                  </w:r>
                </w:p>
              </w:tc>
              <w:tc>
                <w:tcPr>
                  <w:tcW w:w="644" w:type="pct"/>
                  <w:tcBorders>
                    <w:top w:val="single" w:color="auto" w:sz="4" w:space="0"/>
                    <w:left w:val="single" w:color="auto" w:sz="4" w:space="0"/>
                    <w:bottom w:val="single" w:color="auto" w:sz="4" w:space="0"/>
                    <w:right w:val="single" w:color="auto" w:sz="4" w:space="0"/>
                  </w:tcBorders>
                  <w:vAlign w:val="center"/>
                </w:tcPr>
                <w:p>
                  <w:pPr>
                    <w:pStyle w:val="46"/>
                  </w:pPr>
                  <w:r>
                    <w:t>属性</w:t>
                  </w:r>
                </w:p>
              </w:tc>
              <w:tc>
                <w:tcPr>
                  <w:tcW w:w="721" w:type="pct"/>
                  <w:tcBorders>
                    <w:top w:val="single" w:color="auto" w:sz="4" w:space="0"/>
                    <w:left w:val="single" w:color="auto" w:sz="4" w:space="0"/>
                    <w:bottom w:val="single" w:color="auto" w:sz="4" w:space="0"/>
                    <w:right w:val="single" w:color="auto" w:sz="2" w:space="0"/>
                  </w:tcBorders>
                  <w:vAlign w:val="center"/>
                </w:tcPr>
                <w:p>
                  <w:pPr>
                    <w:pStyle w:val="46"/>
                  </w:pPr>
                  <w:r>
                    <w:t>废物代码</w:t>
                  </w:r>
                </w:p>
              </w:tc>
              <w:tc>
                <w:tcPr>
                  <w:tcW w:w="619" w:type="pct"/>
                  <w:tcBorders>
                    <w:top w:val="single" w:color="auto" w:sz="4" w:space="0"/>
                    <w:left w:val="single" w:color="auto" w:sz="4" w:space="0"/>
                    <w:bottom w:val="single" w:color="auto" w:sz="4" w:space="0"/>
                    <w:right w:val="single" w:color="auto" w:sz="2" w:space="0"/>
                  </w:tcBorders>
                  <w:vAlign w:val="center"/>
                </w:tcPr>
                <w:p>
                  <w:pPr>
                    <w:pStyle w:val="46"/>
                  </w:pPr>
                  <w:r>
                    <w:t>危废编号</w:t>
                  </w:r>
                </w:p>
              </w:tc>
              <w:tc>
                <w:tcPr>
                  <w:tcW w:w="394" w:type="pct"/>
                  <w:tcBorders>
                    <w:top w:val="single" w:color="auto" w:sz="4" w:space="0"/>
                    <w:left w:val="single" w:color="auto" w:sz="2" w:space="0"/>
                    <w:bottom w:val="single" w:color="auto" w:sz="4" w:space="0"/>
                    <w:right w:val="single" w:color="auto" w:sz="4" w:space="0"/>
                  </w:tcBorders>
                  <w:vAlign w:val="center"/>
                </w:tcPr>
                <w:p>
                  <w:pPr>
                    <w:pStyle w:val="46"/>
                  </w:pPr>
                  <w:r>
                    <w:t>形态</w:t>
                  </w:r>
                </w:p>
              </w:tc>
              <w:tc>
                <w:tcPr>
                  <w:tcW w:w="519" w:type="pct"/>
                  <w:tcBorders>
                    <w:top w:val="single" w:color="auto" w:sz="4" w:space="0"/>
                    <w:left w:val="single" w:color="auto" w:sz="2" w:space="0"/>
                    <w:bottom w:val="single" w:color="auto" w:sz="4" w:space="0"/>
                    <w:right w:val="single" w:color="auto" w:sz="4" w:space="0"/>
                  </w:tcBorders>
                  <w:vAlign w:val="center"/>
                </w:tcPr>
                <w:p>
                  <w:pPr>
                    <w:pStyle w:val="46"/>
                  </w:pPr>
                  <w:r>
                    <w:t>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tcBorders>
                    <w:top w:val="single" w:color="auto" w:sz="4" w:space="0"/>
                    <w:left w:val="single" w:color="auto" w:sz="4" w:space="0"/>
                    <w:bottom w:val="single" w:color="auto" w:sz="4" w:space="0"/>
                    <w:right w:val="single" w:color="auto" w:sz="2" w:space="0"/>
                  </w:tcBorders>
                  <w:vAlign w:val="center"/>
                </w:tcPr>
                <w:p>
                  <w:pPr>
                    <w:pStyle w:val="47"/>
                    <w:rPr>
                      <w:szCs w:val="21"/>
                    </w:rPr>
                  </w:pPr>
                  <w:r>
                    <w:rPr>
                      <w:szCs w:val="21"/>
                    </w:rPr>
                    <w:t>1</w:t>
                  </w:r>
                </w:p>
              </w:tc>
              <w:tc>
                <w:tcPr>
                  <w:tcW w:w="697" w:type="pct"/>
                  <w:tcBorders>
                    <w:top w:val="single" w:color="auto" w:sz="4" w:space="0"/>
                    <w:left w:val="single" w:color="auto" w:sz="2" w:space="0"/>
                    <w:bottom w:val="single" w:color="auto" w:sz="4" w:space="0"/>
                    <w:right w:val="single" w:color="auto" w:sz="2" w:space="0"/>
                  </w:tcBorders>
                  <w:vAlign w:val="center"/>
                </w:tcPr>
                <w:p>
                  <w:pPr>
                    <w:pStyle w:val="47"/>
                    <w:rPr>
                      <w:szCs w:val="21"/>
                    </w:rPr>
                  </w:pPr>
                  <w:r>
                    <w:rPr>
                      <w:szCs w:val="21"/>
                    </w:rPr>
                    <w:t>一般包装材料</w:t>
                  </w:r>
                </w:p>
              </w:tc>
              <w:tc>
                <w:tcPr>
                  <w:tcW w:w="998" w:type="pct"/>
                  <w:tcBorders>
                    <w:top w:val="single" w:color="auto" w:sz="4" w:space="0"/>
                    <w:left w:val="single" w:color="auto" w:sz="2" w:space="0"/>
                    <w:bottom w:val="single" w:color="auto" w:sz="4" w:space="0"/>
                    <w:right w:val="single" w:color="auto" w:sz="4" w:space="0"/>
                  </w:tcBorders>
                  <w:vAlign w:val="center"/>
                </w:tcPr>
                <w:p>
                  <w:pPr>
                    <w:pStyle w:val="47"/>
                    <w:rPr>
                      <w:szCs w:val="21"/>
                    </w:rPr>
                  </w:pPr>
                  <w:r>
                    <w:rPr>
                      <w:szCs w:val="21"/>
                    </w:rPr>
                    <w:t>原料使用</w:t>
                  </w:r>
                </w:p>
              </w:tc>
              <w:tc>
                <w:tcPr>
                  <w:tcW w:w="644"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一般固废</w:t>
                  </w:r>
                </w:p>
              </w:tc>
              <w:tc>
                <w:tcPr>
                  <w:tcW w:w="721" w:type="pct"/>
                  <w:tcBorders>
                    <w:top w:val="single" w:color="auto" w:sz="4" w:space="0"/>
                    <w:left w:val="single" w:color="auto" w:sz="4" w:space="0"/>
                    <w:bottom w:val="single" w:color="auto" w:sz="4" w:space="0"/>
                    <w:right w:val="single" w:color="auto" w:sz="2" w:space="0"/>
                  </w:tcBorders>
                  <w:vAlign w:val="center"/>
                </w:tcPr>
                <w:p>
                  <w:pPr>
                    <w:pStyle w:val="47"/>
                    <w:rPr>
                      <w:szCs w:val="21"/>
                    </w:rPr>
                  </w:pPr>
                  <w:r>
                    <w:rPr>
                      <w:szCs w:val="21"/>
                    </w:rPr>
                    <w:t>/</w:t>
                  </w:r>
                </w:p>
              </w:tc>
              <w:tc>
                <w:tcPr>
                  <w:tcW w:w="619" w:type="pct"/>
                  <w:tcBorders>
                    <w:top w:val="single" w:color="auto" w:sz="4" w:space="0"/>
                    <w:left w:val="single" w:color="auto" w:sz="4" w:space="0"/>
                    <w:bottom w:val="single" w:color="auto" w:sz="4" w:space="0"/>
                    <w:right w:val="single" w:color="auto" w:sz="2" w:space="0"/>
                  </w:tcBorders>
                  <w:vAlign w:val="center"/>
                </w:tcPr>
                <w:p>
                  <w:pPr>
                    <w:pStyle w:val="47"/>
                    <w:rPr>
                      <w:szCs w:val="21"/>
                    </w:rPr>
                  </w:pPr>
                  <w:r>
                    <w:rPr>
                      <w:szCs w:val="21"/>
                    </w:rPr>
                    <w:t>/</w:t>
                  </w:r>
                </w:p>
              </w:tc>
              <w:tc>
                <w:tcPr>
                  <w:tcW w:w="394" w:type="pct"/>
                  <w:tcBorders>
                    <w:top w:val="single" w:color="auto" w:sz="4" w:space="0"/>
                    <w:left w:val="single" w:color="auto" w:sz="2" w:space="0"/>
                    <w:bottom w:val="single" w:color="auto" w:sz="4" w:space="0"/>
                    <w:right w:val="single" w:color="auto" w:sz="4" w:space="0"/>
                  </w:tcBorders>
                  <w:vAlign w:val="center"/>
                </w:tcPr>
                <w:p>
                  <w:pPr>
                    <w:pStyle w:val="47"/>
                    <w:rPr>
                      <w:szCs w:val="21"/>
                    </w:rPr>
                  </w:pPr>
                  <w:r>
                    <w:rPr>
                      <w:szCs w:val="21"/>
                    </w:rPr>
                    <w:t>固态</w:t>
                  </w:r>
                </w:p>
              </w:tc>
              <w:tc>
                <w:tcPr>
                  <w:tcW w:w="519" w:type="pct"/>
                  <w:tcBorders>
                    <w:top w:val="single" w:color="auto" w:sz="4" w:space="0"/>
                    <w:left w:val="single" w:color="auto" w:sz="2" w:space="0"/>
                    <w:bottom w:val="single" w:color="auto" w:sz="4" w:space="0"/>
                    <w:right w:val="single" w:color="auto" w:sz="4" w:space="0"/>
                  </w:tcBorders>
                  <w:vAlign w:val="center"/>
                </w:tcPr>
                <w:p>
                  <w:pPr>
                    <w:pStyle w:val="47"/>
                    <w:rPr>
                      <w:szCs w:val="21"/>
                    </w:rPr>
                  </w:pPr>
                  <w:r>
                    <w:rPr>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tcBorders>
                    <w:top w:val="single" w:color="auto" w:sz="4" w:space="0"/>
                    <w:left w:val="single" w:color="auto" w:sz="4" w:space="0"/>
                    <w:bottom w:val="single" w:color="auto" w:sz="4" w:space="0"/>
                    <w:right w:val="single" w:color="auto" w:sz="2" w:space="0"/>
                  </w:tcBorders>
                  <w:vAlign w:val="center"/>
                </w:tcPr>
                <w:p>
                  <w:pPr>
                    <w:pStyle w:val="47"/>
                    <w:rPr>
                      <w:szCs w:val="21"/>
                    </w:rPr>
                  </w:pPr>
                  <w:r>
                    <w:rPr>
                      <w:szCs w:val="21"/>
                    </w:rPr>
                    <w:t>2</w:t>
                  </w:r>
                </w:p>
              </w:tc>
              <w:tc>
                <w:tcPr>
                  <w:tcW w:w="697" w:type="pct"/>
                  <w:tcBorders>
                    <w:top w:val="single" w:color="auto" w:sz="4" w:space="0"/>
                    <w:left w:val="single" w:color="auto" w:sz="2" w:space="0"/>
                    <w:bottom w:val="single" w:color="auto" w:sz="4" w:space="0"/>
                    <w:right w:val="single" w:color="auto" w:sz="2" w:space="0"/>
                  </w:tcBorders>
                  <w:vAlign w:val="center"/>
                </w:tcPr>
                <w:p>
                  <w:pPr>
                    <w:pStyle w:val="47"/>
                    <w:rPr>
                      <w:szCs w:val="21"/>
                    </w:rPr>
                  </w:pPr>
                  <w:r>
                    <w:rPr>
                      <w:rFonts w:hint="eastAsia"/>
                      <w:szCs w:val="21"/>
                    </w:rPr>
                    <w:t>金属边角料</w:t>
                  </w:r>
                </w:p>
              </w:tc>
              <w:tc>
                <w:tcPr>
                  <w:tcW w:w="998" w:type="pct"/>
                  <w:tcBorders>
                    <w:top w:val="single" w:color="auto" w:sz="4" w:space="0"/>
                    <w:left w:val="single" w:color="auto" w:sz="2" w:space="0"/>
                    <w:bottom w:val="single" w:color="auto" w:sz="4" w:space="0"/>
                    <w:right w:val="single" w:color="auto" w:sz="4" w:space="0"/>
                  </w:tcBorders>
                  <w:vAlign w:val="center"/>
                </w:tcPr>
                <w:p>
                  <w:pPr>
                    <w:pStyle w:val="47"/>
                    <w:rPr>
                      <w:szCs w:val="21"/>
                    </w:rPr>
                  </w:pPr>
                  <w:r>
                    <w:rPr>
                      <w:rFonts w:hint="eastAsia"/>
                      <w:szCs w:val="21"/>
                    </w:rPr>
                    <w:t>下料、粗车、普铣、精车、打孔、攻丝</w:t>
                  </w:r>
                </w:p>
              </w:tc>
              <w:tc>
                <w:tcPr>
                  <w:tcW w:w="644"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一般固废</w:t>
                  </w:r>
                </w:p>
              </w:tc>
              <w:tc>
                <w:tcPr>
                  <w:tcW w:w="721" w:type="pct"/>
                  <w:tcBorders>
                    <w:top w:val="single" w:color="auto" w:sz="4" w:space="0"/>
                    <w:left w:val="single" w:color="auto" w:sz="4" w:space="0"/>
                    <w:bottom w:val="single" w:color="auto" w:sz="4" w:space="0"/>
                    <w:right w:val="single" w:color="auto" w:sz="2" w:space="0"/>
                  </w:tcBorders>
                  <w:vAlign w:val="center"/>
                </w:tcPr>
                <w:p>
                  <w:pPr>
                    <w:pStyle w:val="47"/>
                    <w:rPr>
                      <w:szCs w:val="21"/>
                    </w:rPr>
                  </w:pPr>
                  <w:r>
                    <w:rPr>
                      <w:rFonts w:hint="eastAsia"/>
                      <w:szCs w:val="21"/>
                    </w:rPr>
                    <w:t>/</w:t>
                  </w:r>
                </w:p>
              </w:tc>
              <w:tc>
                <w:tcPr>
                  <w:tcW w:w="619" w:type="pct"/>
                  <w:tcBorders>
                    <w:top w:val="single" w:color="auto" w:sz="4" w:space="0"/>
                    <w:left w:val="single" w:color="auto" w:sz="4" w:space="0"/>
                    <w:bottom w:val="single" w:color="auto" w:sz="4" w:space="0"/>
                    <w:right w:val="single" w:color="auto" w:sz="2" w:space="0"/>
                  </w:tcBorders>
                  <w:vAlign w:val="center"/>
                </w:tcPr>
                <w:p>
                  <w:pPr>
                    <w:pStyle w:val="47"/>
                    <w:rPr>
                      <w:szCs w:val="21"/>
                    </w:rPr>
                  </w:pPr>
                  <w:r>
                    <w:rPr>
                      <w:rFonts w:hint="eastAsia"/>
                      <w:szCs w:val="21"/>
                    </w:rPr>
                    <w:t>/</w:t>
                  </w:r>
                </w:p>
              </w:tc>
              <w:tc>
                <w:tcPr>
                  <w:tcW w:w="394" w:type="pct"/>
                  <w:tcBorders>
                    <w:top w:val="single" w:color="auto" w:sz="4" w:space="0"/>
                    <w:left w:val="single" w:color="auto" w:sz="2" w:space="0"/>
                    <w:bottom w:val="single" w:color="auto" w:sz="4" w:space="0"/>
                    <w:right w:val="single" w:color="auto" w:sz="4" w:space="0"/>
                  </w:tcBorders>
                  <w:vAlign w:val="center"/>
                </w:tcPr>
                <w:p>
                  <w:pPr>
                    <w:pStyle w:val="47"/>
                    <w:rPr>
                      <w:szCs w:val="21"/>
                    </w:rPr>
                  </w:pPr>
                  <w:r>
                    <w:rPr>
                      <w:szCs w:val="21"/>
                    </w:rPr>
                    <w:t>固态</w:t>
                  </w:r>
                </w:p>
              </w:tc>
              <w:tc>
                <w:tcPr>
                  <w:tcW w:w="519" w:type="pct"/>
                  <w:tcBorders>
                    <w:top w:val="single" w:color="auto" w:sz="4" w:space="0"/>
                    <w:left w:val="single" w:color="auto" w:sz="2" w:space="0"/>
                    <w:bottom w:val="single" w:color="auto" w:sz="4" w:space="0"/>
                    <w:right w:val="single" w:color="auto" w:sz="4" w:space="0"/>
                  </w:tcBorders>
                  <w:vAlign w:val="center"/>
                </w:tcPr>
                <w:p>
                  <w:pPr>
                    <w:pStyle w:val="47"/>
                    <w:rPr>
                      <w:szCs w:val="21"/>
                    </w:rPr>
                  </w:pPr>
                  <w:r>
                    <w:rPr>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tcBorders>
                    <w:top w:val="single" w:color="auto" w:sz="4" w:space="0"/>
                    <w:left w:val="single" w:color="auto" w:sz="4" w:space="0"/>
                    <w:bottom w:val="single" w:color="auto" w:sz="4" w:space="0"/>
                    <w:right w:val="single" w:color="auto" w:sz="2" w:space="0"/>
                  </w:tcBorders>
                  <w:vAlign w:val="center"/>
                </w:tcPr>
                <w:p>
                  <w:pPr>
                    <w:pStyle w:val="47"/>
                    <w:rPr>
                      <w:szCs w:val="21"/>
                    </w:rPr>
                  </w:pPr>
                  <w:r>
                    <w:rPr>
                      <w:rFonts w:hint="eastAsia"/>
                      <w:szCs w:val="21"/>
                    </w:rPr>
                    <w:t>3</w:t>
                  </w:r>
                </w:p>
              </w:tc>
              <w:tc>
                <w:tcPr>
                  <w:tcW w:w="697" w:type="pct"/>
                  <w:tcBorders>
                    <w:top w:val="single" w:color="auto" w:sz="4" w:space="0"/>
                    <w:left w:val="single" w:color="auto" w:sz="2" w:space="0"/>
                    <w:bottom w:val="single" w:color="auto" w:sz="4" w:space="0"/>
                    <w:right w:val="single" w:color="auto" w:sz="2" w:space="0"/>
                  </w:tcBorders>
                  <w:vAlign w:val="center"/>
                </w:tcPr>
                <w:p>
                  <w:pPr>
                    <w:pStyle w:val="47"/>
                    <w:rPr>
                      <w:szCs w:val="21"/>
                    </w:rPr>
                  </w:pPr>
                  <w:r>
                    <w:rPr>
                      <w:szCs w:val="21"/>
                    </w:rPr>
                    <w:t>次品</w:t>
                  </w:r>
                </w:p>
              </w:tc>
              <w:tc>
                <w:tcPr>
                  <w:tcW w:w="998" w:type="pct"/>
                  <w:tcBorders>
                    <w:top w:val="single" w:color="auto" w:sz="4" w:space="0"/>
                    <w:left w:val="single" w:color="auto" w:sz="2" w:space="0"/>
                    <w:bottom w:val="single" w:color="auto" w:sz="4" w:space="0"/>
                    <w:right w:val="single" w:color="auto" w:sz="4" w:space="0"/>
                  </w:tcBorders>
                  <w:vAlign w:val="center"/>
                </w:tcPr>
                <w:p>
                  <w:pPr>
                    <w:pStyle w:val="47"/>
                    <w:rPr>
                      <w:szCs w:val="21"/>
                    </w:rPr>
                  </w:pPr>
                  <w:r>
                    <w:rPr>
                      <w:szCs w:val="21"/>
                    </w:rPr>
                    <w:t>检测</w:t>
                  </w:r>
                </w:p>
              </w:tc>
              <w:tc>
                <w:tcPr>
                  <w:tcW w:w="644"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一般固废</w:t>
                  </w:r>
                </w:p>
              </w:tc>
              <w:tc>
                <w:tcPr>
                  <w:tcW w:w="721" w:type="pct"/>
                  <w:tcBorders>
                    <w:top w:val="single" w:color="auto" w:sz="4" w:space="0"/>
                    <w:left w:val="single" w:color="auto" w:sz="4" w:space="0"/>
                    <w:bottom w:val="single" w:color="auto" w:sz="4" w:space="0"/>
                    <w:right w:val="single" w:color="auto" w:sz="2" w:space="0"/>
                  </w:tcBorders>
                  <w:vAlign w:val="center"/>
                </w:tcPr>
                <w:p>
                  <w:pPr>
                    <w:pStyle w:val="47"/>
                    <w:rPr>
                      <w:szCs w:val="21"/>
                    </w:rPr>
                  </w:pPr>
                  <w:r>
                    <w:rPr>
                      <w:szCs w:val="21"/>
                    </w:rPr>
                    <w:t>/</w:t>
                  </w:r>
                </w:p>
              </w:tc>
              <w:tc>
                <w:tcPr>
                  <w:tcW w:w="619" w:type="pct"/>
                  <w:tcBorders>
                    <w:top w:val="single" w:color="auto" w:sz="4" w:space="0"/>
                    <w:left w:val="single" w:color="auto" w:sz="4" w:space="0"/>
                    <w:bottom w:val="single" w:color="auto" w:sz="4" w:space="0"/>
                    <w:right w:val="single" w:color="auto" w:sz="2" w:space="0"/>
                  </w:tcBorders>
                  <w:vAlign w:val="center"/>
                </w:tcPr>
                <w:p>
                  <w:pPr>
                    <w:pStyle w:val="47"/>
                    <w:rPr>
                      <w:szCs w:val="21"/>
                    </w:rPr>
                  </w:pPr>
                  <w:r>
                    <w:rPr>
                      <w:szCs w:val="21"/>
                    </w:rPr>
                    <w:t>/</w:t>
                  </w:r>
                </w:p>
              </w:tc>
              <w:tc>
                <w:tcPr>
                  <w:tcW w:w="394" w:type="pct"/>
                  <w:tcBorders>
                    <w:top w:val="single" w:color="auto" w:sz="4" w:space="0"/>
                    <w:left w:val="single" w:color="auto" w:sz="2" w:space="0"/>
                    <w:bottom w:val="single" w:color="auto" w:sz="4" w:space="0"/>
                    <w:right w:val="single" w:color="auto" w:sz="4" w:space="0"/>
                  </w:tcBorders>
                  <w:vAlign w:val="center"/>
                </w:tcPr>
                <w:p>
                  <w:pPr>
                    <w:pStyle w:val="47"/>
                    <w:rPr>
                      <w:szCs w:val="21"/>
                    </w:rPr>
                  </w:pPr>
                  <w:r>
                    <w:rPr>
                      <w:szCs w:val="21"/>
                    </w:rPr>
                    <w:t>固态</w:t>
                  </w:r>
                </w:p>
              </w:tc>
              <w:tc>
                <w:tcPr>
                  <w:tcW w:w="519" w:type="pct"/>
                  <w:tcBorders>
                    <w:top w:val="single" w:color="auto" w:sz="4" w:space="0"/>
                    <w:left w:val="single" w:color="auto" w:sz="2" w:space="0"/>
                    <w:bottom w:val="single" w:color="auto" w:sz="4" w:space="0"/>
                    <w:right w:val="single" w:color="auto" w:sz="4" w:space="0"/>
                  </w:tcBorders>
                  <w:vAlign w:val="center"/>
                </w:tcPr>
                <w:p>
                  <w:pPr>
                    <w:pStyle w:val="47"/>
                    <w:rPr>
                      <w:szCs w:val="21"/>
                    </w:rPr>
                  </w:pPr>
                  <w:r>
                    <w:rPr>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tcBorders>
                    <w:top w:val="single" w:color="auto" w:sz="4" w:space="0"/>
                    <w:left w:val="single" w:color="auto" w:sz="4" w:space="0"/>
                    <w:bottom w:val="single" w:color="auto" w:sz="4" w:space="0"/>
                    <w:right w:val="single" w:color="auto" w:sz="2" w:space="0"/>
                  </w:tcBorders>
                  <w:vAlign w:val="center"/>
                </w:tcPr>
                <w:p>
                  <w:pPr>
                    <w:pStyle w:val="47"/>
                    <w:rPr>
                      <w:szCs w:val="21"/>
                    </w:rPr>
                  </w:pPr>
                  <w:r>
                    <w:rPr>
                      <w:rFonts w:hint="eastAsia"/>
                      <w:szCs w:val="21"/>
                    </w:rPr>
                    <w:t>4</w:t>
                  </w:r>
                </w:p>
              </w:tc>
              <w:tc>
                <w:tcPr>
                  <w:tcW w:w="697" w:type="pct"/>
                  <w:tcBorders>
                    <w:top w:val="single" w:color="auto" w:sz="4" w:space="0"/>
                    <w:left w:val="single" w:color="auto" w:sz="2" w:space="0"/>
                    <w:bottom w:val="single" w:color="auto" w:sz="4" w:space="0"/>
                    <w:right w:val="single" w:color="auto" w:sz="2" w:space="0"/>
                  </w:tcBorders>
                  <w:vAlign w:val="center"/>
                </w:tcPr>
                <w:p>
                  <w:pPr>
                    <w:pStyle w:val="47"/>
                    <w:rPr>
                      <w:szCs w:val="21"/>
                    </w:rPr>
                  </w:pPr>
                  <w:r>
                    <w:rPr>
                      <w:rFonts w:hint="eastAsia"/>
                      <w:szCs w:val="21"/>
                    </w:rPr>
                    <w:t>金属沉渣</w:t>
                  </w:r>
                </w:p>
              </w:tc>
              <w:tc>
                <w:tcPr>
                  <w:tcW w:w="998" w:type="pct"/>
                  <w:tcBorders>
                    <w:top w:val="single" w:color="auto" w:sz="4" w:space="0"/>
                    <w:left w:val="single" w:color="auto" w:sz="2" w:space="0"/>
                    <w:bottom w:val="single" w:color="auto" w:sz="4" w:space="0"/>
                    <w:right w:val="single" w:color="auto" w:sz="4" w:space="0"/>
                  </w:tcBorders>
                  <w:vAlign w:val="center"/>
                </w:tcPr>
                <w:p>
                  <w:pPr>
                    <w:pStyle w:val="47"/>
                    <w:rPr>
                      <w:szCs w:val="21"/>
                    </w:rPr>
                  </w:pPr>
                  <w:r>
                    <w:rPr>
                      <w:rFonts w:hint="eastAsia"/>
                      <w:szCs w:val="21"/>
                    </w:rPr>
                    <w:t>废水处理</w:t>
                  </w:r>
                </w:p>
              </w:tc>
              <w:tc>
                <w:tcPr>
                  <w:tcW w:w="644"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一般固废</w:t>
                  </w:r>
                </w:p>
              </w:tc>
              <w:tc>
                <w:tcPr>
                  <w:tcW w:w="721" w:type="pct"/>
                  <w:tcBorders>
                    <w:top w:val="single" w:color="auto" w:sz="4" w:space="0"/>
                    <w:left w:val="single" w:color="auto" w:sz="4" w:space="0"/>
                    <w:bottom w:val="single" w:color="auto" w:sz="4" w:space="0"/>
                    <w:right w:val="single" w:color="auto" w:sz="2" w:space="0"/>
                  </w:tcBorders>
                  <w:vAlign w:val="center"/>
                </w:tcPr>
                <w:p>
                  <w:pPr>
                    <w:pStyle w:val="47"/>
                    <w:rPr>
                      <w:szCs w:val="21"/>
                    </w:rPr>
                  </w:pPr>
                  <w:r>
                    <w:rPr>
                      <w:rFonts w:hint="eastAsia"/>
                      <w:szCs w:val="21"/>
                    </w:rPr>
                    <w:t>/</w:t>
                  </w:r>
                </w:p>
              </w:tc>
              <w:tc>
                <w:tcPr>
                  <w:tcW w:w="619" w:type="pct"/>
                  <w:tcBorders>
                    <w:top w:val="single" w:color="auto" w:sz="4" w:space="0"/>
                    <w:left w:val="single" w:color="auto" w:sz="4" w:space="0"/>
                    <w:bottom w:val="single" w:color="auto" w:sz="4" w:space="0"/>
                    <w:right w:val="single" w:color="auto" w:sz="2" w:space="0"/>
                  </w:tcBorders>
                  <w:vAlign w:val="center"/>
                </w:tcPr>
                <w:p>
                  <w:pPr>
                    <w:pStyle w:val="47"/>
                    <w:rPr>
                      <w:szCs w:val="21"/>
                    </w:rPr>
                  </w:pPr>
                  <w:r>
                    <w:rPr>
                      <w:rFonts w:hint="eastAsia"/>
                      <w:szCs w:val="21"/>
                    </w:rPr>
                    <w:t>/</w:t>
                  </w:r>
                </w:p>
              </w:tc>
              <w:tc>
                <w:tcPr>
                  <w:tcW w:w="394" w:type="pct"/>
                  <w:tcBorders>
                    <w:top w:val="single" w:color="auto" w:sz="4" w:space="0"/>
                    <w:left w:val="single" w:color="auto" w:sz="2" w:space="0"/>
                    <w:bottom w:val="single" w:color="auto" w:sz="4" w:space="0"/>
                    <w:right w:val="single" w:color="auto" w:sz="4" w:space="0"/>
                  </w:tcBorders>
                  <w:vAlign w:val="center"/>
                </w:tcPr>
                <w:p>
                  <w:pPr>
                    <w:pStyle w:val="47"/>
                    <w:rPr>
                      <w:szCs w:val="21"/>
                    </w:rPr>
                  </w:pPr>
                  <w:r>
                    <w:rPr>
                      <w:szCs w:val="21"/>
                    </w:rPr>
                    <w:t>固态</w:t>
                  </w:r>
                </w:p>
              </w:tc>
              <w:tc>
                <w:tcPr>
                  <w:tcW w:w="519" w:type="pct"/>
                  <w:tcBorders>
                    <w:top w:val="single" w:color="auto" w:sz="4" w:space="0"/>
                    <w:left w:val="single" w:color="auto" w:sz="2" w:space="0"/>
                    <w:bottom w:val="single" w:color="auto" w:sz="4" w:space="0"/>
                    <w:right w:val="single" w:color="auto" w:sz="4" w:space="0"/>
                  </w:tcBorders>
                  <w:vAlign w:val="center"/>
                </w:tcPr>
                <w:p>
                  <w:pPr>
                    <w:pStyle w:val="47"/>
                    <w:rPr>
                      <w:szCs w:val="21"/>
                    </w:rPr>
                  </w:pPr>
                  <w:r>
                    <w:rPr>
                      <w:rFonts w:hint="eastAsia"/>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tcBorders>
                    <w:top w:val="single" w:color="auto" w:sz="4" w:space="0"/>
                    <w:left w:val="single" w:color="auto" w:sz="4" w:space="0"/>
                    <w:bottom w:val="single" w:color="auto" w:sz="4" w:space="0"/>
                    <w:right w:val="single" w:color="auto" w:sz="2" w:space="0"/>
                  </w:tcBorders>
                  <w:vAlign w:val="center"/>
                </w:tcPr>
                <w:p>
                  <w:pPr>
                    <w:pStyle w:val="47"/>
                    <w:rPr>
                      <w:szCs w:val="21"/>
                    </w:rPr>
                  </w:pPr>
                  <w:r>
                    <w:rPr>
                      <w:rFonts w:hint="eastAsia"/>
                      <w:szCs w:val="21"/>
                    </w:rPr>
                    <w:t>5</w:t>
                  </w:r>
                </w:p>
              </w:tc>
              <w:tc>
                <w:tcPr>
                  <w:tcW w:w="697" w:type="pct"/>
                  <w:tcBorders>
                    <w:top w:val="single" w:color="auto" w:sz="4" w:space="0"/>
                    <w:left w:val="single" w:color="auto" w:sz="2" w:space="0"/>
                    <w:bottom w:val="single" w:color="auto" w:sz="4" w:space="0"/>
                    <w:right w:val="single" w:color="auto" w:sz="2" w:space="0"/>
                  </w:tcBorders>
                  <w:vAlign w:val="center"/>
                </w:tcPr>
                <w:p>
                  <w:pPr>
                    <w:pStyle w:val="47"/>
                    <w:rPr>
                      <w:szCs w:val="21"/>
                    </w:rPr>
                  </w:pPr>
                  <w:r>
                    <w:rPr>
                      <w:rFonts w:hint="eastAsia"/>
                      <w:szCs w:val="21"/>
                    </w:rPr>
                    <w:t>废滤芯</w:t>
                  </w:r>
                </w:p>
              </w:tc>
              <w:tc>
                <w:tcPr>
                  <w:tcW w:w="998" w:type="pct"/>
                  <w:tcBorders>
                    <w:top w:val="single" w:color="auto" w:sz="4" w:space="0"/>
                    <w:left w:val="single" w:color="auto" w:sz="2" w:space="0"/>
                    <w:bottom w:val="single" w:color="auto" w:sz="4" w:space="0"/>
                    <w:right w:val="single" w:color="auto" w:sz="4" w:space="0"/>
                  </w:tcBorders>
                  <w:vAlign w:val="center"/>
                </w:tcPr>
                <w:p>
                  <w:pPr>
                    <w:pStyle w:val="47"/>
                    <w:rPr>
                      <w:szCs w:val="21"/>
                    </w:rPr>
                  </w:pPr>
                  <w:r>
                    <w:rPr>
                      <w:rFonts w:hint="eastAsia"/>
                      <w:szCs w:val="21"/>
                    </w:rPr>
                    <w:t>废气处理</w:t>
                  </w:r>
                </w:p>
              </w:tc>
              <w:tc>
                <w:tcPr>
                  <w:tcW w:w="644"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一般固废</w:t>
                  </w:r>
                </w:p>
              </w:tc>
              <w:tc>
                <w:tcPr>
                  <w:tcW w:w="721" w:type="pct"/>
                  <w:tcBorders>
                    <w:top w:val="single" w:color="auto" w:sz="4" w:space="0"/>
                    <w:left w:val="single" w:color="auto" w:sz="4" w:space="0"/>
                    <w:bottom w:val="single" w:color="auto" w:sz="4" w:space="0"/>
                    <w:right w:val="single" w:color="auto" w:sz="2" w:space="0"/>
                  </w:tcBorders>
                  <w:vAlign w:val="center"/>
                </w:tcPr>
                <w:p>
                  <w:pPr>
                    <w:pStyle w:val="47"/>
                    <w:rPr>
                      <w:szCs w:val="21"/>
                    </w:rPr>
                  </w:pPr>
                  <w:r>
                    <w:rPr>
                      <w:rFonts w:hint="eastAsia"/>
                      <w:szCs w:val="21"/>
                    </w:rPr>
                    <w:t>/</w:t>
                  </w:r>
                </w:p>
              </w:tc>
              <w:tc>
                <w:tcPr>
                  <w:tcW w:w="619" w:type="pct"/>
                  <w:tcBorders>
                    <w:top w:val="single" w:color="auto" w:sz="4" w:space="0"/>
                    <w:left w:val="single" w:color="auto" w:sz="4" w:space="0"/>
                    <w:bottom w:val="single" w:color="auto" w:sz="4" w:space="0"/>
                    <w:right w:val="single" w:color="auto" w:sz="2" w:space="0"/>
                  </w:tcBorders>
                  <w:vAlign w:val="center"/>
                </w:tcPr>
                <w:p>
                  <w:pPr>
                    <w:pStyle w:val="47"/>
                    <w:rPr>
                      <w:szCs w:val="21"/>
                    </w:rPr>
                  </w:pPr>
                  <w:r>
                    <w:rPr>
                      <w:rFonts w:hint="eastAsia"/>
                      <w:szCs w:val="21"/>
                    </w:rPr>
                    <w:t>/</w:t>
                  </w:r>
                </w:p>
              </w:tc>
              <w:tc>
                <w:tcPr>
                  <w:tcW w:w="394" w:type="pct"/>
                  <w:tcBorders>
                    <w:top w:val="single" w:color="auto" w:sz="4" w:space="0"/>
                    <w:left w:val="single" w:color="auto" w:sz="2" w:space="0"/>
                    <w:bottom w:val="single" w:color="auto" w:sz="4" w:space="0"/>
                    <w:right w:val="single" w:color="auto" w:sz="4" w:space="0"/>
                  </w:tcBorders>
                  <w:vAlign w:val="center"/>
                </w:tcPr>
                <w:p>
                  <w:pPr>
                    <w:pStyle w:val="47"/>
                    <w:rPr>
                      <w:szCs w:val="21"/>
                    </w:rPr>
                  </w:pPr>
                  <w:r>
                    <w:rPr>
                      <w:rFonts w:hint="eastAsia"/>
                      <w:szCs w:val="21"/>
                    </w:rPr>
                    <w:t>固态</w:t>
                  </w:r>
                </w:p>
              </w:tc>
              <w:tc>
                <w:tcPr>
                  <w:tcW w:w="519" w:type="pct"/>
                  <w:tcBorders>
                    <w:top w:val="single" w:color="auto" w:sz="4" w:space="0"/>
                    <w:left w:val="single" w:color="auto" w:sz="2" w:space="0"/>
                    <w:bottom w:val="single" w:color="auto" w:sz="4" w:space="0"/>
                    <w:right w:val="single" w:color="auto" w:sz="4" w:space="0"/>
                  </w:tcBorders>
                  <w:vAlign w:val="center"/>
                </w:tcPr>
                <w:p>
                  <w:pPr>
                    <w:pStyle w:val="47"/>
                    <w:rPr>
                      <w:szCs w:val="21"/>
                    </w:rPr>
                  </w:pPr>
                  <w:r>
                    <w:rPr>
                      <w:rFonts w:hint="eastAsia"/>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tcBorders>
                    <w:top w:val="single" w:color="auto" w:sz="4" w:space="0"/>
                    <w:left w:val="single" w:color="auto" w:sz="4" w:space="0"/>
                    <w:bottom w:val="single" w:color="auto" w:sz="4" w:space="0"/>
                    <w:right w:val="single" w:color="auto" w:sz="2" w:space="0"/>
                  </w:tcBorders>
                  <w:vAlign w:val="center"/>
                </w:tcPr>
                <w:p>
                  <w:pPr>
                    <w:pStyle w:val="47"/>
                    <w:rPr>
                      <w:szCs w:val="21"/>
                    </w:rPr>
                  </w:pPr>
                  <w:r>
                    <w:rPr>
                      <w:rFonts w:hint="eastAsia"/>
                      <w:szCs w:val="21"/>
                    </w:rPr>
                    <w:t>6</w:t>
                  </w:r>
                </w:p>
              </w:tc>
              <w:tc>
                <w:tcPr>
                  <w:tcW w:w="697" w:type="pct"/>
                  <w:tcBorders>
                    <w:top w:val="single" w:color="auto" w:sz="4" w:space="0"/>
                    <w:left w:val="single" w:color="auto" w:sz="2" w:space="0"/>
                    <w:bottom w:val="single" w:color="auto" w:sz="4" w:space="0"/>
                    <w:right w:val="single" w:color="auto" w:sz="2" w:space="0"/>
                  </w:tcBorders>
                  <w:vAlign w:val="center"/>
                </w:tcPr>
                <w:p>
                  <w:pPr>
                    <w:pStyle w:val="47"/>
                    <w:rPr>
                      <w:szCs w:val="21"/>
                    </w:rPr>
                  </w:pPr>
                  <w:r>
                    <w:rPr>
                      <w:szCs w:val="21"/>
                    </w:rPr>
                    <w:t>废乳化液</w:t>
                  </w:r>
                </w:p>
              </w:tc>
              <w:tc>
                <w:tcPr>
                  <w:tcW w:w="998" w:type="pct"/>
                  <w:tcBorders>
                    <w:top w:val="single" w:color="auto" w:sz="4" w:space="0"/>
                    <w:left w:val="single" w:color="auto" w:sz="2" w:space="0"/>
                    <w:bottom w:val="single" w:color="auto" w:sz="4" w:space="0"/>
                    <w:right w:val="single" w:color="auto" w:sz="4" w:space="0"/>
                  </w:tcBorders>
                  <w:vAlign w:val="center"/>
                </w:tcPr>
                <w:p>
                  <w:pPr>
                    <w:pStyle w:val="47"/>
                    <w:rPr>
                      <w:szCs w:val="21"/>
                    </w:rPr>
                  </w:pPr>
                  <w:r>
                    <w:rPr>
                      <w:szCs w:val="21"/>
                    </w:rPr>
                    <w:t>粗车、普铣、精车</w:t>
                  </w:r>
                </w:p>
              </w:tc>
              <w:tc>
                <w:tcPr>
                  <w:tcW w:w="644"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危险废物</w:t>
                  </w:r>
                </w:p>
              </w:tc>
              <w:tc>
                <w:tcPr>
                  <w:tcW w:w="721" w:type="pct"/>
                  <w:tcBorders>
                    <w:top w:val="single" w:color="auto" w:sz="4" w:space="0"/>
                    <w:left w:val="single" w:color="auto" w:sz="4" w:space="0"/>
                    <w:bottom w:val="single" w:color="auto" w:sz="4" w:space="0"/>
                    <w:right w:val="single" w:color="auto" w:sz="2" w:space="0"/>
                  </w:tcBorders>
                  <w:vAlign w:val="center"/>
                </w:tcPr>
                <w:p>
                  <w:pPr>
                    <w:pStyle w:val="47"/>
                    <w:rPr>
                      <w:szCs w:val="21"/>
                    </w:rPr>
                  </w:pPr>
                  <w:r>
                    <w:rPr>
                      <w:rFonts w:hint="eastAsia"/>
                      <w:szCs w:val="21"/>
                    </w:rPr>
                    <w:t>900-006-09</w:t>
                  </w:r>
                </w:p>
              </w:tc>
              <w:tc>
                <w:tcPr>
                  <w:tcW w:w="619" w:type="pct"/>
                  <w:tcBorders>
                    <w:top w:val="single" w:color="auto" w:sz="4" w:space="0"/>
                    <w:left w:val="single" w:color="auto" w:sz="4" w:space="0"/>
                    <w:bottom w:val="single" w:color="auto" w:sz="4" w:space="0"/>
                    <w:right w:val="single" w:color="auto" w:sz="2" w:space="0"/>
                  </w:tcBorders>
                  <w:vAlign w:val="center"/>
                </w:tcPr>
                <w:p>
                  <w:pPr>
                    <w:pStyle w:val="47"/>
                    <w:rPr>
                      <w:szCs w:val="21"/>
                    </w:rPr>
                  </w:pPr>
                  <w:r>
                    <w:rPr>
                      <w:rFonts w:hint="eastAsia"/>
                      <w:szCs w:val="21"/>
                    </w:rPr>
                    <w:t>HW09</w:t>
                  </w:r>
                </w:p>
              </w:tc>
              <w:tc>
                <w:tcPr>
                  <w:tcW w:w="394" w:type="pct"/>
                  <w:tcBorders>
                    <w:top w:val="single" w:color="auto" w:sz="4" w:space="0"/>
                    <w:left w:val="single" w:color="auto" w:sz="2" w:space="0"/>
                    <w:bottom w:val="single" w:color="auto" w:sz="4" w:space="0"/>
                    <w:right w:val="single" w:color="auto" w:sz="4" w:space="0"/>
                  </w:tcBorders>
                  <w:vAlign w:val="center"/>
                </w:tcPr>
                <w:p>
                  <w:pPr>
                    <w:pStyle w:val="47"/>
                    <w:rPr>
                      <w:szCs w:val="21"/>
                    </w:rPr>
                  </w:pPr>
                  <w:r>
                    <w:rPr>
                      <w:szCs w:val="21"/>
                    </w:rPr>
                    <w:t>液态</w:t>
                  </w:r>
                </w:p>
              </w:tc>
              <w:tc>
                <w:tcPr>
                  <w:tcW w:w="519" w:type="pct"/>
                  <w:tcBorders>
                    <w:top w:val="single" w:color="auto" w:sz="4" w:space="0"/>
                    <w:left w:val="single" w:color="auto" w:sz="2" w:space="0"/>
                    <w:bottom w:val="single" w:color="auto" w:sz="4" w:space="0"/>
                    <w:right w:val="single" w:color="auto" w:sz="4" w:space="0"/>
                  </w:tcBorders>
                  <w:vAlign w:val="center"/>
                </w:tcPr>
                <w:p>
                  <w:pPr>
                    <w:pStyle w:val="47"/>
                    <w:rPr>
                      <w:szCs w:val="21"/>
                    </w:rPr>
                  </w:pPr>
                  <w:r>
                    <w:rPr>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tcBorders>
                    <w:top w:val="single" w:color="auto" w:sz="4" w:space="0"/>
                    <w:left w:val="single" w:color="auto" w:sz="4" w:space="0"/>
                    <w:bottom w:val="single" w:color="auto" w:sz="4" w:space="0"/>
                    <w:right w:val="single" w:color="auto" w:sz="2" w:space="0"/>
                  </w:tcBorders>
                  <w:vAlign w:val="center"/>
                </w:tcPr>
                <w:p>
                  <w:pPr>
                    <w:pStyle w:val="47"/>
                    <w:rPr>
                      <w:szCs w:val="21"/>
                    </w:rPr>
                  </w:pPr>
                  <w:r>
                    <w:rPr>
                      <w:rFonts w:hint="eastAsia"/>
                      <w:szCs w:val="21"/>
                    </w:rPr>
                    <w:t>7</w:t>
                  </w:r>
                </w:p>
              </w:tc>
              <w:tc>
                <w:tcPr>
                  <w:tcW w:w="697" w:type="pct"/>
                  <w:tcBorders>
                    <w:top w:val="single" w:color="auto" w:sz="4" w:space="0"/>
                    <w:left w:val="single" w:color="auto" w:sz="2" w:space="0"/>
                    <w:bottom w:val="single" w:color="auto" w:sz="4" w:space="0"/>
                    <w:right w:val="single" w:color="auto" w:sz="2" w:space="0"/>
                  </w:tcBorders>
                  <w:vAlign w:val="center"/>
                </w:tcPr>
                <w:p>
                  <w:pPr>
                    <w:pStyle w:val="47"/>
                    <w:rPr>
                      <w:szCs w:val="21"/>
                    </w:rPr>
                  </w:pPr>
                  <w:r>
                    <w:rPr>
                      <w:rFonts w:hint="eastAsia"/>
                      <w:szCs w:val="21"/>
                    </w:rPr>
                    <w:t>废漆料</w:t>
                  </w:r>
                </w:p>
              </w:tc>
              <w:tc>
                <w:tcPr>
                  <w:tcW w:w="998" w:type="pct"/>
                  <w:tcBorders>
                    <w:top w:val="single" w:color="auto" w:sz="4" w:space="0"/>
                    <w:left w:val="single" w:color="auto" w:sz="2" w:space="0"/>
                    <w:bottom w:val="single" w:color="auto" w:sz="4" w:space="0"/>
                    <w:right w:val="single" w:color="auto" w:sz="4" w:space="0"/>
                  </w:tcBorders>
                  <w:vAlign w:val="center"/>
                </w:tcPr>
                <w:p>
                  <w:pPr>
                    <w:pStyle w:val="47"/>
                    <w:rPr>
                      <w:szCs w:val="21"/>
                    </w:rPr>
                  </w:pPr>
                  <w:r>
                    <w:rPr>
                      <w:rFonts w:hint="eastAsia"/>
                      <w:szCs w:val="21"/>
                    </w:rPr>
                    <w:t>真空浸漆</w:t>
                  </w:r>
                </w:p>
              </w:tc>
              <w:tc>
                <w:tcPr>
                  <w:tcW w:w="644"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rFonts w:hint="eastAsia"/>
                      <w:szCs w:val="21"/>
                    </w:rPr>
                    <w:t>危险废物</w:t>
                  </w:r>
                </w:p>
              </w:tc>
              <w:tc>
                <w:tcPr>
                  <w:tcW w:w="721" w:type="pct"/>
                  <w:tcBorders>
                    <w:top w:val="single" w:color="auto" w:sz="4" w:space="0"/>
                    <w:left w:val="single" w:color="auto" w:sz="4" w:space="0"/>
                    <w:bottom w:val="single" w:color="auto" w:sz="4" w:space="0"/>
                    <w:right w:val="single" w:color="auto" w:sz="2" w:space="0"/>
                  </w:tcBorders>
                  <w:vAlign w:val="center"/>
                </w:tcPr>
                <w:p>
                  <w:pPr>
                    <w:pStyle w:val="47"/>
                    <w:rPr>
                      <w:szCs w:val="21"/>
                    </w:rPr>
                  </w:pPr>
                  <w:r>
                    <w:rPr>
                      <w:rFonts w:hint="eastAsia"/>
                      <w:szCs w:val="21"/>
                    </w:rPr>
                    <w:t>900-252-12</w:t>
                  </w:r>
                </w:p>
              </w:tc>
              <w:tc>
                <w:tcPr>
                  <w:tcW w:w="619" w:type="pct"/>
                  <w:tcBorders>
                    <w:top w:val="single" w:color="auto" w:sz="4" w:space="0"/>
                    <w:left w:val="single" w:color="auto" w:sz="4" w:space="0"/>
                    <w:bottom w:val="single" w:color="auto" w:sz="4" w:space="0"/>
                    <w:right w:val="single" w:color="auto" w:sz="2" w:space="0"/>
                  </w:tcBorders>
                  <w:vAlign w:val="center"/>
                </w:tcPr>
                <w:p>
                  <w:pPr>
                    <w:pStyle w:val="47"/>
                    <w:rPr>
                      <w:szCs w:val="21"/>
                    </w:rPr>
                  </w:pPr>
                  <w:r>
                    <w:rPr>
                      <w:rFonts w:hint="eastAsia"/>
                      <w:szCs w:val="21"/>
                    </w:rPr>
                    <w:t>HW12</w:t>
                  </w:r>
                </w:p>
              </w:tc>
              <w:tc>
                <w:tcPr>
                  <w:tcW w:w="394" w:type="pct"/>
                  <w:tcBorders>
                    <w:top w:val="single" w:color="auto" w:sz="4" w:space="0"/>
                    <w:left w:val="single" w:color="auto" w:sz="2" w:space="0"/>
                    <w:bottom w:val="single" w:color="auto" w:sz="4" w:space="0"/>
                    <w:right w:val="single" w:color="auto" w:sz="4" w:space="0"/>
                  </w:tcBorders>
                  <w:vAlign w:val="center"/>
                </w:tcPr>
                <w:p>
                  <w:pPr>
                    <w:pStyle w:val="47"/>
                    <w:rPr>
                      <w:szCs w:val="21"/>
                    </w:rPr>
                  </w:pPr>
                  <w:r>
                    <w:rPr>
                      <w:szCs w:val="21"/>
                    </w:rPr>
                    <w:t>固态</w:t>
                  </w:r>
                </w:p>
              </w:tc>
              <w:tc>
                <w:tcPr>
                  <w:tcW w:w="519" w:type="pct"/>
                  <w:tcBorders>
                    <w:top w:val="single" w:color="auto" w:sz="4" w:space="0"/>
                    <w:left w:val="single" w:color="auto" w:sz="2" w:space="0"/>
                    <w:bottom w:val="single" w:color="auto" w:sz="4" w:space="0"/>
                    <w:right w:val="single" w:color="auto" w:sz="4" w:space="0"/>
                  </w:tcBorders>
                  <w:vAlign w:val="center"/>
                </w:tcPr>
                <w:p>
                  <w:pPr>
                    <w:pStyle w:val="47"/>
                    <w:rPr>
                      <w:szCs w:val="21"/>
                    </w:rPr>
                  </w:pPr>
                  <w:r>
                    <w:rPr>
                      <w:rFonts w:hint="eastAsia"/>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tcBorders>
                    <w:top w:val="single" w:color="auto" w:sz="4" w:space="0"/>
                    <w:left w:val="single" w:color="auto" w:sz="4" w:space="0"/>
                    <w:bottom w:val="single" w:color="auto" w:sz="4" w:space="0"/>
                    <w:right w:val="single" w:color="auto" w:sz="2" w:space="0"/>
                  </w:tcBorders>
                  <w:vAlign w:val="center"/>
                </w:tcPr>
                <w:p>
                  <w:pPr>
                    <w:pStyle w:val="47"/>
                    <w:rPr>
                      <w:szCs w:val="21"/>
                    </w:rPr>
                  </w:pPr>
                  <w:r>
                    <w:rPr>
                      <w:rFonts w:hint="eastAsia"/>
                      <w:szCs w:val="21"/>
                    </w:rPr>
                    <w:t>8</w:t>
                  </w:r>
                </w:p>
              </w:tc>
              <w:tc>
                <w:tcPr>
                  <w:tcW w:w="697" w:type="pct"/>
                  <w:tcBorders>
                    <w:top w:val="single" w:color="auto" w:sz="4" w:space="0"/>
                    <w:left w:val="single" w:color="auto" w:sz="2" w:space="0"/>
                    <w:bottom w:val="single" w:color="auto" w:sz="4" w:space="0"/>
                    <w:right w:val="single" w:color="auto" w:sz="2" w:space="0"/>
                  </w:tcBorders>
                  <w:vAlign w:val="center"/>
                </w:tcPr>
                <w:p>
                  <w:pPr>
                    <w:pStyle w:val="47"/>
                    <w:rPr>
                      <w:szCs w:val="21"/>
                    </w:rPr>
                  </w:pPr>
                  <w:r>
                    <w:rPr>
                      <w:szCs w:val="21"/>
                    </w:rPr>
                    <w:t>废包装桶</w:t>
                  </w:r>
                </w:p>
              </w:tc>
              <w:tc>
                <w:tcPr>
                  <w:tcW w:w="998" w:type="pct"/>
                  <w:tcBorders>
                    <w:top w:val="single" w:color="auto" w:sz="4" w:space="0"/>
                    <w:left w:val="single" w:color="auto" w:sz="2" w:space="0"/>
                    <w:bottom w:val="single" w:color="auto" w:sz="4" w:space="0"/>
                    <w:right w:val="single" w:color="auto" w:sz="4" w:space="0"/>
                  </w:tcBorders>
                  <w:vAlign w:val="center"/>
                </w:tcPr>
                <w:p>
                  <w:pPr>
                    <w:pStyle w:val="47"/>
                    <w:rPr>
                      <w:szCs w:val="21"/>
                    </w:rPr>
                  </w:pPr>
                  <w:r>
                    <w:rPr>
                      <w:szCs w:val="21"/>
                    </w:rPr>
                    <w:t>乳化液</w:t>
                  </w:r>
                  <w:r>
                    <w:rPr>
                      <w:rFonts w:hint="eastAsia"/>
                      <w:szCs w:val="21"/>
                    </w:rPr>
                    <w:t>、绝缘漆</w:t>
                  </w:r>
                  <w:r>
                    <w:rPr>
                      <w:szCs w:val="21"/>
                    </w:rPr>
                    <w:t>使用</w:t>
                  </w:r>
                </w:p>
              </w:tc>
              <w:tc>
                <w:tcPr>
                  <w:tcW w:w="644"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危险废物</w:t>
                  </w:r>
                </w:p>
              </w:tc>
              <w:tc>
                <w:tcPr>
                  <w:tcW w:w="721" w:type="pct"/>
                  <w:tcBorders>
                    <w:top w:val="single" w:color="auto" w:sz="4" w:space="0"/>
                    <w:left w:val="single" w:color="auto" w:sz="4" w:space="0"/>
                    <w:bottom w:val="single" w:color="auto" w:sz="4" w:space="0"/>
                    <w:right w:val="single" w:color="auto" w:sz="2" w:space="0"/>
                  </w:tcBorders>
                  <w:vAlign w:val="center"/>
                </w:tcPr>
                <w:p>
                  <w:pPr>
                    <w:pStyle w:val="47"/>
                    <w:rPr>
                      <w:szCs w:val="21"/>
                    </w:rPr>
                  </w:pPr>
                  <w:r>
                    <w:rPr>
                      <w:rFonts w:hint="eastAsia"/>
                      <w:szCs w:val="21"/>
                    </w:rPr>
                    <w:t>900-041-49</w:t>
                  </w:r>
                </w:p>
              </w:tc>
              <w:tc>
                <w:tcPr>
                  <w:tcW w:w="619" w:type="pct"/>
                  <w:tcBorders>
                    <w:top w:val="single" w:color="auto" w:sz="4" w:space="0"/>
                    <w:left w:val="single" w:color="auto" w:sz="4" w:space="0"/>
                    <w:bottom w:val="single" w:color="auto" w:sz="4" w:space="0"/>
                    <w:right w:val="single" w:color="auto" w:sz="2" w:space="0"/>
                  </w:tcBorders>
                  <w:vAlign w:val="center"/>
                </w:tcPr>
                <w:p>
                  <w:pPr>
                    <w:pStyle w:val="47"/>
                    <w:rPr>
                      <w:szCs w:val="21"/>
                    </w:rPr>
                  </w:pPr>
                  <w:r>
                    <w:rPr>
                      <w:rFonts w:hint="eastAsia"/>
                      <w:szCs w:val="21"/>
                    </w:rPr>
                    <w:t>HW49</w:t>
                  </w:r>
                </w:p>
              </w:tc>
              <w:tc>
                <w:tcPr>
                  <w:tcW w:w="394" w:type="pct"/>
                  <w:tcBorders>
                    <w:top w:val="single" w:color="auto" w:sz="4" w:space="0"/>
                    <w:left w:val="single" w:color="auto" w:sz="2" w:space="0"/>
                    <w:bottom w:val="single" w:color="auto" w:sz="4" w:space="0"/>
                    <w:right w:val="single" w:color="auto" w:sz="4" w:space="0"/>
                  </w:tcBorders>
                  <w:vAlign w:val="center"/>
                </w:tcPr>
                <w:p>
                  <w:pPr>
                    <w:pStyle w:val="47"/>
                    <w:rPr>
                      <w:szCs w:val="21"/>
                    </w:rPr>
                  </w:pPr>
                  <w:r>
                    <w:rPr>
                      <w:szCs w:val="21"/>
                    </w:rPr>
                    <w:t>固态</w:t>
                  </w:r>
                </w:p>
              </w:tc>
              <w:tc>
                <w:tcPr>
                  <w:tcW w:w="519" w:type="pct"/>
                  <w:tcBorders>
                    <w:top w:val="single" w:color="auto" w:sz="4" w:space="0"/>
                    <w:left w:val="single" w:color="auto" w:sz="2" w:space="0"/>
                    <w:bottom w:val="single" w:color="auto" w:sz="4" w:space="0"/>
                    <w:right w:val="single" w:color="auto" w:sz="4" w:space="0"/>
                  </w:tcBorders>
                  <w:vAlign w:val="center"/>
                </w:tcPr>
                <w:p>
                  <w:pPr>
                    <w:pStyle w:val="47"/>
                    <w:rPr>
                      <w:szCs w:val="21"/>
                    </w:rPr>
                  </w:pPr>
                  <w:r>
                    <w:rPr>
                      <w:szCs w:val="21"/>
                    </w:rPr>
                    <w:t>0.</w:t>
                  </w:r>
                  <w:r>
                    <w:rPr>
                      <w:rFonts w:hint="eastAsia"/>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tcBorders>
                    <w:top w:val="single" w:color="auto" w:sz="4" w:space="0"/>
                    <w:left w:val="single" w:color="auto" w:sz="4" w:space="0"/>
                    <w:bottom w:val="single" w:color="auto" w:sz="4" w:space="0"/>
                    <w:right w:val="single" w:color="auto" w:sz="2" w:space="0"/>
                  </w:tcBorders>
                  <w:vAlign w:val="center"/>
                </w:tcPr>
                <w:p>
                  <w:pPr>
                    <w:pStyle w:val="47"/>
                    <w:rPr>
                      <w:szCs w:val="21"/>
                    </w:rPr>
                  </w:pPr>
                  <w:r>
                    <w:rPr>
                      <w:szCs w:val="21"/>
                    </w:rPr>
                    <w:t>9</w:t>
                  </w:r>
                </w:p>
              </w:tc>
              <w:tc>
                <w:tcPr>
                  <w:tcW w:w="697" w:type="pct"/>
                  <w:tcBorders>
                    <w:top w:val="single" w:color="auto" w:sz="4" w:space="0"/>
                    <w:left w:val="single" w:color="auto" w:sz="2" w:space="0"/>
                    <w:bottom w:val="single" w:color="auto" w:sz="4" w:space="0"/>
                    <w:right w:val="single" w:color="auto" w:sz="2" w:space="0"/>
                  </w:tcBorders>
                  <w:vAlign w:val="center"/>
                </w:tcPr>
                <w:p>
                  <w:pPr>
                    <w:pStyle w:val="47"/>
                    <w:rPr>
                      <w:szCs w:val="21"/>
                    </w:rPr>
                  </w:pPr>
                  <w:r>
                    <w:rPr>
                      <w:rFonts w:hint="eastAsia"/>
                      <w:szCs w:val="21"/>
                    </w:rPr>
                    <w:t>废机油</w:t>
                  </w:r>
                </w:p>
              </w:tc>
              <w:tc>
                <w:tcPr>
                  <w:tcW w:w="998" w:type="pct"/>
                  <w:tcBorders>
                    <w:top w:val="single" w:color="auto" w:sz="4" w:space="0"/>
                    <w:left w:val="single" w:color="auto" w:sz="2" w:space="0"/>
                    <w:bottom w:val="single" w:color="auto" w:sz="4" w:space="0"/>
                    <w:right w:val="single" w:color="auto" w:sz="4" w:space="0"/>
                  </w:tcBorders>
                  <w:vAlign w:val="center"/>
                </w:tcPr>
                <w:p>
                  <w:pPr>
                    <w:pStyle w:val="47"/>
                    <w:rPr>
                      <w:szCs w:val="21"/>
                    </w:rPr>
                  </w:pPr>
                  <w:r>
                    <w:rPr>
                      <w:rFonts w:hint="eastAsia"/>
                      <w:szCs w:val="21"/>
                    </w:rPr>
                    <w:t>设备保养</w:t>
                  </w:r>
                </w:p>
              </w:tc>
              <w:tc>
                <w:tcPr>
                  <w:tcW w:w="644"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危险废物</w:t>
                  </w:r>
                </w:p>
              </w:tc>
              <w:tc>
                <w:tcPr>
                  <w:tcW w:w="721" w:type="pct"/>
                  <w:tcBorders>
                    <w:top w:val="single" w:color="auto" w:sz="4" w:space="0"/>
                    <w:left w:val="single" w:color="auto" w:sz="4" w:space="0"/>
                    <w:bottom w:val="single" w:color="auto" w:sz="4" w:space="0"/>
                    <w:right w:val="single" w:color="auto" w:sz="2" w:space="0"/>
                  </w:tcBorders>
                  <w:vAlign w:val="center"/>
                </w:tcPr>
                <w:p>
                  <w:pPr>
                    <w:pStyle w:val="47"/>
                    <w:rPr>
                      <w:szCs w:val="21"/>
                    </w:rPr>
                  </w:pPr>
                  <w:r>
                    <w:rPr>
                      <w:rFonts w:hint="eastAsia"/>
                      <w:szCs w:val="21"/>
                    </w:rPr>
                    <w:t>900-214-08</w:t>
                  </w:r>
                </w:p>
              </w:tc>
              <w:tc>
                <w:tcPr>
                  <w:tcW w:w="619" w:type="pct"/>
                  <w:tcBorders>
                    <w:top w:val="single" w:color="auto" w:sz="4" w:space="0"/>
                    <w:left w:val="single" w:color="auto" w:sz="4" w:space="0"/>
                    <w:bottom w:val="single" w:color="auto" w:sz="4" w:space="0"/>
                    <w:right w:val="single" w:color="auto" w:sz="2" w:space="0"/>
                  </w:tcBorders>
                  <w:vAlign w:val="center"/>
                </w:tcPr>
                <w:p>
                  <w:pPr>
                    <w:pStyle w:val="47"/>
                    <w:rPr>
                      <w:szCs w:val="21"/>
                    </w:rPr>
                  </w:pPr>
                  <w:r>
                    <w:rPr>
                      <w:rFonts w:hint="eastAsia"/>
                      <w:szCs w:val="21"/>
                    </w:rPr>
                    <w:t>HW08</w:t>
                  </w:r>
                </w:p>
              </w:tc>
              <w:tc>
                <w:tcPr>
                  <w:tcW w:w="394" w:type="pct"/>
                  <w:tcBorders>
                    <w:top w:val="single" w:color="auto" w:sz="4" w:space="0"/>
                    <w:left w:val="single" w:color="auto" w:sz="2" w:space="0"/>
                    <w:bottom w:val="single" w:color="auto" w:sz="4" w:space="0"/>
                    <w:right w:val="single" w:color="auto" w:sz="4" w:space="0"/>
                  </w:tcBorders>
                  <w:vAlign w:val="center"/>
                </w:tcPr>
                <w:p>
                  <w:pPr>
                    <w:pStyle w:val="47"/>
                    <w:rPr>
                      <w:szCs w:val="21"/>
                    </w:rPr>
                  </w:pPr>
                  <w:r>
                    <w:rPr>
                      <w:szCs w:val="21"/>
                    </w:rPr>
                    <w:t>液态</w:t>
                  </w:r>
                </w:p>
              </w:tc>
              <w:tc>
                <w:tcPr>
                  <w:tcW w:w="519" w:type="pct"/>
                  <w:tcBorders>
                    <w:top w:val="single" w:color="auto" w:sz="4" w:space="0"/>
                    <w:left w:val="single" w:color="auto" w:sz="2" w:space="0"/>
                    <w:bottom w:val="single" w:color="auto" w:sz="4" w:space="0"/>
                    <w:right w:val="single" w:color="auto" w:sz="4" w:space="0"/>
                  </w:tcBorders>
                  <w:vAlign w:val="center"/>
                </w:tcPr>
                <w:p>
                  <w:pPr>
                    <w:pStyle w:val="47"/>
                    <w:rPr>
                      <w:szCs w:val="21"/>
                    </w:rPr>
                  </w:pPr>
                  <w:r>
                    <w:rPr>
                      <w:rFonts w:hint="eastAsia"/>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tcBorders>
                    <w:top w:val="single" w:color="auto" w:sz="4" w:space="0"/>
                    <w:left w:val="single" w:color="auto" w:sz="4" w:space="0"/>
                    <w:bottom w:val="single" w:color="auto" w:sz="4" w:space="0"/>
                    <w:right w:val="single" w:color="auto" w:sz="2" w:space="0"/>
                  </w:tcBorders>
                  <w:vAlign w:val="center"/>
                </w:tcPr>
                <w:p>
                  <w:pPr>
                    <w:pStyle w:val="47"/>
                    <w:rPr>
                      <w:szCs w:val="21"/>
                    </w:rPr>
                  </w:pPr>
                  <w:r>
                    <w:rPr>
                      <w:rFonts w:hint="eastAsia"/>
                      <w:szCs w:val="21"/>
                    </w:rPr>
                    <w:t>10</w:t>
                  </w:r>
                </w:p>
              </w:tc>
              <w:tc>
                <w:tcPr>
                  <w:tcW w:w="697" w:type="pct"/>
                  <w:tcBorders>
                    <w:top w:val="single" w:color="auto" w:sz="4" w:space="0"/>
                    <w:left w:val="single" w:color="auto" w:sz="2" w:space="0"/>
                    <w:bottom w:val="single" w:color="auto" w:sz="4" w:space="0"/>
                    <w:right w:val="single" w:color="auto" w:sz="2" w:space="0"/>
                  </w:tcBorders>
                  <w:vAlign w:val="center"/>
                </w:tcPr>
                <w:p>
                  <w:pPr>
                    <w:pStyle w:val="47"/>
                    <w:rPr>
                      <w:szCs w:val="21"/>
                    </w:rPr>
                  </w:pPr>
                  <w:r>
                    <w:rPr>
                      <w:rFonts w:hint="eastAsia"/>
                      <w:szCs w:val="21"/>
                    </w:rPr>
                    <w:t>废油桶</w:t>
                  </w:r>
                </w:p>
              </w:tc>
              <w:tc>
                <w:tcPr>
                  <w:tcW w:w="998" w:type="pct"/>
                  <w:tcBorders>
                    <w:top w:val="single" w:color="auto" w:sz="4" w:space="0"/>
                    <w:left w:val="single" w:color="auto" w:sz="2" w:space="0"/>
                    <w:bottom w:val="single" w:color="auto" w:sz="4" w:space="0"/>
                    <w:right w:val="single" w:color="auto" w:sz="4" w:space="0"/>
                  </w:tcBorders>
                  <w:vAlign w:val="center"/>
                </w:tcPr>
                <w:p>
                  <w:pPr>
                    <w:pStyle w:val="47"/>
                    <w:rPr>
                      <w:szCs w:val="21"/>
                    </w:rPr>
                  </w:pPr>
                  <w:r>
                    <w:rPr>
                      <w:szCs w:val="21"/>
                    </w:rPr>
                    <w:t>机油</w:t>
                  </w:r>
                  <w:r>
                    <w:rPr>
                      <w:rFonts w:hint="eastAsia"/>
                      <w:szCs w:val="21"/>
                    </w:rPr>
                    <w:t>、液压油</w:t>
                  </w:r>
                  <w:r>
                    <w:rPr>
                      <w:szCs w:val="21"/>
                    </w:rPr>
                    <w:t>使用</w:t>
                  </w:r>
                </w:p>
              </w:tc>
              <w:tc>
                <w:tcPr>
                  <w:tcW w:w="644"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危险废物</w:t>
                  </w:r>
                </w:p>
              </w:tc>
              <w:tc>
                <w:tcPr>
                  <w:tcW w:w="721" w:type="pct"/>
                  <w:tcBorders>
                    <w:top w:val="single" w:color="auto" w:sz="4" w:space="0"/>
                    <w:left w:val="single" w:color="auto" w:sz="4" w:space="0"/>
                    <w:bottom w:val="single" w:color="auto" w:sz="4" w:space="0"/>
                    <w:right w:val="single" w:color="auto" w:sz="2" w:space="0"/>
                  </w:tcBorders>
                  <w:vAlign w:val="center"/>
                </w:tcPr>
                <w:p>
                  <w:pPr>
                    <w:pStyle w:val="47"/>
                    <w:rPr>
                      <w:szCs w:val="21"/>
                    </w:rPr>
                  </w:pPr>
                  <w:r>
                    <w:rPr>
                      <w:rFonts w:hint="eastAsia"/>
                      <w:szCs w:val="21"/>
                    </w:rPr>
                    <w:t>900-249-08</w:t>
                  </w:r>
                </w:p>
              </w:tc>
              <w:tc>
                <w:tcPr>
                  <w:tcW w:w="619" w:type="pct"/>
                  <w:tcBorders>
                    <w:top w:val="single" w:color="auto" w:sz="4" w:space="0"/>
                    <w:left w:val="single" w:color="auto" w:sz="4" w:space="0"/>
                    <w:bottom w:val="single" w:color="auto" w:sz="4" w:space="0"/>
                    <w:right w:val="single" w:color="auto" w:sz="2" w:space="0"/>
                  </w:tcBorders>
                  <w:vAlign w:val="center"/>
                </w:tcPr>
                <w:p>
                  <w:pPr>
                    <w:pStyle w:val="47"/>
                    <w:rPr>
                      <w:szCs w:val="21"/>
                    </w:rPr>
                  </w:pPr>
                  <w:r>
                    <w:rPr>
                      <w:rFonts w:hint="eastAsia"/>
                      <w:szCs w:val="21"/>
                    </w:rPr>
                    <w:t>HW08</w:t>
                  </w:r>
                </w:p>
              </w:tc>
              <w:tc>
                <w:tcPr>
                  <w:tcW w:w="394" w:type="pct"/>
                  <w:tcBorders>
                    <w:top w:val="single" w:color="auto" w:sz="4" w:space="0"/>
                    <w:left w:val="single" w:color="auto" w:sz="2" w:space="0"/>
                    <w:bottom w:val="single" w:color="auto" w:sz="4" w:space="0"/>
                    <w:right w:val="single" w:color="auto" w:sz="4" w:space="0"/>
                  </w:tcBorders>
                  <w:vAlign w:val="center"/>
                </w:tcPr>
                <w:p>
                  <w:pPr>
                    <w:pStyle w:val="47"/>
                    <w:rPr>
                      <w:szCs w:val="21"/>
                    </w:rPr>
                  </w:pPr>
                  <w:r>
                    <w:rPr>
                      <w:szCs w:val="21"/>
                    </w:rPr>
                    <w:t>固态</w:t>
                  </w:r>
                </w:p>
              </w:tc>
              <w:tc>
                <w:tcPr>
                  <w:tcW w:w="519" w:type="pct"/>
                  <w:tcBorders>
                    <w:top w:val="single" w:color="auto" w:sz="4" w:space="0"/>
                    <w:left w:val="single" w:color="auto" w:sz="2" w:space="0"/>
                    <w:bottom w:val="single" w:color="auto" w:sz="4" w:space="0"/>
                    <w:right w:val="single" w:color="auto" w:sz="4" w:space="0"/>
                  </w:tcBorders>
                  <w:vAlign w:val="center"/>
                </w:tcPr>
                <w:p>
                  <w:pPr>
                    <w:pStyle w:val="47"/>
                    <w:rPr>
                      <w:szCs w:val="21"/>
                    </w:rPr>
                  </w:pPr>
                  <w:r>
                    <w:rPr>
                      <w:szCs w:val="21"/>
                    </w:rPr>
                    <w:t>0.</w:t>
                  </w:r>
                  <w:r>
                    <w:rPr>
                      <w:rFonts w:hint="eastAsia"/>
                      <w:szCs w:val="21"/>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tcBorders>
                    <w:top w:val="single" w:color="auto" w:sz="4" w:space="0"/>
                    <w:left w:val="single" w:color="auto" w:sz="4" w:space="0"/>
                    <w:bottom w:val="single" w:color="auto" w:sz="4" w:space="0"/>
                    <w:right w:val="single" w:color="auto" w:sz="2" w:space="0"/>
                  </w:tcBorders>
                  <w:vAlign w:val="center"/>
                </w:tcPr>
                <w:p>
                  <w:pPr>
                    <w:pStyle w:val="47"/>
                    <w:rPr>
                      <w:szCs w:val="21"/>
                    </w:rPr>
                  </w:pPr>
                  <w:r>
                    <w:rPr>
                      <w:rFonts w:hint="eastAsia"/>
                      <w:szCs w:val="21"/>
                    </w:rPr>
                    <w:t>11</w:t>
                  </w:r>
                </w:p>
              </w:tc>
              <w:tc>
                <w:tcPr>
                  <w:tcW w:w="697" w:type="pct"/>
                  <w:tcBorders>
                    <w:top w:val="single" w:color="auto" w:sz="4" w:space="0"/>
                    <w:left w:val="single" w:color="auto" w:sz="2" w:space="0"/>
                    <w:bottom w:val="single" w:color="auto" w:sz="4" w:space="0"/>
                    <w:right w:val="single" w:color="auto" w:sz="2" w:space="0"/>
                  </w:tcBorders>
                  <w:vAlign w:val="center"/>
                </w:tcPr>
                <w:p>
                  <w:pPr>
                    <w:pStyle w:val="47"/>
                    <w:rPr>
                      <w:szCs w:val="21"/>
                    </w:rPr>
                  </w:pPr>
                  <w:r>
                    <w:rPr>
                      <w:szCs w:val="21"/>
                    </w:rPr>
                    <w:t>废活性炭</w:t>
                  </w:r>
                </w:p>
              </w:tc>
              <w:tc>
                <w:tcPr>
                  <w:tcW w:w="998" w:type="pct"/>
                  <w:tcBorders>
                    <w:top w:val="single" w:color="auto" w:sz="4" w:space="0"/>
                    <w:left w:val="single" w:color="auto" w:sz="2" w:space="0"/>
                    <w:bottom w:val="single" w:color="auto" w:sz="4" w:space="0"/>
                    <w:right w:val="single" w:color="auto" w:sz="4" w:space="0"/>
                  </w:tcBorders>
                  <w:vAlign w:val="center"/>
                </w:tcPr>
                <w:p>
                  <w:pPr>
                    <w:pStyle w:val="47"/>
                    <w:rPr>
                      <w:szCs w:val="21"/>
                    </w:rPr>
                  </w:pPr>
                  <w:r>
                    <w:rPr>
                      <w:szCs w:val="21"/>
                    </w:rPr>
                    <w:t>废气处理</w:t>
                  </w:r>
                </w:p>
              </w:tc>
              <w:tc>
                <w:tcPr>
                  <w:tcW w:w="644"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危险废物</w:t>
                  </w:r>
                </w:p>
              </w:tc>
              <w:tc>
                <w:tcPr>
                  <w:tcW w:w="721" w:type="pct"/>
                  <w:tcBorders>
                    <w:top w:val="single" w:color="auto" w:sz="4" w:space="0"/>
                    <w:left w:val="single" w:color="auto" w:sz="4" w:space="0"/>
                    <w:bottom w:val="single" w:color="auto" w:sz="4" w:space="0"/>
                    <w:right w:val="single" w:color="auto" w:sz="2" w:space="0"/>
                  </w:tcBorders>
                  <w:vAlign w:val="center"/>
                </w:tcPr>
                <w:p>
                  <w:pPr>
                    <w:pStyle w:val="47"/>
                    <w:rPr>
                      <w:szCs w:val="21"/>
                    </w:rPr>
                  </w:pPr>
                  <w:r>
                    <w:rPr>
                      <w:rFonts w:hint="eastAsia"/>
                      <w:szCs w:val="21"/>
                    </w:rPr>
                    <w:t>900-039-49</w:t>
                  </w:r>
                </w:p>
              </w:tc>
              <w:tc>
                <w:tcPr>
                  <w:tcW w:w="619" w:type="pct"/>
                  <w:tcBorders>
                    <w:top w:val="single" w:color="auto" w:sz="4" w:space="0"/>
                    <w:left w:val="single" w:color="auto" w:sz="4" w:space="0"/>
                    <w:bottom w:val="single" w:color="auto" w:sz="4" w:space="0"/>
                    <w:right w:val="single" w:color="auto" w:sz="2" w:space="0"/>
                  </w:tcBorders>
                  <w:vAlign w:val="center"/>
                </w:tcPr>
                <w:p>
                  <w:pPr>
                    <w:pStyle w:val="47"/>
                    <w:rPr>
                      <w:szCs w:val="21"/>
                    </w:rPr>
                  </w:pPr>
                  <w:r>
                    <w:rPr>
                      <w:rFonts w:hint="eastAsia"/>
                      <w:szCs w:val="21"/>
                    </w:rPr>
                    <w:t>HW49</w:t>
                  </w:r>
                </w:p>
              </w:tc>
              <w:tc>
                <w:tcPr>
                  <w:tcW w:w="394" w:type="pct"/>
                  <w:tcBorders>
                    <w:top w:val="single" w:color="auto" w:sz="4" w:space="0"/>
                    <w:left w:val="single" w:color="auto" w:sz="2" w:space="0"/>
                    <w:bottom w:val="single" w:color="auto" w:sz="4" w:space="0"/>
                    <w:right w:val="single" w:color="auto" w:sz="4" w:space="0"/>
                  </w:tcBorders>
                  <w:vAlign w:val="center"/>
                </w:tcPr>
                <w:p>
                  <w:pPr>
                    <w:pStyle w:val="47"/>
                    <w:rPr>
                      <w:szCs w:val="21"/>
                    </w:rPr>
                  </w:pPr>
                  <w:r>
                    <w:rPr>
                      <w:szCs w:val="21"/>
                    </w:rPr>
                    <w:t>固态</w:t>
                  </w:r>
                </w:p>
              </w:tc>
              <w:tc>
                <w:tcPr>
                  <w:tcW w:w="519" w:type="pct"/>
                  <w:tcBorders>
                    <w:top w:val="single" w:color="auto" w:sz="4" w:space="0"/>
                    <w:left w:val="single" w:color="auto" w:sz="2" w:space="0"/>
                    <w:bottom w:val="single" w:color="auto" w:sz="4" w:space="0"/>
                    <w:right w:val="single" w:color="auto" w:sz="4" w:space="0"/>
                  </w:tcBorders>
                  <w:vAlign w:val="center"/>
                </w:tcPr>
                <w:p>
                  <w:pPr>
                    <w:pStyle w:val="47"/>
                    <w:rPr>
                      <w:szCs w:val="21"/>
                    </w:rPr>
                  </w:pPr>
                  <w:r>
                    <w:rPr>
                      <w:rFonts w:hint="eastAsia"/>
                      <w:szCs w:val="21"/>
                    </w:rPr>
                    <w:t>3.173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tcBorders>
                    <w:top w:val="single" w:color="auto" w:sz="4" w:space="0"/>
                    <w:left w:val="single" w:color="auto" w:sz="4" w:space="0"/>
                    <w:bottom w:val="single" w:color="auto" w:sz="4" w:space="0"/>
                    <w:right w:val="single" w:color="auto" w:sz="2" w:space="0"/>
                  </w:tcBorders>
                  <w:vAlign w:val="center"/>
                </w:tcPr>
                <w:p>
                  <w:pPr>
                    <w:pStyle w:val="47"/>
                    <w:rPr>
                      <w:szCs w:val="21"/>
                    </w:rPr>
                  </w:pPr>
                  <w:r>
                    <w:rPr>
                      <w:rFonts w:hint="eastAsia"/>
                      <w:szCs w:val="21"/>
                    </w:rPr>
                    <w:t>12</w:t>
                  </w:r>
                </w:p>
              </w:tc>
              <w:tc>
                <w:tcPr>
                  <w:tcW w:w="697" w:type="pct"/>
                  <w:tcBorders>
                    <w:top w:val="single" w:color="auto" w:sz="4" w:space="0"/>
                    <w:left w:val="single" w:color="auto" w:sz="2" w:space="0"/>
                    <w:bottom w:val="single" w:color="auto" w:sz="4" w:space="0"/>
                    <w:right w:val="single" w:color="auto" w:sz="2" w:space="0"/>
                  </w:tcBorders>
                  <w:vAlign w:val="center"/>
                </w:tcPr>
                <w:p>
                  <w:pPr>
                    <w:pStyle w:val="47"/>
                    <w:rPr>
                      <w:szCs w:val="21"/>
                    </w:rPr>
                  </w:pPr>
                  <w:r>
                    <w:rPr>
                      <w:rFonts w:hint="eastAsia"/>
                      <w:szCs w:val="21"/>
                    </w:rPr>
                    <w:t>含漆废抹布和手套</w:t>
                  </w:r>
                </w:p>
              </w:tc>
              <w:tc>
                <w:tcPr>
                  <w:tcW w:w="998" w:type="pct"/>
                  <w:tcBorders>
                    <w:top w:val="single" w:color="auto" w:sz="4" w:space="0"/>
                    <w:left w:val="single" w:color="auto" w:sz="2" w:space="0"/>
                    <w:bottom w:val="single" w:color="auto" w:sz="4" w:space="0"/>
                    <w:right w:val="single" w:color="auto" w:sz="4" w:space="0"/>
                  </w:tcBorders>
                  <w:vAlign w:val="center"/>
                </w:tcPr>
                <w:p>
                  <w:pPr>
                    <w:pStyle w:val="47"/>
                    <w:rPr>
                      <w:szCs w:val="21"/>
                    </w:rPr>
                  </w:pPr>
                  <w:r>
                    <w:rPr>
                      <w:rFonts w:hint="eastAsia"/>
                      <w:szCs w:val="21"/>
                    </w:rPr>
                    <w:t>绝缘漆使用</w:t>
                  </w:r>
                </w:p>
              </w:tc>
              <w:tc>
                <w:tcPr>
                  <w:tcW w:w="644"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危险废物</w:t>
                  </w:r>
                </w:p>
              </w:tc>
              <w:tc>
                <w:tcPr>
                  <w:tcW w:w="721" w:type="pct"/>
                  <w:tcBorders>
                    <w:top w:val="single" w:color="auto" w:sz="4" w:space="0"/>
                    <w:left w:val="single" w:color="auto" w:sz="4" w:space="0"/>
                    <w:bottom w:val="single" w:color="auto" w:sz="4" w:space="0"/>
                    <w:right w:val="single" w:color="auto" w:sz="2" w:space="0"/>
                  </w:tcBorders>
                  <w:vAlign w:val="center"/>
                </w:tcPr>
                <w:p>
                  <w:pPr>
                    <w:pStyle w:val="47"/>
                    <w:rPr>
                      <w:szCs w:val="21"/>
                    </w:rPr>
                  </w:pPr>
                  <w:r>
                    <w:rPr>
                      <w:rFonts w:hint="eastAsia"/>
                      <w:szCs w:val="21"/>
                    </w:rPr>
                    <w:t>900-041-49</w:t>
                  </w:r>
                </w:p>
              </w:tc>
              <w:tc>
                <w:tcPr>
                  <w:tcW w:w="619" w:type="pct"/>
                  <w:tcBorders>
                    <w:top w:val="single" w:color="auto" w:sz="4" w:space="0"/>
                    <w:left w:val="single" w:color="auto" w:sz="4" w:space="0"/>
                    <w:bottom w:val="single" w:color="auto" w:sz="4" w:space="0"/>
                    <w:right w:val="single" w:color="auto" w:sz="2" w:space="0"/>
                  </w:tcBorders>
                  <w:vAlign w:val="center"/>
                </w:tcPr>
                <w:p>
                  <w:pPr>
                    <w:pStyle w:val="47"/>
                    <w:rPr>
                      <w:szCs w:val="21"/>
                    </w:rPr>
                  </w:pPr>
                  <w:r>
                    <w:rPr>
                      <w:rFonts w:hint="eastAsia"/>
                      <w:szCs w:val="21"/>
                    </w:rPr>
                    <w:t>HW49</w:t>
                  </w:r>
                </w:p>
              </w:tc>
              <w:tc>
                <w:tcPr>
                  <w:tcW w:w="394" w:type="pct"/>
                  <w:tcBorders>
                    <w:top w:val="single" w:color="auto" w:sz="4" w:space="0"/>
                    <w:left w:val="single" w:color="auto" w:sz="2" w:space="0"/>
                    <w:bottom w:val="single" w:color="auto" w:sz="4" w:space="0"/>
                    <w:right w:val="single" w:color="auto" w:sz="4" w:space="0"/>
                  </w:tcBorders>
                  <w:vAlign w:val="center"/>
                </w:tcPr>
                <w:p>
                  <w:pPr>
                    <w:pStyle w:val="47"/>
                    <w:rPr>
                      <w:szCs w:val="21"/>
                    </w:rPr>
                  </w:pPr>
                  <w:r>
                    <w:rPr>
                      <w:szCs w:val="21"/>
                    </w:rPr>
                    <w:t>固态</w:t>
                  </w:r>
                </w:p>
              </w:tc>
              <w:tc>
                <w:tcPr>
                  <w:tcW w:w="519" w:type="pct"/>
                  <w:tcBorders>
                    <w:top w:val="single" w:color="auto" w:sz="4" w:space="0"/>
                    <w:left w:val="single" w:color="auto" w:sz="2" w:space="0"/>
                    <w:bottom w:val="single" w:color="auto" w:sz="4" w:space="0"/>
                    <w:right w:val="single" w:color="auto" w:sz="4" w:space="0"/>
                  </w:tcBorders>
                  <w:vAlign w:val="center"/>
                </w:tcPr>
                <w:p>
                  <w:pPr>
                    <w:pStyle w:val="47"/>
                    <w:rPr>
                      <w:szCs w:val="21"/>
                    </w:rPr>
                  </w:pPr>
                  <w:r>
                    <w:rPr>
                      <w:rFonts w:hint="eastAsia"/>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tcBorders>
                    <w:top w:val="single" w:color="auto" w:sz="4" w:space="0"/>
                    <w:left w:val="single" w:color="auto" w:sz="4" w:space="0"/>
                    <w:bottom w:val="single" w:color="auto" w:sz="4" w:space="0"/>
                    <w:right w:val="single" w:color="auto" w:sz="2" w:space="0"/>
                  </w:tcBorders>
                  <w:vAlign w:val="center"/>
                </w:tcPr>
                <w:p>
                  <w:pPr>
                    <w:pStyle w:val="47"/>
                    <w:rPr>
                      <w:szCs w:val="21"/>
                    </w:rPr>
                  </w:pPr>
                  <w:r>
                    <w:rPr>
                      <w:rFonts w:hint="eastAsia"/>
                      <w:szCs w:val="21"/>
                    </w:rPr>
                    <w:t>13</w:t>
                  </w:r>
                </w:p>
              </w:tc>
              <w:tc>
                <w:tcPr>
                  <w:tcW w:w="697" w:type="pct"/>
                  <w:tcBorders>
                    <w:top w:val="single" w:color="auto" w:sz="4" w:space="0"/>
                    <w:left w:val="single" w:color="auto" w:sz="2" w:space="0"/>
                    <w:bottom w:val="single" w:color="auto" w:sz="4" w:space="0"/>
                    <w:right w:val="single" w:color="auto" w:sz="2" w:space="0"/>
                  </w:tcBorders>
                  <w:vAlign w:val="center"/>
                </w:tcPr>
                <w:p>
                  <w:pPr>
                    <w:pStyle w:val="47"/>
                    <w:rPr>
                      <w:szCs w:val="21"/>
                    </w:rPr>
                  </w:pPr>
                  <w:r>
                    <w:rPr>
                      <w:rFonts w:hint="eastAsia"/>
                      <w:szCs w:val="21"/>
                    </w:rPr>
                    <w:t>含油废抹布和手套</w:t>
                  </w:r>
                </w:p>
              </w:tc>
              <w:tc>
                <w:tcPr>
                  <w:tcW w:w="998" w:type="pct"/>
                  <w:tcBorders>
                    <w:top w:val="single" w:color="auto" w:sz="4" w:space="0"/>
                    <w:left w:val="single" w:color="auto" w:sz="2" w:space="0"/>
                    <w:bottom w:val="single" w:color="auto" w:sz="4" w:space="0"/>
                    <w:right w:val="single" w:color="auto" w:sz="4" w:space="0"/>
                  </w:tcBorders>
                  <w:vAlign w:val="center"/>
                </w:tcPr>
                <w:p>
                  <w:pPr>
                    <w:pStyle w:val="47"/>
                    <w:rPr>
                      <w:szCs w:val="21"/>
                    </w:rPr>
                  </w:pPr>
                  <w:r>
                    <w:rPr>
                      <w:rFonts w:hint="eastAsia"/>
                      <w:szCs w:val="21"/>
                    </w:rPr>
                    <w:t>设备保养</w:t>
                  </w:r>
                </w:p>
              </w:tc>
              <w:tc>
                <w:tcPr>
                  <w:tcW w:w="644"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危险废物</w:t>
                  </w:r>
                </w:p>
              </w:tc>
              <w:tc>
                <w:tcPr>
                  <w:tcW w:w="721" w:type="pct"/>
                  <w:tcBorders>
                    <w:top w:val="single" w:color="auto" w:sz="4" w:space="0"/>
                    <w:left w:val="single" w:color="auto" w:sz="4" w:space="0"/>
                    <w:bottom w:val="single" w:color="auto" w:sz="4" w:space="0"/>
                    <w:right w:val="single" w:color="auto" w:sz="2" w:space="0"/>
                  </w:tcBorders>
                  <w:vAlign w:val="center"/>
                </w:tcPr>
                <w:p>
                  <w:pPr>
                    <w:pStyle w:val="47"/>
                    <w:rPr>
                      <w:szCs w:val="21"/>
                    </w:rPr>
                  </w:pPr>
                  <w:r>
                    <w:rPr>
                      <w:rFonts w:hint="eastAsia"/>
                      <w:szCs w:val="21"/>
                    </w:rPr>
                    <w:t>900-041-49</w:t>
                  </w:r>
                </w:p>
              </w:tc>
              <w:tc>
                <w:tcPr>
                  <w:tcW w:w="619" w:type="pct"/>
                  <w:tcBorders>
                    <w:top w:val="single" w:color="auto" w:sz="4" w:space="0"/>
                    <w:left w:val="single" w:color="auto" w:sz="4" w:space="0"/>
                    <w:bottom w:val="single" w:color="auto" w:sz="4" w:space="0"/>
                    <w:right w:val="single" w:color="auto" w:sz="2" w:space="0"/>
                  </w:tcBorders>
                  <w:vAlign w:val="center"/>
                </w:tcPr>
                <w:p>
                  <w:pPr>
                    <w:pStyle w:val="47"/>
                    <w:rPr>
                      <w:szCs w:val="21"/>
                    </w:rPr>
                  </w:pPr>
                  <w:r>
                    <w:rPr>
                      <w:rFonts w:hint="eastAsia"/>
                      <w:szCs w:val="21"/>
                    </w:rPr>
                    <w:t>HW49</w:t>
                  </w:r>
                </w:p>
              </w:tc>
              <w:tc>
                <w:tcPr>
                  <w:tcW w:w="394" w:type="pct"/>
                  <w:tcBorders>
                    <w:top w:val="single" w:color="auto" w:sz="4" w:space="0"/>
                    <w:left w:val="single" w:color="auto" w:sz="2" w:space="0"/>
                    <w:bottom w:val="single" w:color="auto" w:sz="4" w:space="0"/>
                    <w:right w:val="single" w:color="auto" w:sz="4" w:space="0"/>
                  </w:tcBorders>
                  <w:vAlign w:val="center"/>
                </w:tcPr>
                <w:p>
                  <w:pPr>
                    <w:pStyle w:val="47"/>
                    <w:rPr>
                      <w:szCs w:val="21"/>
                    </w:rPr>
                  </w:pPr>
                  <w:r>
                    <w:rPr>
                      <w:szCs w:val="21"/>
                    </w:rPr>
                    <w:t>固态</w:t>
                  </w:r>
                </w:p>
              </w:tc>
              <w:tc>
                <w:tcPr>
                  <w:tcW w:w="519" w:type="pct"/>
                  <w:tcBorders>
                    <w:top w:val="single" w:color="auto" w:sz="4" w:space="0"/>
                    <w:left w:val="single" w:color="auto" w:sz="2" w:space="0"/>
                    <w:bottom w:val="single" w:color="auto" w:sz="4" w:space="0"/>
                    <w:right w:val="single" w:color="auto" w:sz="4" w:space="0"/>
                  </w:tcBorders>
                  <w:vAlign w:val="center"/>
                </w:tcPr>
                <w:p>
                  <w:pPr>
                    <w:pStyle w:val="47"/>
                    <w:rPr>
                      <w:szCs w:val="21"/>
                    </w:rPr>
                  </w:pPr>
                  <w:r>
                    <w:rPr>
                      <w:szCs w:val="21"/>
                    </w:rPr>
                    <w:t>0.</w:t>
                  </w:r>
                  <w:r>
                    <w:rPr>
                      <w:rFonts w:hint="eastAsia"/>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tcBorders>
                    <w:top w:val="single" w:color="auto" w:sz="4" w:space="0"/>
                    <w:left w:val="single" w:color="auto" w:sz="4" w:space="0"/>
                    <w:bottom w:val="single" w:color="auto" w:sz="4" w:space="0"/>
                    <w:right w:val="single" w:color="auto" w:sz="2" w:space="0"/>
                  </w:tcBorders>
                  <w:vAlign w:val="center"/>
                </w:tcPr>
                <w:p>
                  <w:pPr>
                    <w:pStyle w:val="47"/>
                    <w:rPr>
                      <w:szCs w:val="21"/>
                    </w:rPr>
                  </w:pPr>
                  <w:r>
                    <w:rPr>
                      <w:rFonts w:hint="eastAsia"/>
                      <w:szCs w:val="21"/>
                    </w:rPr>
                    <w:t>14</w:t>
                  </w:r>
                </w:p>
              </w:tc>
              <w:tc>
                <w:tcPr>
                  <w:tcW w:w="697" w:type="pct"/>
                  <w:tcBorders>
                    <w:top w:val="single" w:color="auto" w:sz="4" w:space="0"/>
                    <w:left w:val="single" w:color="auto" w:sz="2" w:space="0"/>
                    <w:bottom w:val="single" w:color="auto" w:sz="4" w:space="0"/>
                    <w:right w:val="single" w:color="auto" w:sz="2" w:space="0"/>
                  </w:tcBorders>
                  <w:vAlign w:val="center"/>
                </w:tcPr>
                <w:p>
                  <w:pPr>
                    <w:pStyle w:val="47"/>
                    <w:rPr>
                      <w:szCs w:val="21"/>
                    </w:rPr>
                  </w:pPr>
                  <w:r>
                    <w:rPr>
                      <w:szCs w:val="21"/>
                    </w:rPr>
                    <w:t>生活垃圾</w:t>
                  </w:r>
                </w:p>
              </w:tc>
              <w:tc>
                <w:tcPr>
                  <w:tcW w:w="998" w:type="pct"/>
                  <w:tcBorders>
                    <w:top w:val="single" w:color="auto" w:sz="4" w:space="0"/>
                    <w:left w:val="single" w:color="auto" w:sz="2" w:space="0"/>
                    <w:bottom w:val="single" w:color="auto" w:sz="4" w:space="0"/>
                    <w:right w:val="single" w:color="auto" w:sz="4" w:space="0"/>
                  </w:tcBorders>
                  <w:vAlign w:val="center"/>
                </w:tcPr>
                <w:p>
                  <w:pPr>
                    <w:pStyle w:val="47"/>
                    <w:rPr>
                      <w:szCs w:val="21"/>
                    </w:rPr>
                  </w:pPr>
                  <w:r>
                    <w:rPr>
                      <w:szCs w:val="21"/>
                    </w:rPr>
                    <w:t>职工生活</w:t>
                  </w:r>
                </w:p>
              </w:tc>
              <w:tc>
                <w:tcPr>
                  <w:tcW w:w="644" w:type="pct"/>
                  <w:tcBorders>
                    <w:top w:val="single" w:color="auto" w:sz="4" w:space="0"/>
                    <w:left w:val="single" w:color="auto" w:sz="4" w:space="0"/>
                    <w:bottom w:val="single" w:color="auto" w:sz="4" w:space="0"/>
                    <w:right w:val="single" w:color="auto" w:sz="4" w:space="0"/>
                  </w:tcBorders>
                  <w:vAlign w:val="center"/>
                </w:tcPr>
                <w:p>
                  <w:pPr>
                    <w:pStyle w:val="47"/>
                    <w:rPr>
                      <w:szCs w:val="21"/>
                    </w:rPr>
                  </w:pPr>
                  <w:r>
                    <w:rPr>
                      <w:szCs w:val="21"/>
                    </w:rPr>
                    <w:t>一般固废</w:t>
                  </w:r>
                </w:p>
              </w:tc>
              <w:tc>
                <w:tcPr>
                  <w:tcW w:w="721" w:type="pct"/>
                  <w:tcBorders>
                    <w:top w:val="single" w:color="auto" w:sz="4" w:space="0"/>
                    <w:left w:val="single" w:color="auto" w:sz="4" w:space="0"/>
                    <w:bottom w:val="single" w:color="auto" w:sz="4" w:space="0"/>
                    <w:right w:val="single" w:color="auto" w:sz="2" w:space="0"/>
                  </w:tcBorders>
                  <w:vAlign w:val="center"/>
                </w:tcPr>
                <w:p>
                  <w:pPr>
                    <w:pStyle w:val="47"/>
                    <w:rPr>
                      <w:szCs w:val="21"/>
                    </w:rPr>
                  </w:pPr>
                  <w:r>
                    <w:rPr>
                      <w:rFonts w:hint="eastAsia"/>
                      <w:szCs w:val="21"/>
                    </w:rPr>
                    <w:t>/</w:t>
                  </w:r>
                </w:p>
              </w:tc>
              <w:tc>
                <w:tcPr>
                  <w:tcW w:w="619" w:type="pct"/>
                  <w:tcBorders>
                    <w:top w:val="single" w:color="auto" w:sz="4" w:space="0"/>
                    <w:left w:val="single" w:color="auto" w:sz="4" w:space="0"/>
                    <w:bottom w:val="single" w:color="auto" w:sz="4" w:space="0"/>
                    <w:right w:val="single" w:color="auto" w:sz="2" w:space="0"/>
                  </w:tcBorders>
                  <w:vAlign w:val="center"/>
                </w:tcPr>
                <w:p>
                  <w:pPr>
                    <w:pStyle w:val="47"/>
                    <w:rPr>
                      <w:szCs w:val="21"/>
                    </w:rPr>
                  </w:pPr>
                  <w:r>
                    <w:rPr>
                      <w:rFonts w:hint="eastAsia"/>
                      <w:szCs w:val="21"/>
                    </w:rPr>
                    <w:t>/</w:t>
                  </w:r>
                </w:p>
              </w:tc>
              <w:tc>
                <w:tcPr>
                  <w:tcW w:w="394" w:type="pct"/>
                  <w:tcBorders>
                    <w:top w:val="single" w:color="auto" w:sz="4" w:space="0"/>
                    <w:left w:val="single" w:color="auto" w:sz="2" w:space="0"/>
                    <w:bottom w:val="single" w:color="auto" w:sz="4" w:space="0"/>
                    <w:right w:val="single" w:color="auto" w:sz="4" w:space="0"/>
                  </w:tcBorders>
                  <w:vAlign w:val="center"/>
                </w:tcPr>
                <w:p>
                  <w:pPr>
                    <w:pStyle w:val="47"/>
                    <w:rPr>
                      <w:szCs w:val="21"/>
                    </w:rPr>
                  </w:pPr>
                  <w:r>
                    <w:rPr>
                      <w:szCs w:val="21"/>
                    </w:rPr>
                    <w:t>固态</w:t>
                  </w:r>
                </w:p>
              </w:tc>
              <w:tc>
                <w:tcPr>
                  <w:tcW w:w="519" w:type="pct"/>
                  <w:tcBorders>
                    <w:top w:val="single" w:color="auto" w:sz="4" w:space="0"/>
                    <w:left w:val="single" w:color="auto" w:sz="2" w:space="0"/>
                    <w:bottom w:val="single" w:color="auto" w:sz="4" w:space="0"/>
                    <w:right w:val="single" w:color="auto" w:sz="4" w:space="0"/>
                  </w:tcBorders>
                  <w:vAlign w:val="center"/>
                </w:tcPr>
                <w:p>
                  <w:pPr>
                    <w:pStyle w:val="47"/>
                    <w:rPr>
                      <w:szCs w:val="21"/>
                    </w:rPr>
                  </w:pPr>
                  <w:r>
                    <w:rPr>
                      <w:szCs w:val="21"/>
                    </w:rPr>
                    <w:t>9.0</w:t>
                  </w:r>
                </w:p>
              </w:tc>
            </w:tr>
          </w:tbl>
          <w:p>
            <w:pPr>
              <w:ind w:firstLine="480"/>
            </w:pPr>
            <w:r>
              <w:t>本项目</w:t>
            </w:r>
            <w:r>
              <w:rPr>
                <w:rFonts w:hint="eastAsia"/>
              </w:rPr>
              <w:t>危险</w:t>
            </w:r>
            <w:r>
              <w:t>废物分析结果汇总见表5-1</w:t>
            </w:r>
            <w:r>
              <w:rPr>
                <w:rFonts w:hint="eastAsia"/>
              </w:rPr>
              <w:t>4</w:t>
            </w:r>
            <w:r>
              <w:t>。</w:t>
            </w:r>
          </w:p>
          <w:p>
            <w:pPr>
              <w:pStyle w:val="46"/>
            </w:pPr>
            <w:r>
              <w:rPr>
                <w:rFonts w:hint="eastAsia"/>
              </w:rPr>
              <w:t>表5-14  危险废物分析结果汇总</w:t>
            </w:r>
            <w:r>
              <w:t xml:space="preserve">   （单位：t/a）</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0"/>
              <w:gridCol w:w="917"/>
              <w:gridCol w:w="650"/>
              <w:gridCol w:w="733"/>
              <w:gridCol w:w="638"/>
              <w:gridCol w:w="1116"/>
              <w:gridCol w:w="534"/>
              <w:gridCol w:w="1080"/>
              <w:gridCol w:w="915"/>
              <w:gridCol w:w="688"/>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0" w:type="dxa"/>
                  <w:vAlign w:val="center"/>
                </w:tcPr>
                <w:p>
                  <w:pPr>
                    <w:pStyle w:val="47"/>
                    <w:rPr>
                      <w:b/>
                      <w:bCs/>
                      <w:szCs w:val="21"/>
                    </w:rPr>
                  </w:pPr>
                  <w:r>
                    <w:rPr>
                      <w:rFonts w:hint="eastAsia"/>
                      <w:b/>
                      <w:bCs/>
                      <w:szCs w:val="21"/>
                    </w:rPr>
                    <w:t>序号</w:t>
                  </w:r>
                </w:p>
              </w:tc>
              <w:tc>
                <w:tcPr>
                  <w:tcW w:w="917" w:type="dxa"/>
                  <w:vAlign w:val="center"/>
                </w:tcPr>
                <w:p>
                  <w:pPr>
                    <w:pStyle w:val="47"/>
                    <w:rPr>
                      <w:b/>
                      <w:bCs/>
                      <w:szCs w:val="21"/>
                    </w:rPr>
                  </w:pPr>
                  <w:r>
                    <w:rPr>
                      <w:rFonts w:hint="eastAsia"/>
                      <w:b/>
                      <w:bCs/>
                      <w:szCs w:val="21"/>
                    </w:rPr>
                    <w:t>危废</w:t>
                  </w:r>
                </w:p>
                <w:p>
                  <w:pPr>
                    <w:pStyle w:val="47"/>
                    <w:rPr>
                      <w:b/>
                      <w:bCs/>
                      <w:szCs w:val="21"/>
                    </w:rPr>
                  </w:pPr>
                  <w:r>
                    <w:rPr>
                      <w:rFonts w:hint="eastAsia"/>
                      <w:b/>
                      <w:bCs/>
                      <w:szCs w:val="21"/>
                    </w:rPr>
                    <w:t>名称</w:t>
                  </w:r>
                </w:p>
              </w:tc>
              <w:tc>
                <w:tcPr>
                  <w:tcW w:w="650" w:type="dxa"/>
                  <w:vAlign w:val="center"/>
                </w:tcPr>
                <w:p>
                  <w:pPr>
                    <w:pStyle w:val="47"/>
                    <w:rPr>
                      <w:b/>
                      <w:bCs/>
                      <w:szCs w:val="21"/>
                    </w:rPr>
                  </w:pPr>
                  <w:r>
                    <w:rPr>
                      <w:rFonts w:hint="eastAsia"/>
                      <w:b/>
                      <w:bCs/>
                      <w:szCs w:val="21"/>
                    </w:rPr>
                    <w:t>危险废物类别</w:t>
                  </w:r>
                </w:p>
              </w:tc>
              <w:tc>
                <w:tcPr>
                  <w:tcW w:w="733" w:type="dxa"/>
                  <w:vAlign w:val="center"/>
                </w:tcPr>
                <w:p>
                  <w:pPr>
                    <w:pStyle w:val="47"/>
                    <w:rPr>
                      <w:b/>
                      <w:bCs/>
                      <w:szCs w:val="21"/>
                    </w:rPr>
                  </w:pPr>
                  <w:r>
                    <w:rPr>
                      <w:rFonts w:hint="eastAsia"/>
                      <w:b/>
                      <w:bCs/>
                      <w:szCs w:val="21"/>
                    </w:rPr>
                    <w:t>废物代码</w:t>
                  </w:r>
                </w:p>
              </w:tc>
              <w:tc>
                <w:tcPr>
                  <w:tcW w:w="638" w:type="dxa"/>
                  <w:vAlign w:val="center"/>
                </w:tcPr>
                <w:p>
                  <w:pPr>
                    <w:pStyle w:val="47"/>
                    <w:rPr>
                      <w:b/>
                      <w:bCs/>
                      <w:szCs w:val="21"/>
                    </w:rPr>
                  </w:pPr>
                  <w:r>
                    <w:rPr>
                      <w:rFonts w:hint="eastAsia"/>
                      <w:b/>
                      <w:bCs/>
                      <w:szCs w:val="21"/>
                    </w:rPr>
                    <w:t>产生量</w:t>
                  </w:r>
                </w:p>
              </w:tc>
              <w:tc>
                <w:tcPr>
                  <w:tcW w:w="1116" w:type="dxa"/>
                  <w:vAlign w:val="center"/>
                </w:tcPr>
                <w:p>
                  <w:pPr>
                    <w:pStyle w:val="47"/>
                    <w:rPr>
                      <w:b/>
                      <w:bCs/>
                      <w:szCs w:val="21"/>
                    </w:rPr>
                  </w:pPr>
                  <w:r>
                    <w:rPr>
                      <w:rFonts w:hint="eastAsia"/>
                      <w:b/>
                      <w:bCs/>
                      <w:szCs w:val="21"/>
                    </w:rPr>
                    <w:t>产生工序及装置</w:t>
                  </w:r>
                </w:p>
              </w:tc>
              <w:tc>
                <w:tcPr>
                  <w:tcW w:w="534" w:type="dxa"/>
                  <w:vAlign w:val="center"/>
                </w:tcPr>
                <w:p>
                  <w:pPr>
                    <w:pStyle w:val="47"/>
                    <w:rPr>
                      <w:b/>
                      <w:bCs/>
                      <w:szCs w:val="21"/>
                    </w:rPr>
                  </w:pPr>
                  <w:r>
                    <w:rPr>
                      <w:rFonts w:hint="eastAsia"/>
                      <w:b/>
                      <w:bCs/>
                      <w:szCs w:val="21"/>
                    </w:rPr>
                    <w:t>形态</w:t>
                  </w:r>
                </w:p>
              </w:tc>
              <w:tc>
                <w:tcPr>
                  <w:tcW w:w="1080" w:type="dxa"/>
                  <w:vAlign w:val="center"/>
                </w:tcPr>
                <w:p>
                  <w:pPr>
                    <w:pStyle w:val="47"/>
                    <w:rPr>
                      <w:b/>
                      <w:bCs/>
                      <w:szCs w:val="21"/>
                    </w:rPr>
                  </w:pPr>
                  <w:r>
                    <w:rPr>
                      <w:rFonts w:hint="eastAsia"/>
                      <w:b/>
                      <w:bCs/>
                      <w:szCs w:val="21"/>
                    </w:rPr>
                    <w:t>主要成分</w:t>
                  </w:r>
                </w:p>
              </w:tc>
              <w:tc>
                <w:tcPr>
                  <w:tcW w:w="915" w:type="dxa"/>
                  <w:vAlign w:val="center"/>
                </w:tcPr>
                <w:p>
                  <w:pPr>
                    <w:pStyle w:val="47"/>
                    <w:rPr>
                      <w:b/>
                      <w:bCs/>
                      <w:szCs w:val="21"/>
                    </w:rPr>
                  </w:pPr>
                  <w:r>
                    <w:rPr>
                      <w:rFonts w:hint="eastAsia"/>
                      <w:b/>
                      <w:bCs/>
                      <w:szCs w:val="21"/>
                    </w:rPr>
                    <w:t>有害成分</w:t>
                  </w:r>
                </w:p>
              </w:tc>
              <w:tc>
                <w:tcPr>
                  <w:tcW w:w="688" w:type="dxa"/>
                  <w:vAlign w:val="center"/>
                </w:tcPr>
                <w:p>
                  <w:pPr>
                    <w:pStyle w:val="47"/>
                    <w:rPr>
                      <w:b/>
                      <w:bCs/>
                      <w:szCs w:val="21"/>
                    </w:rPr>
                  </w:pPr>
                  <w:r>
                    <w:rPr>
                      <w:rFonts w:hint="eastAsia"/>
                      <w:b/>
                      <w:bCs/>
                      <w:szCs w:val="21"/>
                    </w:rPr>
                    <w:t>危险特性</w:t>
                  </w:r>
                </w:p>
              </w:tc>
              <w:tc>
                <w:tcPr>
                  <w:tcW w:w="981" w:type="dxa"/>
                  <w:vAlign w:val="center"/>
                </w:tcPr>
                <w:p>
                  <w:pPr>
                    <w:pStyle w:val="47"/>
                    <w:rPr>
                      <w:b/>
                      <w:bCs/>
                      <w:szCs w:val="21"/>
                    </w:rPr>
                  </w:pPr>
                  <w:r>
                    <w:rPr>
                      <w:rFonts w:hint="eastAsia"/>
                      <w:b/>
                      <w:bCs/>
                      <w:szCs w:val="21"/>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0" w:type="dxa"/>
                  <w:vAlign w:val="center"/>
                </w:tcPr>
                <w:p>
                  <w:pPr>
                    <w:pStyle w:val="47"/>
                    <w:rPr>
                      <w:szCs w:val="21"/>
                    </w:rPr>
                  </w:pPr>
                  <w:r>
                    <w:rPr>
                      <w:rFonts w:hint="eastAsia"/>
                      <w:szCs w:val="21"/>
                    </w:rPr>
                    <w:t>1</w:t>
                  </w:r>
                </w:p>
              </w:tc>
              <w:tc>
                <w:tcPr>
                  <w:tcW w:w="917" w:type="dxa"/>
                  <w:vAlign w:val="center"/>
                </w:tcPr>
                <w:p>
                  <w:pPr>
                    <w:pStyle w:val="47"/>
                    <w:rPr>
                      <w:szCs w:val="21"/>
                    </w:rPr>
                  </w:pPr>
                  <w:r>
                    <w:t>废乳化液</w:t>
                  </w:r>
                </w:p>
              </w:tc>
              <w:tc>
                <w:tcPr>
                  <w:tcW w:w="650" w:type="dxa"/>
                  <w:vAlign w:val="center"/>
                </w:tcPr>
                <w:p>
                  <w:pPr>
                    <w:pStyle w:val="47"/>
                    <w:rPr>
                      <w:szCs w:val="21"/>
                    </w:rPr>
                  </w:pPr>
                  <w:r>
                    <w:rPr>
                      <w:rFonts w:hint="eastAsia"/>
                      <w:szCs w:val="21"/>
                    </w:rPr>
                    <w:t>HW</w:t>
                  </w:r>
                </w:p>
                <w:p>
                  <w:pPr>
                    <w:pStyle w:val="47"/>
                    <w:rPr>
                      <w:szCs w:val="21"/>
                    </w:rPr>
                  </w:pPr>
                  <w:r>
                    <w:rPr>
                      <w:rFonts w:hint="eastAsia"/>
                      <w:szCs w:val="21"/>
                    </w:rPr>
                    <w:t>09</w:t>
                  </w:r>
                </w:p>
              </w:tc>
              <w:tc>
                <w:tcPr>
                  <w:tcW w:w="733" w:type="dxa"/>
                  <w:vAlign w:val="center"/>
                </w:tcPr>
                <w:p>
                  <w:pPr>
                    <w:pStyle w:val="47"/>
                    <w:rPr>
                      <w:szCs w:val="21"/>
                    </w:rPr>
                  </w:pPr>
                  <w:r>
                    <w:rPr>
                      <w:rFonts w:hint="eastAsia"/>
                      <w:szCs w:val="21"/>
                    </w:rPr>
                    <w:t>900-006-09</w:t>
                  </w:r>
                </w:p>
              </w:tc>
              <w:tc>
                <w:tcPr>
                  <w:tcW w:w="638" w:type="dxa"/>
                  <w:vAlign w:val="center"/>
                </w:tcPr>
                <w:p>
                  <w:pPr>
                    <w:pStyle w:val="47"/>
                    <w:rPr>
                      <w:szCs w:val="21"/>
                    </w:rPr>
                  </w:pPr>
                  <w:r>
                    <w:rPr>
                      <w:rFonts w:hint="eastAsia"/>
                      <w:szCs w:val="21"/>
                    </w:rPr>
                    <w:t>1.0</w:t>
                  </w:r>
                </w:p>
              </w:tc>
              <w:tc>
                <w:tcPr>
                  <w:tcW w:w="1116" w:type="dxa"/>
                  <w:vAlign w:val="center"/>
                </w:tcPr>
                <w:p>
                  <w:pPr>
                    <w:pStyle w:val="47"/>
                    <w:rPr>
                      <w:szCs w:val="21"/>
                    </w:rPr>
                  </w:pPr>
                  <w:r>
                    <w:t>粗车、普铣、精车</w:t>
                  </w:r>
                </w:p>
              </w:tc>
              <w:tc>
                <w:tcPr>
                  <w:tcW w:w="534" w:type="dxa"/>
                  <w:vAlign w:val="center"/>
                </w:tcPr>
                <w:p>
                  <w:pPr>
                    <w:pStyle w:val="47"/>
                    <w:rPr>
                      <w:szCs w:val="21"/>
                    </w:rPr>
                  </w:pPr>
                  <w:r>
                    <w:t>液态</w:t>
                  </w:r>
                </w:p>
              </w:tc>
              <w:tc>
                <w:tcPr>
                  <w:tcW w:w="1080" w:type="dxa"/>
                  <w:vAlign w:val="center"/>
                </w:tcPr>
                <w:p>
                  <w:pPr>
                    <w:pStyle w:val="47"/>
                    <w:rPr>
                      <w:szCs w:val="21"/>
                    </w:rPr>
                  </w:pPr>
                  <w:r>
                    <w:rPr>
                      <w:rFonts w:hint="eastAsia"/>
                      <w:szCs w:val="21"/>
                    </w:rPr>
                    <w:t>乳化液</w:t>
                  </w:r>
                </w:p>
              </w:tc>
              <w:tc>
                <w:tcPr>
                  <w:tcW w:w="915" w:type="dxa"/>
                  <w:vAlign w:val="center"/>
                </w:tcPr>
                <w:p>
                  <w:pPr>
                    <w:pStyle w:val="47"/>
                    <w:rPr>
                      <w:szCs w:val="21"/>
                    </w:rPr>
                  </w:pPr>
                  <w:r>
                    <w:rPr>
                      <w:rFonts w:hint="eastAsia"/>
                      <w:szCs w:val="21"/>
                    </w:rPr>
                    <w:t>废乳化液</w:t>
                  </w:r>
                </w:p>
              </w:tc>
              <w:tc>
                <w:tcPr>
                  <w:tcW w:w="688" w:type="dxa"/>
                  <w:vAlign w:val="center"/>
                </w:tcPr>
                <w:p>
                  <w:pPr>
                    <w:pStyle w:val="47"/>
                    <w:rPr>
                      <w:szCs w:val="21"/>
                    </w:rPr>
                  </w:pPr>
                  <w:r>
                    <w:rPr>
                      <w:rFonts w:hint="eastAsia"/>
                      <w:szCs w:val="21"/>
                    </w:rPr>
                    <w:t>T</w:t>
                  </w:r>
                </w:p>
              </w:tc>
              <w:tc>
                <w:tcPr>
                  <w:tcW w:w="981" w:type="dxa"/>
                  <w:vMerge w:val="restart"/>
                  <w:vAlign w:val="center"/>
                </w:tcPr>
                <w:p>
                  <w:pPr>
                    <w:pStyle w:val="47"/>
                    <w:rPr>
                      <w:szCs w:val="21"/>
                    </w:rPr>
                  </w:pPr>
                  <w:r>
                    <w:rPr>
                      <w:rFonts w:hint="eastAsia"/>
                      <w:szCs w:val="21"/>
                    </w:rPr>
                    <w:t>委托有资质的单位处置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0" w:type="dxa"/>
                  <w:vAlign w:val="center"/>
                </w:tcPr>
                <w:p>
                  <w:pPr>
                    <w:pStyle w:val="47"/>
                    <w:rPr>
                      <w:szCs w:val="21"/>
                    </w:rPr>
                  </w:pPr>
                  <w:r>
                    <w:rPr>
                      <w:rFonts w:hint="eastAsia"/>
                      <w:szCs w:val="21"/>
                    </w:rPr>
                    <w:t>2</w:t>
                  </w:r>
                </w:p>
              </w:tc>
              <w:tc>
                <w:tcPr>
                  <w:tcW w:w="917" w:type="dxa"/>
                  <w:vAlign w:val="center"/>
                </w:tcPr>
                <w:p>
                  <w:pPr>
                    <w:pStyle w:val="47"/>
                    <w:rPr>
                      <w:szCs w:val="21"/>
                    </w:rPr>
                  </w:pPr>
                  <w:r>
                    <w:rPr>
                      <w:rFonts w:hint="eastAsia"/>
                    </w:rPr>
                    <w:t>废漆料</w:t>
                  </w:r>
                </w:p>
              </w:tc>
              <w:tc>
                <w:tcPr>
                  <w:tcW w:w="650" w:type="dxa"/>
                  <w:vAlign w:val="center"/>
                </w:tcPr>
                <w:p>
                  <w:pPr>
                    <w:pStyle w:val="47"/>
                    <w:rPr>
                      <w:szCs w:val="21"/>
                    </w:rPr>
                  </w:pPr>
                  <w:r>
                    <w:rPr>
                      <w:rFonts w:hint="eastAsia"/>
                    </w:rPr>
                    <w:t>HW12</w:t>
                  </w:r>
                </w:p>
              </w:tc>
              <w:tc>
                <w:tcPr>
                  <w:tcW w:w="733" w:type="dxa"/>
                  <w:vAlign w:val="center"/>
                </w:tcPr>
                <w:p>
                  <w:pPr>
                    <w:pStyle w:val="47"/>
                    <w:rPr>
                      <w:szCs w:val="21"/>
                    </w:rPr>
                  </w:pPr>
                  <w:r>
                    <w:rPr>
                      <w:rFonts w:hint="eastAsia"/>
                    </w:rPr>
                    <w:t>900-252-12</w:t>
                  </w:r>
                </w:p>
              </w:tc>
              <w:tc>
                <w:tcPr>
                  <w:tcW w:w="638" w:type="dxa"/>
                  <w:vAlign w:val="center"/>
                </w:tcPr>
                <w:p>
                  <w:pPr>
                    <w:pStyle w:val="47"/>
                    <w:rPr>
                      <w:szCs w:val="21"/>
                    </w:rPr>
                  </w:pPr>
                  <w:r>
                    <w:rPr>
                      <w:rFonts w:hint="eastAsia"/>
                      <w:szCs w:val="21"/>
                    </w:rPr>
                    <w:t>0.2</w:t>
                  </w:r>
                </w:p>
              </w:tc>
              <w:tc>
                <w:tcPr>
                  <w:tcW w:w="1116" w:type="dxa"/>
                  <w:vAlign w:val="center"/>
                </w:tcPr>
                <w:p>
                  <w:pPr>
                    <w:pStyle w:val="47"/>
                    <w:rPr>
                      <w:szCs w:val="21"/>
                    </w:rPr>
                  </w:pPr>
                  <w:r>
                    <w:rPr>
                      <w:rFonts w:hint="eastAsia"/>
                    </w:rPr>
                    <w:t>真空浸漆</w:t>
                  </w:r>
                </w:p>
              </w:tc>
              <w:tc>
                <w:tcPr>
                  <w:tcW w:w="534" w:type="dxa"/>
                  <w:vAlign w:val="center"/>
                </w:tcPr>
                <w:p>
                  <w:pPr>
                    <w:pStyle w:val="47"/>
                    <w:rPr>
                      <w:szCs w:val="21"/>
                    </w:rPr>
                  </w:pPr>
                  <w:r>
                    <w:t>固态</w:t>
                  </w:r>
                </w:p>
              </w:tc>
              <w:tc>
                <w:tcPr>
                  <w:tcW w:w="1080" w:type="dxa"/>
                  <w:vAlign w:val="center"/>
                </w:tcPr>
                <w:p>
                  <w:pPr>
                    <w:pStyle w:val="47"/>
                    <w:rPr>
                      <w:szCs w:val="21"/>
                    </w:rPr>
                  </w:pPr>
                  <w:r>
                    <w:rPr>
                      <w:rFonts w:hint="eastAsia"/>
                    </w:rPr>
                    <w:t>绝缘漆残渣</w:t>
                  </w:r>
                </w:p>
              </w:tc>
              <w:tc>
                <w:tcPr>
                  <w:tcW w:w="915" w:type="dxa"/>
                  <w:vAlign w:val="center"/>
                </w:tcPr>
                <w:p>
                  <w:pPr>
                    <w:pStyle w:val="47"/>
                    <w:rPr>
                      <w:szCs w:val="21"/>
                    </w:rPr>
                  </w:pPr>
                  <w:r>
                    <w:rPr>
                      <w:rFonts w:hint="eastAsia"/>
                    </w:rPr>
                    <w:t>绝缘漆</w:t>
                  </w:r>
                </w:p>
              </w:tc>
              <w:tc>
                <w:tcPr>
                  <w:tcW w:w="688" w:type="dxa"/>
                  <w:vAlign w:val="center"/>
                </w:tcPr>
                <w:p>
                  <w:pPr>
                    <w:pStyle w:val="47"/>
                    <w:rPr>
                      <w:szCs w:val="21"/>
                    </w:rPr>
                  </w:pPr>
                  <w:r>
                    <w:rPr>
                      <w:rFonts w:hint="eastAsia"/>
                      <w:szCs w:val="21"/>
                    </w:rPr>
                    <w:t>T,I</w:t>
                  </w:r>
                </w:p>
              </w:tc>
              <w:tc>
                <w:tcPr>
                  <w:tcW w:w="981" w:type="dxa"/>
                  <w:vMerge w:val="continue"/>
                  <w:vAlign w:val="center"/>
                </w:tcPr>
                <w:p>
                  <w:pPr>
                    <w:pStyle w:val="47"/>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0" w:type="dxa"/>
                  <w:vAlign w:val="center"/>
                </w:tcPr>
                <w:p>
                  <w:pPr>
                    <w:pStyle w:val="47"/>
                    <w:rPr>
                      <w:szCs w:val="21"/>
                    </w:rPr>
                  </w:pPr>
                  <w:r>
                    <w:rPr>
                      <w:rFonts w:hint="eastAsia"/>
                      <w:szCs w:val="21"/>
                    </w:rPr>
                    <w:t>3</w:t>
                  </w:r>
                </w:p>
              </w:tc>
              <w:tc>
                <w:tcPr>
                  <w:tcW w:w="917" w:type="dxa"/>
                  <w:vAlign w:val="center"/>
                </w:tcPr>
                <w:p>
                  <w:pPr>
                    <w:pStyle w:val="47"/>
                    <w:rPr>
                      <w:szCs w:val="21"/>
                    </w:rPr>
                  </w:pPr>
                  <w:r>
                    <w:t>废包装桶</w:t>
                  </w:r>
                </w:p>
              </w:tc>
              <w:tc>
                <w:tcPr>
                  <w:tcW w:w="650" w:type="dxa"/>
                  <w:vAlign w:val="center"/>
                </w:tcPr>
                <w:p>
                  <w:pPr>
                    <w:pStyle w:val="47"/>
                    <w:rPr>
                      <w:szCs w:val="21"/>
                    </w:rPr>
                  </w:pPr>
                  <w:r>
                    <w:rPr>
                      <w:rFonts w:hint="eastAsia"/>
                      <w:szCs w:val="21"/>
                    </w:rPr>
                    <w:t>HW</w:t>
                  </w:r>
                </w:p>
                <w:p>
                  <w:pPr>
                    <w:pStyle w:val="47"/>
                    <w:rPr>
                      <w:szCs w:val="21"/>
                    </w:rPr>
                  </w:pPr>
                  <w:r>
                    <w:rPr>
                      <w:rFonts w:hint="eastAsia"/>
                      <w:szCs w:val="21"/>
                    </w:rPr>
                    <w:t>49</w:t>
                  </w:r>
                </w:p>
              </w:tc>
              <w:tc>
                <w:tcPr>
                  <w:tcW w:w="733" w:type="dxa"/>
                  <w:vAlign w:val="center"/>
                </w:tcPr>
                <w:p>
                  <w:pPr>
                    <w:pStyle w:val="47"/>
                    <w:rPr>
                      <w:szCs w:val="21"/>
                    </w:rPr>
                  </w:pPr>
                  <w:r>
                    <w:rPr>
                      <w:rFonts w:hint="eastAsia"/>
                      <w:szCs w:val="21"/>
                    </w:rPr>
                    <w:t>900-041-49</w:t>
                  </w:r>
                </w:p>
              </w:tc>
              <w:tc>
                <w:tcPr>
                  <w:tcW w:w="638" w:type="dxa"/>
                  <w:vAlign w:val="center"/>
                </w:tcPr>
                <w:p>
                  <w:pPr>
                    <w:pStyle w:val="47"/>
                    <w:rPr>
                      <w:szCs w:val="21"/>
                    </w:rPr>
                  </w:pPr>
                  <w:r>
                    <w:rPr>
                      <w:szCs w:val="21"/>
                    </w:rPr>
                    <w:t>0.</w:t>
                  </w:r>
                  <w:r>
                    <w:rPr>
                      <w:rFonts w:hint="eastAsia"/>
                      <w:szCs w:val="21"/>
                    </w:rPr>
                    <w:t>3</w:t>
                  </w:r>
                </w:p>
              </w:tc>
              <w:tc>
                <w:tcPr>
                  <w:tcW w:w="1116" w:type="dxa"/>
                  <w:vAlign w:val="center"/>
                </w:tcPr>
                <w:p>
                  <w:pPr>
                    <w:pStyle w:val="47"/>
                    <w:rPr>
                      <w:szCs w:val="21"/>
                    </w:rPr>
                  </w:pPr>
                  <w:r>
                    <w:t>乳化液</w:t>
                  </w:r>
                  <w:r>
                    <w:rPr>
                      <w:rFonts w:hint="eastAsia"/>
                    </w:rPr>
                    <w:t>、绝缘漆</w:t>
                  </w:r>
                  <w:r>
                    <w:t>使用</w:t>
                  </w:r>
                </w:p>
              </w:tc>
              <w:tc>
                <w:tcPr>
                  <w:tcW w:w="534" w:type="dxa"/>
                  <w:vAlign w:val="center"/>
                </w:tcPr>
                <w:p>
                  <w:pPr>
                    <w:pStyle w:val="47"/>
                    <w:rPr>
                      <w:szCs w:val="21"/>
                    </w:rPr>
                  </w:pPr>
                  <w:r>
                    <w:t>固态</w:t>
                  </w:r>
                </w:p>
              </w:tc>
              <w:tc>
                <w:tcPr>
                  <w:tcW w:w="1080" w:type="dxa"/>
                  <w:vAlign w:val="center"/>
                </w:tcPr>
                <w:p>
                  <w:pPr>
                    <w:pStyle w:val="47"/>
                    <w:rPr>
                      <w:szCs w:val="21"/>
                    </w:rPr>
                  </w:pPr>
                  <w:r>
                    <w:rPr>
                      <w:rFonts w:hint="eastAsia"/>
                      <w:szCs w:val="21"/>
                    </w:rPr>
                    <w:t>乳化液</w:t>
                  </w:r>
                  <w:r>
                    <w:rPr>
                      <w:rFonts w:hint="eastAsia"/>
                    </w:rPr>
                    <w:t>、绝缘漆</w:t>
                  </w:r>
                  <w:r>
                    <w:rPr>
                      <w:rFonts w:hint="eastAsia"/>
                      <w:szCs w:val="21"/>
                    </w:rPr>
                    <w:t>、废包装桶</w:t>
                  </w:r>
                </w:p>
              </w:tc>
              <w:tc>
                <w:tcPr>
                  <w:tcW w:w="915" w:type="dxa"/>
                  <w:vAlign w:val="center"/>
                </w:tcPr>
                <w:p>
                  <w:pPr>
                    <w:pStyle w:val="47"/>
                    <w:rPr>
                      <w:szCs w:val="21"/>
                    </w:rPr>
                  </w:pPr>
                  <w:r>
                    <w:rPr>
                      <w:rFonts w:hint="eastAsia"/>
                      <w:szCs w:val="21"/>
                    </w:rPr>
                    <w:t>乳化液</w:t>
                  </w:r>
                  <w:r>
                    <w:rPr>
                      <w:rFonts w:hint="eastAsia"/>
                    </w:rPr>
                    <w:t>、绝缘漆</w:t>
                  </w:r>
                </w:p>
              </w:tc>
              <w:tc>
                <w:tcPr>
                  <w:tcW w:w="688" w:type="dxa"/>
                  <w:vAlign w:val="center"/>
                </w:tcPr>
                <w:p>
                  <w:pPr>
                    <w:pStyle w:val="47"/>
                    <w:rPr>
                      <w:szCs w:val="21"/>
                    </w:rPr>
                  </w:pPr>
                  <w:r>
                    <w:rPr>
                      <w:rFonts w:hint="eastAsia"/>
                      <w:szCs w:val="21"/>
                    </w:rPr>
                    <w:t>T/In</w:t>
                  </w:r>
                </w:p>
              </w:tc>
              <w:tc>
                <w:tcPr>
                  <w:tcW w:w="981" w:type="dxa"/>
                  <w:vMerge w:val="continue"/>
                  <w:vAlign w:val="center"/>
                </w:tcPr>
                <w:p>
                  <w:pPr>
                    <w:pStyle w:val="47"/>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0" w:type="dxa"/>
                  <w:vAlign w:val="center"/>
                </w:tcPr>
                <w:p>
                  <w:pPr>
                    <w:pStyle w:val="47"/>
                    <w:rPr>
                      <w:szCs w:val="21"/>
                    </w:rPr>
                  </w:pPr>
                  <w:r>
                    <w:rPr>
                      <w:rFonts w:hint="eastAsia"/>
                      <w:szCs w:val="21"/>
                    </w:rPr>
                    <w:t>4</w:t>
                  </w:r>
                </w:p>
              </w:tc>
              <w:tc>
                <w:tcPr>
                  <w:tcW w:w="917" w:type="dxa"/>
                  <w:vAlign w:val="center"/>
                </w:tcPr>
                <w:p>
                  <w:pPr>
                    <w:pStyle w:val="47"/>
                    <w:rPr>
                      <w:szCs w:val="21"/>
                    </w:rPr>
                  </w:pPr>
                  <w:r>
                    <w:rPr>
                      <w:rFonts w:hint="eastAsia"/>
                    </w:rPr>
                    <w:t>废机油</w:t>
                  </w:r>
                </w:p>
              </w:tc>
              <w:tc>
                <w:tcPr>
                  <w:tcW w:w="650" w:type="dxa"/>
                  <w:vAlign w:val="center"/>
                </w:tcPr>
                <w:p>
                  <w:pPr>
                    <w:pStyle w:val="47"/>
                    <w:rPr>
                      <w:szCs w:val="21"/>
                    </w:rPr>
                  </w:pPr>
                  <w:r>
                    <w:rPr>
                      <w:rFonts w:hint="eastAsia"/>
                      <w:szCs w:val="21"/>
                    </w:rPr>
                    <w:t>HW</w:t>
                  </w:r>
                </w:p>
                <w:p>
                  <w:pPr>
                    <w:pStyle w:val="47"/>
                    <w:rPr>
                      <w:szCs w:val="21"/>
                    </w:rPr>
                  </w:pPr>
                  <w:r>
                    <w:rPr>
                      <w:rFonts w:hint="eastAsia"/>
                      <w:szCs w:val="21"/>
                    </w:rPr>
                    <w:t>08</w:t>
                  </w:r>
                </w:p>
              </w:tc>
              <w:tc>
                <w:tcPr>
                  <w:tcW w:w="733" w:type="dxa"/>
                  <w:vAlign w:val="center"/>
                </w:tcPr>
                <w:p>
                  <w:pPr>
                    <w:pStyle w:val="47"/>
                    <w:rPr>
                      <w:szCs w:val="21"/>
                    </w:rPr>
                  </w:pPr>
                  <w:r>
                    <w:rPr>
                      <w:rFonts w:hint="eastAsia"/>
                      <w:szCs w:val="21"/>
                    </w:rPr>
                    <w:t>900-214-08</w:t>
                  </w:r>
                </w:p>
              </w:tc>
              <w:tc>
                <w:tcPr>
                  <w:tcW w:w="638" w:type="dxa"/>
                  <w:vAlign w:val="center"/>
                </w:tcPr>
                <w:p>
                  <w:pPr>
                    <w:pStyle w:val="47"/>
                    <w:rPr>
                      <w:szCs w:val="21"/>
                    </w:rPr>
                  </w:pPr>
                  <w:r>
                    <w:rPr>
                      <w:rFonts w:hint="eastAsia"/>
                      <w:szCs w:val="21"/>
                    </w:rPr>
                    <w:t>0.02</w:t>
                  </w:r>
                </w:p>
              </w:tc>
              <w:tc>
                <w:tcPr>
                  <w:tcW w:w="1116" w:type="dxa"/>
                  <w:vAlign w:val="center"/>
                </w:tcPr>
                <w:p>
                  <w:pPr>
                    <w:pStyle w:val="47"/>
                    <w:rPr>
                      <w:szCs w:val="21"/>
                    </w:rPr>
                  </w:pPr>
                  <w:r>
                    <w:rPr>
                      <w:rFonts w:hint="eastAsia"/>
                    </w:rPr>
                    <w:t>设备保养</w:t>
                  </w:r>
                </w:p>
              </w:tc>
              <w:tc>
                <w:tcPr>
                  <w:tcW w:w="534" w:type="dxa"/>
                  <w:vAlign w:val="center"/>
                </w:tcPr>
                <w:p>
                  <w:pPr>
                    <w:pStyle w:val="47"/>
                    <w:rPr>
                      <w:szCs w:val="21"/>
                    </w:rPr>
                  </w:pPr>
                  <w:r>
                    <w:t>液态</w:t>
                  </w:r>
                </w:p>
              </w:tc>
              <w:tc>
                <w:tcPr>
                  <w:tcW w:w="1080" w:type="dxa"/>
                  <w:vAlign w:val="center"/>
                </w:tcPr>
                <w:p>
                  <w:pPr>
                    <w:pStyle w:val="47"/>
                    <w:rPr>
                      <w:szCs w:val="21"/>
                    </w:rPr>
                  </w:pPr>
                  <w:r>
                    <w:rPr>
                      <w:rFonts w:hint="eastAsia"/>
                      <w:szCs w:val="21"/>
                    </w:rPr>
                    <w:t>机油</w:t>
                  </w:r>
                </w:p>
              </w:tc>
              <w:tc>
                <w:tcPr>
                  <w:tcW w:w="915" w:type="dxa"/>
                  <w:vAlign w:val="center"/>
                </w:tcPr>
                <w:p>
                  <w:pPr>
                    <w:pStyle w:val="47"/>
                    <w:rPr>
                      <w:szCs w:val="21"/>
                    </w:rPr>
                  </w:pPr>
                  <w:r>
                    <w:rPr>
                      <w:rFonts w:hint="eastAsia"/>
                      <w:szCs w:val="21"/>
                    </w:rPr>
                    <w:t>机油</w:t>
                  </w:r>
                </w:p>
              </w:tc>
              <w:tc>
                <w:tcPr>
                  <w:tcW w:w="688" w:type="dxa"/>
                  <w:vAlign w:val="center"/>
                </w:tcPr>
                <w:p>
                  <w:pPr>
                    <w:pStyle w:val="47"/>
                    <w:rPr>
                      <w:szCs w:val="21"/>
                    </w:rPr>
                  </w:pPr>
                  <w:r>
                    <w:rPr>
                      <w:rFonts w:hint="eastAsia"/>
                      <w:szCs w:val="21"/>
                    </w:rPr>
                    <w:t>T/I</w:t>
                  </w:r>
                </w:p>
              </w:tc>
              <w:tc>
                <w:tcPr>
                  <w:tcW w:w="981" w:type="dxa"/>
                  <w:vMerge w:val="continue"/>
                  <w:vAlign w:val="center"/>
                </w:tcPr>
                <w:p>
                  <w:pPr>
                    <w:pStyle w:val="47"/>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0" w:type="dxa"/>
                  <w:vAlign w:val="center"/>
                </w:tcPr>
                <w:p>
                  <w:pPr>
                    <w:pStyle w:val="47"/>
                    <w:rPr>
                      <w:szCs w:val="21"/>
                    </w:rPr>
                  </w:pPr>
                  <w:r>
                    <w:rPr>
                      <w:rFonts w:hint="eastAsia"/>
                      <w:szCs w:val="21"/>
                    </w:rPr>
                    <w:t>5</w:t>
                  </w:r>
                </w:p>
              </w:tc>
              <w:tc>
                <w:tcPr>
                  <w:tcW w:w="917" w:type="dxa"/>
                  <w:vAlign w:val="center"/>
                </w:tcPr>
                <w:p>
                  <w:pPr>
                    <w:pStyle w:val="47"/>
                    <w:rPr>
                      <w:szCs w:val="21"/>
                    </w:rPr>
                  </w:pPr>
                  <w:r>
                    <w:rPr>
                      <w:rFonts w:hint="eastAsia"/>
                    </w:rPr>
                    <w:t>废油桶</w:t>
                  </w:r>
                </w:p>
              </w:tc>
              <w:tc>
                <w:tcPr>
                  <w:tcW w:w="650" w:type="dxa"/>
                  <w:vAlign w:val="center"/>
                </w:tcPr>
                <w:p>
                  <w:pPr>
                    <w:pStyle w:val="47"/>
                    <w:rPr>
                      <w:szCs w:val="21"/>
                    </w:rPr>
                  </w:pPr>
                  <w:r>
                    <w:rPr>
                      <w:rFonts w:hint="eastAsia"/>
                      <w:szCs w:val="21"/>
                    </w:rPr>
                    <w:t>HW</w:t>
                  </w:r>
                </w:p>
                <w:p>
                  <w:pPr>
                    <w:pStyle w:val="47"/>
                    <w:rPr>
                      <w:szCs w:val="21"/>
                    </w:rPr>
                  </w:pPr>
                  <w:r>
                    <w:rPr>
                      <w:rFonts w:hint="eastAsia"/>
                      <w:szCs w:val="21"/>
                    </w:rPr>
                    <w:t>08</w:t>
                  </w:r>
                </w:p>
              </w:tc>
              <w:tc>
                <w:tcPr>
                  <w:tcW w:w="733" w:type="dxa"/>
                  <w:vAlign w:val="center"/>
                </w:tcPr>
                <w:p>
                  <w:pPr>
                    <w:pStyle w:val="47"/>
                    <w:rPr>
                      <w:szCs w:val="21"/>
                    </w:rPr>
                  </w:pPr>
                  <w:r>
                    <w:rPr>
                      <w:rFonts w:hint="eastAsia"/>
                      <w:szCs w:val="21"/>
                    </w:rPr>
                    <w:t>900-249-08</w:t>
                  </w:r>
                </w:p>
              </w:tc>
              <w:tc>
                <w:tcPr>
                  <w:tcW w:w="638" w:type="dxa"/>
                  <w:vAlign w:val="center"/>
                </w:tcPr>
                <w:p>
                  <w:pPr>
                    <w:pStyle w:val="47"/>
                    <w:rPr>
                      <w:szCs w:val="21"/>
                    </w:rPr>
                  </w:pPr>
                  <w:r>
                    <w:rPr>
                      <w:szCs w:val="21"/>
                    </w:rPr>
                    <w:t>0.</w:t>
                  </w:r>
                  <w:r>
                    <w:rPr>
                      <w:rFonts w:hint="eastAsia"/>
                      <w:szCs w:val="21"/>
                    </w:rPr>
                    <w:t>004</w:t>
                  </w:r>
                </w:p>
              </w:tc>
              <w:tc>
                <w:tcPr>
                  <w:tcW w:w="1116" w:type="dxa"/>
                  <w:vAlign w:val="center"/>
                </w:tcPr>
                <w:p>
                  <w:pPr>
                    <w:pStyle w:val="47"/>
                    <w:rPr>
                      <w:szCs w:val="21"/>
                    </w:rPr>
                  </w:pPr>
                  <w:r>
                    <w:t>机油</w:t>
                  </w:r>
                  <w:r>
                    <w:rPr>
                      <w:rFonts w:hint="eastAsia"/>
                    </w:rPr>
                    <w:t>、液压油</w:t>
                  </w:r>
                  <w:r>
                    <w:t>使用</w:t>
                  </w:r>
                </w:p>
              </w:tc>
              <w:tc>
                <w:tcPr>
                  <w:tcW w:w="534" w:type="dxa"/>
                  <w:vAlign w:val="center"/>
                </w:tcPr>
                <w:p>
                  <w:pPr>
                    <w:pStyle w:val="47"/>
                    <w:rPr>
                      <w:szCs w:val="21"/>
                    </w:rPr>
                  </w:pPr>
                  <w:r>
                    <w:t>固态</w:t>
                  </w:r>
                </w:p>
              </w:tc>
              <w:tc>
                <w:tcPr>
                  <w:tcW w:w="1080" w:type="dxa"/>
                  <w:vAlign w:val="center"/>
                </w:tcPr>
                <w:p>
                  <w:pPr>
                    <w:pStyle w:val="47"/>
                    <w:rPr>
                      <w:szCs w:val="21"/>
                    </w:rPr>
                  </w:pPr>
                  <w:r>
                    <w:rPr>
                      <w:szCs w:val="21"/>
                    </w:rPr>
                    <w:t>机油</w:t>
                  </w:r>
                  <w:r>
                    <w:rPr>
                      <w:rFonts w:hint="eastAsia"/>
                    </w:rPr>
                    <w:t>、液压油</w:t>
                  </w:r>
                  <w:r>
                    <w:rPr>
                      <w:rFonts w:hint="eastAsia"/>
                      <w:szCs w:val="21"/>
                    </w:rPr>
                    <w:t>、废包装桶</w:t>
                  </w:r>
                </w:p>
              </w:tc>
              <w:tc>
                <w:tcPr>
                  <w:tcW w:w="915" w:type="dxa"/>
                  <w:vAlign w:val="center"/>
                </w:tcPr>
                <w:p>
                  <w:pPr>
                    <w:pStyle w:val="47"/>
                    <w:rPr>
                      <w:szCs w:val="21"/>
                    </w:rPr>
                  </w:pPr>
                  <w:r>
                    <w:rPr>
                      <w:szCs w:val="21"/>
                    </w:rPr>
                    <w:t>机油</w:t>
                  </w:r>
                  <w:r>
                    <w:rPr>
                      <w:rFonts w:hint="eastAsia"/>
                    </w:rPr>
                    <w:t>、液压油</w:t>
                  </w:r>
                </w:p>
              </w:tc>
              <w:tc>
                <w:tcPr>
                  <w:tcW w:w="688" w:type="dxa"/>
                  <w:vAlign w:val="center"/>
                </w:tcPr>
                <w:p>
                  <w:pPr>
                    <w:pStyle w:val="47"/>
                    <w:rPr>
                      <w:szCs w:val="21"/>
                    </w:rPr>
                  </w:pPr>
                  <w:r>
                    <w:rPr>
                      <w:rFonts w:hint="eastAsia"/>
                      <w:szCs w:val="21"/>
                    </w:rPr>
                    <w:t>T/I</w:t>
                  </w:r>
                </w:p>
              </w:tc>
              <w:tc>
                <w:tcPr>
                  <w:tcW w:w="981" w:type="dxa"/>
                  <w:vMerge w:val="continue"/>
                  <w:vAlign w:val="center"/>
                </w:tcPr>
                <w:p>
                  <w:pPr>
                    <w:pStyle w:val="47"/>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0" w:type="dxa"/>
                  <w:vAlign w:val="center"/>
                </w:tcPr>
                <w:p>
                  <w:pPr>
                    <w:pStyle w:val="47"/>
                    <w:rPr>
                      <w:szCs w:val="21"/>
                    </w:rPr>
                  </w:pPr>
                  <w:r>
                    <w:rPr>
                      <w:rFonts w:hint="eastAsia"/>
                      <w:szCs w:val="21"/>
                    </w:rPr>
                    <w:t>6</w:t>
                  </w:r>
                </w:p>
              </w:tc>
              <w:tc>
                <w:tcPr>
                  <w:tcW w:w="917" w:type="dxa"/>
                  <w:vAlign w:val="center"/>
                </w:tcPr>
                <w:p>
                  <w:pPr>
                    <w:pStyle w:val="47"/>
                    <w:rPr>
                      <w:szCs w:val="21"/>
                    </w:rPr>
                  </w:pPr>
                  <w:r>
                    <w:t>废活性炭</w:t>
                  </w:r>
                </w:p>
              </w:tc>
              <w:tc>
                <w:tcPr>
                  <w:tcW w:w="650" w:type="dxa"/>
                  <w:vAlign w:val="center"/>
                </w:tcPr>
                <w:p>
                  <w:pPr>
                    <w:pStyle w:val="47"/>
                    <w:rPr>
                      <w:szCs w:val="21"/>
                    </w:rPr>
                  </w:pPr>
                  <w:r>
                    <w:rPr>
                      <w:rFonts w:hint="eastAsia"/>
                      <w:szCs w:val="21"/>
                    </w:rPr>
                    <w:t>HW</w:t>
                  </w:r>
                </w:p>
                <w:p>
                  <w:pPr>
                    <w:pStyle w:val="47"/>
                    <w:rPr>
                      <w:szCs w:val="21"/>
                    </w:rPr>
                  </w:pPr>
                  <w:r>
                    <w:rPr>
                      <w:rFonts w:hint="eastAsia"/>
                      <w:szCs w:val="21"/>
                    </w:rPr>
                    <w:t>49</w:t>
                  </w:r>
                </w:p>
              </w:tc>
              <w:tc>
                <w:tcPr>
                  <w:tcW w:w="733" w:type="dxa"/>
                  <w:vAlign w:val="center"/>
                </w:tcPr>
                <w:p>
                  <w:pPr>
                    <w:pStyle w:val="47"/>
                    <w:rPr>
                      <w:szCs w:val="21"/>
                    </w:rPr>
                  </w:pPr>
                  <w:r>
                    <w:rPr>
                      <w:rFonts w:hint="eastAsia"/>
                      <w:szCs w:val="21"/>
                    </w:rPr>
                    <w:t>900-039-49</w:t>
                  </w:r>
                </w:p>
              </w:tc>
              <w:tc>
                <w:tcPr>
                  <w:tcW w:w="638" w:type="dxa"/>
                  <w:vAlign w:val="center"/>
                </w:tcPr>
                <w:p>
                  <w:pPr>
                    <w:pStyle w:val="47"/>
                    <w:rPr>
                      <w:szCs w:val="21"/>
                    </w:rPr>
                  </w:pPr>
                  <w:r>
                    <w:rPr>
                      <w:rFonts w:hint="eastAsia"/>
                    </w:rPr>
                    <w:t>3.173</w:t>
                  </w:r>
                </w:p>
              </w:tc>
              <w:tc>
                <w:tcPr>
                  <w:tcW w:w="1116" w:type="dxa"/>
                  <w:vAlign w:val="center"/>
                </w:tcPr>
                <w:p>
                  <w:pPr>
                    <w:pStyle w:val="47"/>
                    <w:rPr>
                      <w:szCs w:val="21"/>
                    </w:rPr>
                  </w:pPr>
                  <w:r>
                    <w:t>废气处理</w:t>
                  </w:r>
                </w:p>
              </w:tc>
              <w:tc>
                <w:tcPr>
                  <w:tcW w:w="534" w:type="dxa"/>
                  <w:vAlign w:val="center"/>
                </w:tcPr>
                <w:p>
                  <w:pPr>
                    <w:pStyle w:val="47"/>
                    <w:rPr>
                      <w:szCs w:val="21"/>
                    </w:rPr>
                  </w:pPr>
                  <w:r>
                    <w:t>固态</w:t>
                  </w:r>
                </w:p>
              </w:tc>
              <w:tc>
                <w:tcPr>
                  <w:tcW w:w="1080" w:type="dxa"/>
                  <w:vAlign w:val="center"/>
                </w:tcPr>
                <w:p>
                  <w:pPr>
                    <w:pStyle w:val="47"/>
                    <w:rPr>
                      <w:szCs w:val="21"/>
                    </w:rPr>
                  </w:pPr>
                  <w:r>
                    <w:rPr>
                      <w:szCs w:val="21"/>
                    </w:rPr>
                    <w:t>活性炭、有机废气</w:t>
                  </w:r>
                </w:p>
              </w:tc>
              <w:tc>
                <w:tcPr>
                  <w:tcW w:w="915" w:type="dxa"/>
                  <w:vAlign w:val="center"/>
                </w:tcPr>
                <w:p>
                  <w:pPr>
                    <w:pStyle w:val="47"/>
                    <w:rPr>
                      <w:szCs w:val="21"/>
                    </w:rPr>
                  </w:pPr>
                  <w:r>
                    <w:rPr>
                      <w:szCs w:val="21"/>
                    </w:rPr>
                    <w:t>有机废气</w:t>
                  </w:r>
                </w:p>
              </w:tc>
              <w:tc>
                <w:tcPr>
                  <w:tcW w:w="688" w:type="dxa"/>
                  <w:vAlign w:val="center"/>
                </w:tcPr>
                <w:p>
                  <w:pPr>
                    <w:pStyle w:val="47"/>
                    <w:rPr>
                      <w:szCs w:val="21"/>
                    </w:rPr>
                  </w:pPr>
                  <w:r>
                    <w:rPr>
                      <w:rFonts w:hint="eastAsia"/>
                      <w:szCs w:val="21"/>
                    </w:rPr>
                    <w:t>T/In</w:t>
                  </w:r>
                </w:p>
              </w:tc>
              <w:tc>
                <w:tcPr>
                  <w:tcW w:w="981" w:type="dxa"/>
                  <w:vMerge w:val="continue"/>
                  <w:vAlign w:val="center"/>
                </w:tcPr>
                <w:p>
                  <w:pPr>
                    <w:pStyle w:val="47"/>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0" w:type="dxa"/>
                  <w:vAlign w:val="center"/>
                </w:tcPr>
                <w:p>
                  <w:pPr>
                    <w:pStyle w:val="47"/>
                    <w:rPr>
                      <w:szCs w:val="21"/>
                    </w:rPr>
                  </w:pPr>
                  <w:r>
                    <w:rPr>
                      <w:rFonts w:hint="eastAsia"/>
                      <w:szCs w:val="21"/>
                    </w:rPr>
                    <w:t>7</w:t>
                  </w:r>
                </w:p>
              </w:tc>
              <w:tc>
                <w:tcPr>
                  <w:tcW w:w="917" w:type="dxa"/>
                  <w:vAlign w:val="center"/>
                </w:tcPr>
                <w:p>
                  <w:pPr>
                    <w:pStyle w:val="47"/>
                  </w:pPr>
                  <w:r>
                    <w:rPr>
                      <w:rFonts w:hint="eastAsia"/>
                    </w:rPr>
                    <w:t>含漆废抹布和手套</w:t>
                  </w:r>
                </w:p>
              </w:tc>
              <w:tc>
                <w:tcPr>
                  <w:tcW w:w="650" w:type="dxa"/>
                  <w:vAlign w:val="center"/>
                </w:tcPr>
                <w:p>
                  <w:pPr>
                    <w:pStyle w:val="47"/>
                    <w:rPr>
                      <w:szCs w:val="21"/>
                    </w:rPr>
                  </w:pPr>
                  <w:r>
                    <w:rPr>
                      <w:rFonts w:hint="eastAsia"/>
                      <w:szCs w:val="21"/>
                    </w:rPr>
                    <w:t>HW</w:t>
                  </w:r>
                </w:p>
                <w:p>
                  <w:pPr>
                    <w:pStyle w:val="47"/>
                    <w:rPr>
                      <w:szCs w:val="21"/>
                    </w:rPr>
                  </w:pPr>
                  <w:r>
                    <w:rPr>
                      <w:rFonts w:hint="eastAsia"/>
                      <w:szCs w:val="21"/>
                    </w:rPr>
                    <w:t>49</w:t>
                  </w:r>
                </w:p>
              </w:tc>
              <w:tc>
                <w:tcPr>
                  <w:tcW w:w="733" w:type="dxa"/>
                  <w:vAlign w:val="center"/>
                </w:tcPr>
                <w:p>
                  <w:pPr>
                    <w:pStyle w:val="47"/>
                    <w:rPr>
                      <w:szCs w:val="21"/>
                    </w:rPr>
                  </w:pPr>
                  <w:r>
                    <w:rPr>
                      <w:rFonts w:hint="eastAsia"/>
                      <w:szCs w:val="21"/>
                    </w:rPr>
                    <w:t>900-041-49</w:t>
                  </w:r>
                </w:p>
              </w:tc>
              <w:tc>
                <w:tcPr>
                  <w:tcW w:w="638" w:type="dxa"/>
                  <w:vAlign w:val="center"/>
                </w:tcPr>
                <w:p>
                  <w:pPr>
                    <w:pStyle w:val="47"/>
                    <w:rPr>
                      <w:szCs w:val="21"/>
                    </w:rPr>
                  </w:pPr>
                  <w:r>
                    <w:rPr>
                      <w:rFonts w:hint="eastAsia"/>
                    </w:rPr>
                    <w:t>0.01</w:t>
                  </w:r>
                </w:p>
              </w:tc>
              <w:tc>
                <w:tcPr>
                  <w:tcW w:w="1116" w:type="dxa"/>
                  <w:vAlign w:val="center"/>
                </w:tcPr>
                <w:p>
                  <w:pPr>
                    <w:pStyle w:val="47"/>
                  </w:pPr>
                  <w:r>
                    <w:rPr>
                      <w:rFonts w:hint="eastAsia"/>
                    </w:rPr>
                    <w:t>绝缘漆使用</w:t>
                  </w:r>
                </w:p>
              </w:tc>
              <w:tc>
                <w:tcPr>
                  <w:tcW w:w="534" w:type="dxa"/>
                  <w:vAlign w:val="center"/>
                </w:tcPr>
                <w:p>
                  <w:pPr>
                    <w:pStyle w:val="47"/>
                  </w:pPr>
                  <w:r>
                    <w:t>固态</w:t>
                  </w:r>
                </w:p>
              </w:tc>
              <w:tc>
                <w:tcPr>
                  <w:tcW w:w="1080" w:type="dxa"/>
                  <w:vAlign w:val="center"/>
                </w:tcPr>
                <w:p>
                  <w:pPr>
                    <w:pStyle w:val="47"/>
                    <w:rPr>
                      <w:szCs w:val="21"/>
                    </w:rPr>
                  </w:pPr>
                  <w:r>
                    <w:t>手套、抹布、</w:t>
                  </w:r>
                  <w:r>
                    <w:rPr>
                      <w:rFonts w:hint="eastAsia"/>
                    </w:rPr>
                    <w:t>绝缘漆</w:t>
                  </w:r>
                </w:p>
              </w:tc>
              <w:tc>
                <w:tcPr>
                  <w:tcW w:w="915" w:type="dxa"/>
                  <w:vAlign w:val="center"/>
                </w:tcPr>
                <w:p>
                  <w:pPr>
                    <w:pStyle w:val="47"/>
                    <w:rPr>
                      <w:szCs w:val="21"/>
                    </w:rPr>
                  </w:pPr>
                  <w:r>
                    <w:rPr>
                      <w:rFonts w:hint="eastAsia"/>
                    </w:rPr>
                    <w:t>绝缘漆</w:t>
                  </w:r>
                </w:p>
              </w:tc>
              <w:tc>
                <w:tcPr>
                  <w:tcW w:w="688" w:type="dxa"/>
                  <w:vAlign w:val="center"/>
                </w:tcPr>
                <w:p>
                  <w:pPr>
                    <w:pStyle w:val="47"/>
                    <w:rPr>
                      <w:szCs w:val="21"/>
                    </w:rPr>
                  </w:pPr>
                  <w:r>
                    <w:rPr>
                      <w:rFonts w:hint="eastAsia"/>
                      <w:szCs w:val="21"/>
                    </w:rPr>
                    <w:t>T/In</w:t>
                  </w:r>
                </w:p>
              </w:tc>
              <w:tc>
                <w:tcPr>
                  <w:tcW w:w="981" w:type="dxa"/>
                  <w:vMerge w:val="continue"/>
                  <w:vAlign w:val="center"/>
                </w:tcPr>
                <w:p>
                  <w:pPr>
                    <w:pStyle w:val="47"/>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0" w:type="dxa"/>
                  <w:vAlign w:val="center"/>
                </w:tcPr>
                <w:p>
                  <w:pPr>
                    <w:pStyle w:val="47"/>
                    <w:rPr>
                      <w:szCs w:val="21"/>
                    </w:rPr>
                  </w:pPr>
                  <w:r>
                    <w:rPr>
                      <w:rFonts w:hint="eastAsia"/>
                      <w:szCs w:val="21"/>
                    </w:rPr>
                    <w:t>8</w:t>
                  </w:r>
                </w:p>
              </w:tc>
              <w:tc>
                <w:tcPr>
                  <w:tcW w:w="917" w:type="dxa"/>
                  <w:vAlign w:val="center"/>
                </w:tcPr>
                <w:p>
                  <w:pPr>
                    <w:pStyle w:val="47"/>
                    <w:rPr>
                      <w:szCs w:val="21"/>
                    </w:rPr>
                  </w:pPr>
                  <w:r>
                    <w:rPr>
                      <w:rFonts w:hint="eastAsia"/>
                    </w:rPr>
                    <w:t>含油废抹布和手套</w:t>
                  </w:r>
                </w:p>
              </w:tc>
              <w:tc>
                <w:tcPr>
                  <w:tcW w:w="650" w:type="dxa"/>
                  <w:vAlign w:val="center"/>
                </w:tcPr>
                <w:p>
                  <w:pPr>
                    <w:pStyle w:val="47"/>
                    <w:rPr>
                      <w:szCs w:val="21"/>
                    </w:rPr>
                  </w:pPr>
                  <w:r>
                    <w:rPr>
                      <w:rFonts w:hint="eastAsia"/>
                      <w:szCs w:val="21"/>
                    </w:rPr>
                    <w:t>HW</w:t>
                  </w:r>
                </w:p>
                <w:p>
                  <w:pPr>
                    <w:pStyle w:val="47"/>
                    <w:rPr>
                      <w:szCs w:val="21"/>
                    </w:rPr>
                  </w:pPr>
                  <w:r>
                    <w:rPr>
                      <w:rFonts w:hint="eastAsia"/>
                      <w:szCs w:val="21"/>
                    </w:rPr>
                    <w:t>49</w:t>
                  </w:r>
                </w:p>
              </w:tc>
              <w:tc>
                <w:tcPr>
                  <w:tcW w:w="733" w:type="dxa"/>
                  <w:vAlign w:val="center"/>
                </w:tcPr>
                <w:p>
                  <w:pPr>
                    <w:pStyle w:val="47"/>
                    <w:rPr>
                      <w:szCs w:val="21"/>
                    </w:rPr>
                  </w:pPr>
                  <w:r>
                    <w:rPr>
                      <w:rFonts w:hint="eastAsia"/>
                      <w:szCs w:val="21"/>
                    </w:rPr>
                    <w:t>900-041-49</w:t>
                  </w:r>
                </w:p>
              </w:tc>
              <w:tc>
                <w:tcPr>
                  <w:tcW w:w="638" w:type="dxa"/>
                  <w:vAlign w:val="center"/>
                </w:tcPr>
                <w:p>
                  <w:pPr>
                    <w:pStyle w:val="47"/>
                    <w:rPr>
                      <w:szCs w:val="21"/>
                    </w:rPr>
                  </w:pPr>
                  <w:r>
                    <w:t>0.</w:t>
                  </w:r>
                  <w:r>
                    <w:rPr>
                      <w:rFonts w:hint="eastAsia"/>
                    </w:rPr>
                    <w:t>002</w:t>
                  </w:r>
                </w:p>
              </w:tc>
              <w:tc>
                <w:tcPr>
                  <w:tcW w:w="1116" w:type="dxa"/>
                  <w:vAlign w:val="center"/>
                </w:tcPr>
                <w:p>
                  <w:pPr>
                    <w:pStyle w:val="47"/>
                    <w:rPr>
                      <w:szCs w:val="21"/>
                    </w:rPr>
                  </w:pPr>
                  <w:r>
                    <w:rPr>
                      <w:rFonts w:hint="eastAsia"/>
                    </w:rPr>
                    <w:t>设备保养</w:t>
                  </w:r>
                </w:p>
              </w:tc>
              <w:tc>
                <w:tcPr>
                  <w:tcW w:w="534" w:type="dxa"/>
                  <w:vAlign w:val="center"/>
                </w:tcPr>
                <w:p>
                  <w:pPr>
                    <w:pStyle w:val="47"/>
                    <w:rPr>
                      <w:szCs w:val="21"/>
                    </w:rPr>
                  </w:pPr>
                  <w:r>
                    <w:t>固态</w:t>
                  </w:r>
                </w:p>
              </w:tc>
              <w:tc>
                <w:tcPr>
                  <w:tcW w:w="1080" w:type="dxa"/>
                  <w:vAlign w:val="center"/>
                </w:tcPr>
                <w:p>
                  <w:pPr>
                    <w:pStyle w:val="47"/>
                    <w:rPr>
                      <w:szCs w:val="21"/>
                    </w:rPr>
                  </w:pPr>
                  <w:r>
                    <w:rPr>
                      <w:szCs w:val="21"/>
                    </w:rPr>
                    <w:t>手套、抹布、机油</w:t>
                  </w:r>
                  <w:r>
                    <w:rPr>
                      <w:rFonts w:hint="eastAsia"/>
                    </w:rPr>
                    <w:t>、液压油</w:t>
                  </w:r>
                </w:p>
              </w:tc>
              <w:tc>
                <w:tcPr>
                  <w:tcW w:w="915" w:type="dxa"/>
                  <w:vAlign w:val="center"/>
                </w:tcPr>
                <w:p>
                  <w:pPr>
                    <w:pStyle w:val="47"/>
                    <w:rPr>
                      <w:szCs w:val="21"/>
                    </w:rPr>
                  </w:pPr>
                  <w:r>
                    <w:rPr>
                      <w:szCs w:val="21"/>
                    </w:rPr>
                    <w:t>机油</w:t>
                  </w:r>
                  <w:r>
                    <w:rPr>
                      <w:rFonts w:hint="eastAsia"/>
                    </w:rPr>
                    <w:t>、液压油</w:t>
                  </w:r>
                </w:p>
              </w:tc>
              <w:tc>
                <w:tcPr>
                  <w:tcW w:w="688" w:type="dxa"/>
                  <w:vAlign w:val="center"/>
                </w:tcPr>
                <w:p>
                  <w:pPr>
                    <w:pStyle w:val="47"/>
                    <w:rPr>
                      <w:szCs w:val="21"/>
                    </w:rPr>
                  </w:pPr>
                  <w:r>
                    <w:rPr>
                      <w:rFonts w:hint="eastAsia"/>
                      <w:szCs w:val="21"/>
                    </w:rPr>
                    <w:t>T/In</w:t>
                  </w:r>
                </w:p>
              </w:tc>
              <w:tc>
                <w:tcPr>
                  <w:tcW w:w="981" w:type="dxa"/>
                  <w:vAlign w:val="center"/>
                </w:tcPr>
                <w:p>
                  <w:pPr>
                    <w:pStyle w:val="47"/>
                    <w:rPr>
                      <w:szCs w:val="21"/>
                    </w:rPr>
                  </w:pPr>
                  <w:r>
                    <w:rPr>
                      <w:szCs w:val="21"/>
                    </w:rPr>
                    <w:t>由当地环卫部门统一清运</w:t>
                  </w:r>
                </w:p>
              </w:tc>
            </w:tr>
          </w:tbl>
          <w:p>
            <w:pPr>
              <w:ind w:firstLine="480"/>
            </w:pPr>
            <w:r>
              <w:t>本项目产生的一般包装材料、</w:t>
            </w:r>
            <w:r>
              <w:rPr>
                <w:rFonts w:hint="eastAsia"/>
              </w:rPr>
              <w:t>金属</w:t>
            </w:r>
            <w:r>
              <w:t>边角料、次品、</w:t>
            </w:r>
            <w:r>
              <w:rPr>
                <w:rFonts w:hint="eastAsia"/>
              </w:rPr>
              <w:t>金属沉渣、废滤芯</w:t>
            </w:r>
            <w:r>
              <w:t>由企业收集后外售综合利用</w:t>
            </w:r>
            <w:r>
              <w:rPr>
                <w:rFonts w:hint="eastAsia"/>
              </w:rPr>
              <w:t>；</w:t>
            </w:r>
            <w:r>
              <w:t>废乳化液、</w:t>
            </w:r>
            <w:r>
              <w:rPr>
                <w:rFonts w:hint="eastAsia"/>
              </w:rPr>
              <w:t>废漆料、</w:t>
            </w:r>
            <w:r>
              <w:t>废包装桶、</w:t>
            </w:r>
            <w:r>
              <w:rPr>
                <w:rFonts w:hint="eastAsia"/>
              </w:rPr>
              <w:t>废机油、废油桶、</w:t>
            </w:r>
            <w:r>
              <w:t>废活性炭</w:t>
            </w:r>
            <w:r>
              <w:rPr>
                <w:rFonts w:hint="eastAsia"/>
              </w:rPr>
              <w:t>、含漆废抹布和手套</w:t>
            </w:r>
            <w:r>
              <w:t>属于危险废物</w:t>
            </w:r>
            <w:r>
              <w:rPr>
                <w:rFonts w:hint="eastAsia"/>
              </w:rPr>
              <w:t>，要求企业收集后在厂区内危废仓库暂存，定期委托有相关危废处理资质的单位进行集中处置；含油废抹布和手套、</w:t>
            </w:r>
            <w:r>
              <w:t>生活垃圾在厂内定点收集，由当地环卫部门统一清运。</w:t>
            </w:r>
          </w:p>
          <w:p>
            <w:pPr>
              <w:pStyle w:val="5"/>
            </w:pPr>
            <w:bookmarkStart w:id="134" w:name="_Toc29380629"/>
            <w:bookmarkStart w:id="135" w:name="_Toc29388580"/>
            <w:r>
              <w:t>5.3污染物产生排放量清单</w:t>
            </w:r>
            <w:bookmarkEnd w:id="134"/>
            <w:bookmarkEnd w:id="135"/>
          </w:p>
          <w:p>
            <w:pPr>
              <w:ind w:firstLine="480"/>
            </w:pPr>
            <w:r>
              <w:t>根据上述工程分析，本项目运营期主要污染物产生和排放清单见表5-1</w:t>
            </w:r>
            <w:r>
              <w:rPr>
                <w:rFonts w:hint="eastAsia"/>
              </w:rPr>
              <w:t>5</w:t>
            </w:r>
            <w:r>
              <w:t>。</w:t>
            </w:r>
          </w:p>
          <w:p>
            <w:pPr>
              <w:pStyle w:val="46"/>
            </w:pPr>
            <w:r>
              <w:t>表5-</w:t>
            </w:r>
            <w:r>
              <w:rPr>
                <w:rFonts w:hint="eastAsia"/>
              </w:rPr>
              <w:t>15</w:t>
            </w:r>
            <w:r>
              <w:t xml:space="preserve"> 本项目运营期污染物产生、排放清单   单位：t/a</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743"/>
              <w:gridCol w:w="1290"/>
              <w:gridCol w:w="924"/>
              <w:gridCol w:w="870"/>
              <w:gridCol w:w="900"/>
              <w:gridCol w:w="3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35" w:type="pct"/>
                  <w:gridSpan w:val="3"/>
                  <w:vAlign w:val="center"/>
                </w:tcPr>
                <w:p>
                  <w:pPr>
                    <w:pStyle w:val="46"/>
                  </w:pPr>
                  <w:r>
                    <w:t>污染物名称</w:t>
                  </w:r>
                </w:p>
              </w:tc>
              <w:tc>
                <w:tcPr>
                  <w:tcW w:w="530" w:type="pct"/>
                  <w:vAlign w:val="center"/>
                </w:tcPr>
                <w:p>
                  <w:pPr>
                    <w:pStyle w:val="46"/>
                  </w:pPr>
                  <w:r>
                    <w:t>产生量</w:t>
                  </w:r>
                </w:p>
              </w:tc>
              <w:tc>
                <w:tcPr>
                  <w:tcW w:w="499" w:type="pct"/>
                  <w:vAlign w:val="center"/>
                </w:tcPr>
                <w:p>
                  <w:pPr>
                    <w:pStyle w:val="46"/>
                  </w:pPr>
                  <w:r>
                    <w:t>削减量</w:t>
                  </w:r>
                </w:p>
              </w:tc>
              <w:tc>
                <w:tcPr>
                  <w:tcW w:w="516" w:type="pct"/>
                  <w:vAlign w:val="center"/>
                </w:tcPr>
                <w:p>
                  <w:pPr>
                    <w:pStyle w:val="46"/>
                  </w:pPr>
                  <w:r>
                    <w:t>排放量</w:t>
                  </w:r>
                </w:p>
              </w:tc>
              <w:tc>
                <w:tcPr>
                  <w:tcW w:w="1918" w:type="pct"/>
                  <w:vAlign w:val="center"/>
                </w:tcPr>
                <w:p>
                  <w:pPr>
                    <w:pStyle w:val="46"/>
                  </w:pPr>
                  <w: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9" w:type="pct"/>
                  <w:vMerge w:val="restart"/>
                  <w:vAlign w:val="center"/>
                </w:tcPr>
                <w:p>
                  <w:pPr>
                    <w:pStyle w:val="47"/>
                  </w:pPr>
                  <w:r>
                    <w:t>废水</w:t>
                  </w:r>
                </w:p>
              </w:tc>
              <w:tc>
                <w:tcPr>
                  <w:tcW w:w="1166" w:type="pct"/>
                  <w:gridSpan w:val="2"/>
                  <w:vAlign w:val="center"/>
                </w:tcPr>
                <w:p>
                  <w:pPr>
                    <w:pStyle w:val="47"/>
                  </w:pPr>
                  <w:r>
                    <w:rPr>
                      <w:rFonts w:hint="eastAsia"/>
                    </w:rPr>
                    <w:t>打磨废水</w:t>
                  </w:r>
                </w:p>
              </w:tc>
              <w:tc>
                <w:tcPr>
                  <w:tcW w:w="530" w:type="pct"/>
                  <w:vAlign w:val="center"/>
                </w:tcPr>
                <w:p>
                  <w:pPr>
                    <w:pStyle w:val="47"/>
                  </w:pPr>
                  <w:r>
                    <w:rPr>
                      <w:rFonts w:hint="eastAsia"/>
                    </w:rPr>
                    <w:t>/</w:t>
                  </w:r>
                </w:p>
              </w:tc>
              <w:tc>
                <w:tcPr>
                  <w:tcW w:w="499" w:type="pct"/>
                  <w:vAlign w:val="center"/>
                </w:tcPr>
                <w:p>
                  <w:pPr>
                    <w:pStyle w:val="47"/>
                  </w:pPr>
                  <w:r>
                    <w:rPr>
                      <w:rFonts w:hint="eastAsia"/>
                    </w:rPr>
                    <w:t>/</w:t>
                  </w:r>
                </w:p>
              </w:tc>
              <w:tc>
                <w:tcPr>
                  <w:tcW w:w="516" w:type="pct"/>
                  <w:vAlign w:val="center"/>
                </w:tcPr>
                <w:p>
                  <w:pPr>
                    <w:pStyle w:val="47"/>
                  </w:pPr>
                  <w:r>
                    <w:rPr>
                      <w:rFonts w:hint="eastAsia"/>
                    </w:rPr>
                    <w:t>/</w:t>
                  </w:r>
                </w:p>
              </w:tc>
              <w:tc>
                <w:tcPr>
                  <w:tcW w:w="1918" w:type="pct"/>
                  <w:vAlign w:val="center"/>
                </w:tcPr>
                <w:p>
                  <w:pPr>
                    <w:pStyle w:val="47"/>
                    <w:jc w:val="left"/>
                  </w:pPr>
                  <w:r>
                    <w:rPr>
                      <w:rFonts w:hint="eastAsia"/>
                    </w:rPr>
                    <w:t>经沉淀后上清液</w:t>
                  </w:r>
                  <w:r>
                    <w:t>循环使用，定期补充</w:t>
                  </w:r>
                  <w:r>
                    <w:rPr>
                      <w:rFonts w:hint="eastAsia"/>
                    </w:rPr>
                    <w:t>损耗，</w:t>
                  </w:r>
                  <w: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 w:hRule="atLeast"/>
                <w:jc w:val="center"/>
              </w:trPr>
              <w:tc>
                <w:tcPr>
                  <w:tcW w:w="369" w:type="pct"/>
                  <w:vMerge w:val="continue"/>
                  <w:vAlign w:val="center"/>
                </w:tcPr>
                <w:p>
                  <w:pPr>
                    <w:pStyle w:val="47"/>
                  </w:pPr>
                </w:p>
              </w:tc>
              <w:tc>
                <w:tcPr>
                  <w:tcW w:w="426" w:type="pct"/>
                  <w:vMerge w:val="restart"/>
                  <w:vAlign w:val="center"/>
                </w:tcPr>
                <w:p>
                  <w:pPr>
                    <w:pStyle w:val="47"/>
                  </w:pPr>
                  <w:r>
                    <w:rPr>
                      <w:rFonts w:hint="eastAsia"/>
                    </w:rPr>
                    <w:t>生活污水</w:t>
                  </w:r>
                </w:p>
              </w:tc>
              <w:tc>
                <w:tcPr>
                  <w:tcW w:w="739" w:type="pct"/>
                  <w:vAlign w:val="center"/>
                </w:tcPr>
                <w:p>
                  <w:pPr>
                    <w:pStyle w:val="47"/>
                  </w:pPr>
                  <w:r>
                    <w:t>废水量</w:t>
                  </w:r>
                </w:p>
              </w:tc>
              <w:tc>
                <w:tcPr>
                  <w:tcW w:w="530" w:type="pct"/>
                  <w:vAlign w:val="center"/>
                </w:tcPr>
                <w:p>
                  <w:pPr>
                    <w:pStyle w:val="47"/>
                  </w:pPr>
                  <w:r>
                    <w:rPr>
                      <w:rFonts w:hint="eastAsia"/>
                    </w:rPr>
                    <w:t>405</w:t>
                  </w:r>
                </w:p>
              </w:tc>
              <w:tc>
                <w:tcPr>
                  <w:tcW w:w="499" w:type="pct"/>
                  <w:vAlign w:val="center"/>
                </w:tcPr>
                <w:p>
                  <w:pPr>
                    <w:pStyle w:val="47"/>
                  </w:pPr>
                  <w:r>
                    <w:rPr>
                      <w:rFonts w:hint="eastAsia"/>
                    </w:rPr>
                    <w:t>0</w:t>
                  </w:r>
                </w:p>
              </w:tc>
              <w:tc>
                <w:tcPr>
                  <w:tcW w:w="516" w:type="pct"/>
                  <w:vAlign w:val="center"/>
                </w:tcPr>
                <w:p>
                  <w:pPr>
                    <w:pStyle w:val="47"/>
                  </w:pPr>
                  <w:r>
                    <w:rPr>
                      <w:rFonts w:hint="eastAsia"/>
                    </w:rPr>
                    <w:t>405</w:t>
                  </w:r>
                </w:p>
              </w:tc>
              <w:tc>
                <w:tcPr>
                  <w:tcW w:w="1918" w:type="pct"/>
                  <w:vMerge w:val="restart"/>
                  <w:vAlign w:val="center"/>
                </w:tcPr>
                <w:p>
                  <w:pPr>
                    <w:pStyle w:val="47"/>
                    <w:jc w:val="left"/>
                  </w:pPr>
                  <w:r>
                    <w:t>生活污水经化粪池预处理达到纳管标准后，纳入区域污水收集管网，最终经桐乡市城市污水处理有限责任公司崇福污水处理厂处理达到《城镇污水处理厂污染物排放标准》（GB18918-2002）表1中一级A标准后排入钱塘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0" w:hRule="atLeast"/>
                <w:jc w:val="center"/>
              </w:trPr>
              <w:tc>
                <w:tcPr>
                  <w:tcW w:w="369" w:type="pct"/>
                  <w:vMerge w:val="continue"/>
                  <w:vAlign w:val="center"/>
                </w:tcPr>
                <w:p>
                  <w:pPr>
                    <w:pStyle w:val="47"/>
                  </w:pPr>
                </w:p>
              </w:tc>
              <w:tc>
                <w:tcPr>
                  <w:tcW w:w="426" w:type="pct"/>
                  <w:vMerge w:val="continue"/>
                  <w:vAlign w:val="center"/>
                </w:tcPr>
                <w:p>
                  <w:pPr>
                    <w:pStyle w:val="47"/>
                  </w:pPr>
                </w:p>
              </w:tc>
              <w:tc>
                <w:tcPr>
                  <w:tcW w:w="739" w:type="pct"/>
                  <w:vAlign w:val="center"/>
                </w:tcPr>
                <w:p>
                  <w:pPr>
                    <w:pStyle w:val="47"/>
                  </w:pPr>
                  <w:r>
                    <w:t>COD</w:t>
                  </w:r>
                  <w:r>
                    <w:rPr>
                      <w:vertAlign w:val="subscript"/>
                    </w:rPr>
                    <w:t>Cr</w:t>
                  </w:r>
                </w:p>
              </w:tc>
              <w:tc>
                <w:tcPr>
                  <w:tcW w:w="530" w:type="pct"/>
                  <w:vAlign w:val="center"/>
                </w:tcPr>
                <w:p>
                  <w:pPr>
                    <w:pStyle w:val="47"/>
                  </w:pPr>
                  <w:r>
                    <w:t>0.13</w:t>
                  </w:r>
                  <w:r>
                    <w:rPr>
                      <w:rFonts w:hint="eastAsia"/>
                    </w:rPr>
                    <w:t>0</w:t>
                  </w:r>
                </w:p>
              </w:tc>
              <w:tc>
                <w:tcPr>
                  <w:tcW w:w="499" w:type="pct"/>
                  <w:vAlign w:val="center"/>
                </w:tcPr>
                <w:p>
                  <w:pPr>
                    <w:pStyle w:val="47"/>
                  </w:pPr>
                  <w:r>
                    <w:rPr>
                      <w:rFonts w:hint="eastAsia"/>
                    </w:rPr>
                    <w:t>0.110</w:t>
                  </w:r>
                </w:p>
              </w:tc>
              <w:tc>
                <w:tcPr>
                  <w:tcW w:w="516" w:type="pct"/>
                  <w:vAlign w:val="center"/>
                </w:tcPr>
                <w:p>
                  <w:pPr>
                    <w:pStyle w:val="47"/>
                  </w:pPr>
                  <w:r>
                    <w:rPr>
                      <w:rFonts w:hint="eastAsia"/>
                    </w:rPr>
                    <w:t>0.020</w:t>
                  </w:r>
                </w:p>
              </w:tc>
              <w:tc>
                <w:tcPr>
                  <w:tcW w:w="1918" w:type="pct"/>
                  <w:vMerge w:val="continue"/>
                </w:tcPr>
                <w:p>
                  <w:pPr>
                    <w:pStyle w:val="47"/>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9" w:type="pct"/>
                  <w:vMerge w:val="continue"/>
                  <w:vAlign w:val="center"/>
                </w:tcPr>
                <w:p>
                  <w:pPr>
                    <w:pStyle w:val="47"/>
                  </w:pPr>
                </w:p>
              </w:tc>
              <w:tc>
                <w:tcPr>
                  <w:tcW w:w="426" w:type="pct"/>
                  <w:vMerge w:val="continue"/>
                  <w:vAlign w:val="center"/>
                </w:tcPr>
                <w:p>
                  <w:pPr>
                    <w:pStyle w:val="47"/>
                  </w:pPr>
                </w:p>
              </w:tc>
              <w:tc>
                <w:tcPr>
                  <w:tcW w:w="739" w:type="pct"/>
                  <w:vAlign w:val="center"/>
                </w:tcPr>
                <w:p>
                  <w:pPr>
                    <w:pStyle w:val="47"/>
                  </w:pPr>
                  <w:r>
                    <w:t>NH</w:t>
                  </w:r>
                  <w:r>
                    <w:rPr>
                      <w:vertAlign w:val="subscript"/>
                    </w:rPr>
                    <w:t>3</w:t>
                  </w:r>
                  <w:r>
                    <w:t>-N</w:t>
                  </w:r>
                </w:p>
              </w:tc>
              <w:tc>
                <w:tcPr>
                  <w:tcW w:w="530" w:type="pct"/>
                  <w:vAlign w:val="center"/>
                </w:tcPr>
                <w:p>
                  <w:pPr>
                    <w:pStyle w:val="47"/>
                  </w:pPr>
                  <w:r>
                    <w:t>0.014</w:t>
                  </w:r>
                </w:p>
              </w:tc>
              <w:tc>
                <w:tcPr>
                  <w:tcW w:w="499" w:type="pct"/>
                  <w:vAlign w:val="center"/>
                </w:tcPr>
                <w:p>
                  <w:pPr>
                    <w:pStyle w:val="47"/>
                  </w:pPr>
                  <w:r>
                    <w:rPr>
                      <w:rFonts w:hint="eastAsia"/>
                    </w:rPr>
                    <w:t>0.012</w:t>
                  </w:r>
                </w:p>
              </w:tc>
              <w:tc>
                <w:tcPr>
                  <w:tcW w:w="516" w:type="pct"/>
                  <w:vAlign w:val="center"/>
                </w:tcPr>
                <w:p>
                  <w:pPr>
                    <w:pStyle w:val="47"/>
                  </w:pPr>
                  <w:r>
                    <w:rPr>
                      <w:rFonts w:hint="eastAsia"/>
                    </w:rPr>
                    <w:t>0.002</w:t>
                  </w:r>
                </w:p>
              </w:tc>
              <w:tc>
                <w:tcPr>
                  <w:tcW w:w="1918" w:type="pct"/>
                  <w:vMerge w:val="continue"/>
                </w:tcPr>
                <w:p>
                  <w:pPr>
                    <w:pStyle w:val="47"/>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9" w:type="pct"/>
                  <w:vMerge w:val="restart"/>
                  <w:vAlign w:val="center"/>
                </w:tcPr>
                <w:p>
                  <w:pPr>
                    <w:pStyle w:val="47"/>
                  </w:pPr>
                  <w:r>
                    <w:t>废气</w:t>
                  </w:r>
                </w:p>
              </w:tc>
              <w:tc>
                <w:tcPr>
                  <w:tcW w:w="426" w:type="pct"/>
                  <w:vAlign w:val="center"/>
                </w:tcPr>
                <w:p>
                  <w:pPr>
                    <w:pStyle w:val="47"/>
                  </w:pPr>
                  <w:r>
                    <w:rPr>
                      <w:rFonts w:hint="eastAsia"/>
                    </w:rPr>
                    <w:t>焊接</w:t>
                  </w:r>
                </w:p>
              </w:tc>
              <w:tc>
                <w:tcPr>
                  <w:tcW w:w="739" w:type="pct"/>
                  <w:vAlign w:val="center"/>
                </w:tcPr>
                <w:p>
                  <w:pPr>
                    <w:pStyle w:val="47"/>
                  </w:pPr>
                  <w:r>
                    <w:rPr>
                      <w:rFonts w:hint="eastAsia"/>
                    </w:rPr>
                    <w:t>烟尘</w:t>
                  </w:r>
                </w:p>
              </w:tc>
              <w:tc>
                <w:tcPr>
                  <w:tcW w:w="530" w:type="pct"/>
                  <w:vAlign w:val="center"/>
                </w:tcPr>
                <w:p>
                  <w:pPr>
                    <w:pStyle w:val="47"/>
                  </w:pPr>
                  <w:r>
                    <w:rPr>
                      <w:rFonts w:hint="eastAsia"/>
                    </w:rPr>
                    <w:t>0.003</w:t>
                  </w:r>
                </w:p>
              </w:tc>
              <w:tc>
                <w:tcPr>
                  <w:tcW w:w="499" w:type="pct"/>
                  <w:vAlign w:val="center"/>
                </w:tcPr>
                <w:p>
                  <w:pPr>
                    <w:pStyle w:val="47"/>
                  </w:pPr>
                  <w:r>
                    <w:rPr>
                      <w:rFonts w:hint="eastAsia"/>
                    </w:rPr>
                    <w:t>0.002</w:t>
                  </w:r>
                </w:p>
              </w:tc>
              <w:tc>
                <w:tcPr>
                  <w:tcW w:w="516" w:type="pct"/>
                  <w:vAlign w:val="center"/>
                </w:tcPr>
                <w:p>
                  <w:pPr>
                    <w:pStyle w:val="47"/>
                  </w:pPr>
                  <w:r>
                    <w:rPr>
                      <w:rFonts w:hint="eastAsia"/>
                    </w:rPr>
                    <w:t>0.001</w:t>
                  </w:r>
                </w:p>
              </w:tc>
              <w:tc>
                <w:tcPr>
                  <w:tcW w:w="1918" w:type="pct"/>
                  <w:vAlign w:val="center"/>
                </w:tcPr>
                <w:p>
                  <w:pPr>
                    <w:pStyle w:val="47"/>
                    <w:jc w:val="left"/>
                  </w:pPr>
                  <w:r>
                    <w:rPr>
                      <w:rFonts w:hint="eastAsia"/>
                    </w:rPr>
                    <w:t>在焊接设备上方设置集气罩（收集率按大于80%），收集的烟尘使用移动式焊接烟尘净化器处理（滤芯除尘，处理效率按</w:t>
                  </w:r>
                  <w:r>
                    <w:t>9</w:t>
                  </w:r>
                  <w:r>
                    <w:rPr>
                      <w:rFonts w:hint="eastAsia"/>
                    </w:rPr>
                    <w:t>0</w:t>
                  </w:r>
                  <w:r>
                    <w:t>%</w:t>
                  </w:r>
                  <w:r>
                    <w:rPr>
                      <w:rFonts w:hint="eastAsia"/>
                    </w:rPr>
                    <w:t>计）后，尾气在车间内无组织排放。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5" w:hRule="atLeast"/>
                <w:jc w:val="center"/>
              </w:trPr>
              <w:tc>
                <w:tcPr>
                  <w:tcW w:w="369" w:type="pct"/>
                  <w:vMerge w:val="continue"/>
                  <w:vAlign w:val="center"/>
                </w:tcPr>
                <w:p>
                  <w:pPr>
                    <w:pStyle w:val="47"/>
                  </w:pPr>
                </w:p>
              </w:tc>
              <w:tc>
                <w:tcPr>
                  <w:tcW w:w="426" w:type="pct"/>
                  <w:vMerge w:val="restart"/>
                  <w:vAlign w:val="center"/>
                </w:tcPr>
                <w:p>
                  <w:pPr>
                    <w:pStyle w:val="47"/>
                  </w:pPr>
                  <w:r>
                    <w:rPr>
                      <w:rFonts w:hint="eastAsia"/>
                    </w:rPr>
                    <w:t>浸漆、烘干</w:t>
                  </w:r>
                </w:p>
              </w:tc>
              <w:tc>
                <w:tcPr>
                  <w:tcW w:w="739" w:type="pct"/>
                  <w:vAlign w:val="center"/>
                </w:tcPr>
                <w:p>
                  <w:pPr>
                    <w:pStyle w:val="47"/>
                  </w:pPr>
                  <w:r>
                    <w:rPr>
                      <w:rFonts w:hint="eastAsia"/>
                    </w:rPr>
                    <w:t>非甲烷总烃</w:t>
                  </w:r>
                </w:p>
              </w:tc>
              <w:tc>
                <w:tcPr>
                  <w:tcW w:w="530" w:type="pct"/>
                  <w:vAlign w:val="center"/>
                </w:tcPr>
                <w:p>
                  <w:pPr>
                    <w:pStyle w:val="47"/>
                  </w:pPr>
                  <w:r>
                    <w:rPr>
                      <w:rFonts w:hint="eastAsia"/>
                    </w:rPr>
                    <w:t>0.460</w:t>
                  </w:r>
                </w:p>
              </w:tc>
              <w:tc>
                <w:tcPr>
                  <w:tcW w:w="499" w:type="pct"/>
                  <w:vAlign w:val="center"/>
                </w:tcPr>
                <w:p>
                  <w:pPr>
                    <w:pStyle w:val="47"/>
                  </w:pPr>
                  <w:r>
                    <w:rPr>
                      <w:rFonts w:hint="eastAsia"/>
                    </w:rPr>
                    <w:t>0.373</w:t>
                  </w:r>
                </w:p>
              </w:tc>
              <w:tc>
                <w:tcPr>
                  <w:tcW w:w="516" w:type="pct"/>
                  <w:vAlign w:val="center"/>
                </w:tcPr>
                <w:p>
                  <w:pPr>
                    <w:pStyle w:val="47"/>
                  </w:pPr>
                  <w:r>
                    <w:rPr>
                      <w:rFonts w:hint="eastAsia"/>
                    </w:rPr>
                    <w:t>0.087</w:t>
                  </w:r>
                </w:p>
              </w:tc>
              <w:tc>
                <w:tcPr>
                  <w:tcW w:w="1918" w:type="pct"/>
                  <w:vMerge w:val="restart"/>
                  <w:vAlign w:val="center"/>
                </w:tcPr>
                <w:p>
                  <w:pPr>
                    <w:pStyle w:val="47"/>
                    <w:jc w:val="left"/>
                  </w:pPr>
                  <w:r>
                    <w:rPr>
                      <w:rFonts w:hint="eastAsia"/>
                    </w:rPr>
                    <w:t>设备置于独立密闭空间内，</w:t>
                  </w:r>
                  <w:r>
                    <w:t>保持微负压状态对废气进行收集，</w:t>
                  </w:r>
                  <w:r>
                    <w:rPr>
                      <w:rFonts w:hint="eastAsia"/>
                      <w:szCs w:val="22"/>
                    </w:rPr>
                    <w:t>再</w:t>
                  </w:r>
                  <w:r>
                    <w:t>经</w:t>
                  </w:r>
                  <w:r>
                    <w:rPr>
                      <w:rFonts w:hint="eastAsia"/>
                    </w:rPr>
                    <w:t>“一级活性炭+二级活性炭”吸附处理</w:t>
                  </w:r>
                  <w:r>
                    <w:t>后通过</w:t>
                  </w:r>
                  <w:r>
                    <w:rPr>
                      <w:rFonts w:hint="eastAsia"/>
                    </w:rPr>
                    <w:t>20</w:t>
                  </w:r>
                  <w:r>
                    <w:t>m高以上的排气筒高空排放，废气收集效率以90%计，净化效率以90%计</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9" w:type="pct"/>
                  <w:vMerge w:val="continue"/>
                  <w:vAlign w:val="center"/>
                </w:tcPr>
                <w:p>
                  <w:pPr>
                    <w:pStyle w:val="47"/>
                  </w:pPr>
                </w:p>
              </w:tc>
              <w:tc>
                <w:tcPr>
                  <w:tcW w:w="426" w:type="pct"/>
                  <w:vMerge w:val="continue"/>
                  <w:vAlign w:val="center"/>
                </w:tcPr>
                <w:p>
                  <w:pPr>
                    <w:pStyle w:val="47"/>
                  </w:pPr>
                </w:p>
              </w:tc>
              <w:tc>
                <w:tcPr>
                  <w:tcW w:w="739" w:type="pct"/>
                  <w:vAlign w:val="center"/>
                </w:tcPr>
                <w:p>
                  <w:pPr>
                    <w:pStyle w:val="47"/>
                  </w:pPr>
                  <w:r>
                    <w:rPr>
                      <w:rFonts w:hint="eastAsia"/>
                    </w:rPr>
                    <w:t>恶臭</w:t>
                  </w:r>
                </w:p>
              </w:tc>
              <w:tc>
                <w:tcPr>
                  <w:tcW w:w="530" w:type="pct"/>
                  <w:vAlign w:val="center"/>
                </w:tcPr>
                <w:p>
                  <w:pPr>
                    <w:pStyle w:val="47"/>
                  </w:pPr>
                  <w:r>
                    <w:rPr>
                      <w:rFonts w:hint="eastAsia"/>
                    </w:rPr>
                    <w:t>2~3级</w:t>
                  </w:r>
                </w:p>
              </w:tc>
              <w:tc>
                <w:tcPr>
                  <w:tcW w:w="499" w:type="pct"/>
                  <w:vAlign w:val="center"/>
                </w:tcPr>
                <w:p>
                  <w:pPr>
                    <w:pStyle w:val="47"/>
                  </w:pPr>
                  <w:r>
                    <w:rPr>
                      <w:rFonts w:hint="eastAsia"/>
                    </w:rPr>
                    <w:t>/</w:t>
                  </w:r>
                </w:p>
              </w:tc>
              <w:tc>
                <w:tcPr>
                  <w:tcW w:w="516" w:type="pct"/>
                  <w:vAlign w:val="center"/>
                </w:tcPr>
                <w:p>
                  <w:pPr>
                    <w:pStyle w:val="47"/>
                  </w:pPr>
                  <w:r>
                    <w:rPr>
                      <w:rFonts w:hint="eastAsia"/>
                    </w:rPr>
                    <w:t>0~1级</w:t>
                  </w:r>
                </w:p>
              </w:tc>
              <w:tc>
                <w:tcPr>
                  <w:tcW w:w="1918" w:type="pct"/>
                  <w:vMerge w:val="continue"/>
                  <w:vAlign w:val="center"/>
                </w:tcPr>
                <w:p>
                  <w:pPr>
                    <w:pStyle w:val="47"/>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9" w:type="pct"/>
                  <w:vMerge w:val="restart"/>
                  <w:vAlign w:val="center"/>
                </w:tcPr>
                <w:p>
                  <w:pPr>
                    <w:pStyle w:val="47"/>
                  </w:pPr>
                  <w:r>
                    <w:t>固废</w:t>
                  </w:r>
                </w:p>
              </w:tc>
              <w:tc>
                <w:tcPr>
                  <w:tcW w:w="426" w:type="pct"/>
                  <w:vMerge w:val="restart"/>
                  <w:vAlign w:val="center"/>
                </w:tcPr>
                <w:p>
                  <w:pPr>
                    <w:pStyle w:val="47"/>
                  </w:pPr>
                  <w:r>
                    <w:t>一般固废</w:t>
                  </w:r>
                </w:p>
              </w:tc>
              <w:tc>
                <w:tcPr>
                  <w:tcW w:w="739" w:type="pct"/>
                  <w:vAlign w:val="center"/>
                </w:tcPr>
                <w:p>
                  <w:pPr>
                    <w:pStyle w:val="47"/>
                  </w:pPr>
                  <w:r>
                    <w:t>一般包装材料</w:t>
                  </w:r>
                </w:p>
              </w:tc>
              <w:tc>
                <w:tcPr>
                  <w:tcW w:w="530" w:type="pct"/>
                  <w:vAlign w:val="center"/>
                </w:tcPr>
                <w:p>
                  <w:pPr>
                    <w:pStyle w:val="47"/>
                  </w:pPr>
                  <w:r>
                    <w:t>4.0</w:t>
                  </w:r>
                </w:p>
              </w:tc>
              <w:tc>
                <w:tcPr>
                  <w:tcW w:w="499" w:type="pct"/>
                  <w:vAlign w:val="center"/>
                </w:tcPr>
                <w:p>
                  <w:pPr>
                    <w:pStyle w:val="47"/>
                  </w:pPr>
                  <w:r>
                    <w:t>4.0</w:t>
                  </w:r>
                </w:p>
              </w:tc>
              <w:tc>
                <w:tcPr>
                  <w:tcW w:w="516" w:type="pct"/>
                  <w:vAlign w:val="center"/>
                </w:tcPr>
                <w:p>
                  <w:pPr>
                    <w:pStyle w:val="47"/>
                  </w:pPr>
                  <w:r>
                    <w:rPr>
                      <w:rFonts w:hint="eastAsia"/>
                    </w:rPr>
                    <w:t>0</w:t>
                  </w:r>
                </w:p>
              </w:tc>
              <w:tc>
                <w:tcPr>
                  <w:tcW w:w="1918" w:type="pct"/>
                  <w:vMerge w:val="restart"/>
                  <w:vAlign w:val="center"/>
                </w:tcPr>
                <w:p>
                  <w:pPr>
                    <w:pStyle w:val="47"/>
                    <w:jc w:val="left"/>
                  </w:pPr>
                  <w:r>
                    <w:t>收集后外售综合利用。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9" w:type="pct"/>
                  <w:vMerge w:val="continue"/>
                  <w:vAlign w:val="center"/>
                </w:tcPr>
                <w:p>
                  <w:pPr>
                    <w:pStyle w:val="47"/>
                  </w:pPr>
                </w:p>
              </w:tc>
              <w:tc>
                <w:tcPr>
                  <w:tcW w:w="426" w:type="pct"/>
                  <w:vMerge w:val="continue"/>
                  <w:vAlign w:val="center"/>
                </w:tcPr>
                <w:p>
                  <w:pPr>
                    <w:pStyle w:val="47"/>
                  </w:pPr>
                </w:p>
              </w:tc>
              <w:tc>
                <w:tcPr>
                  <w:tcW w:w="739" w:type="pct"/>
                  <w:vAlign w:val="center"/>
                </w:tcPr>
                <w:p>
                  <w:pPr>
                    <w:pStyle w:val="47"/>
                  </w:pPr>
                  <w:r>
                    <w:rPr>
                      <w:rFonts w:hint="eastAsia"/>
                    </w:rPr>
                    <w:t>金属边角料</w:t>
                  </w:r>
                </w:p>
              </w:tc>
              <w:tc>
                <w:tcPr>
                  <w:tcW w:w="530" w:type="pct"/>
                  <w:vAlign w:val="center"/>
                </w:tcPr>
                <w:p>
                  <w:pPr>
                    <w:pStyle w:val="47"/>
                  </w:pPr>
                  <w:r>
                    <w:t>5.0</w:t>
                  </w:r>
                </w:p>
              </w:tc>
              <w:tc>
                <w:tcPr>
                  <w:tcW w:w="499" w:type="pct"/>
                  <w:vAlign w:val="center"/>
                </w:tcPr>
                <w:p>
                  <w:pPr>
                    <w:pStyle w:val="47"/>
                  </w:pPr>
                  <w:r>
                    <w:t>5.0</w:t>
                  </w:r>
                </w:p>
              </w:tc>
              <w:tc>
                <w:tcPr>
                  <w:tcW w:w="516" w:type="pct"/>
                  <w:vAlign w:val="center"/>
                </w:tcPr>
                <w:p>
                  <w:pPr>
                    <w:pStyle w:val="47"/>
                  </w:pPr>
                  <w:r>
                    <w:rPr>
                      <w:rFonts w:hint="eastAsia"/>
                    </w:rPr>
                    <w:t>0</w:t>
                  </w:r>
                </w:p>
              </w:tc>
              <w:tc>
                <w:tcPr>
                  <w:tcW w:w="1918" w:type="pct"/>
                  <w:vMerge w:val="continue"/>
                  <w:vAlign w:val="center"/>
                </w:tcPr>
                <w:p>
                  <w:pPr>
                    <w:pStyle w:val="47"/>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9" w:type="pct"/>
                  <w:vMerge w:val="continue"/>
                  <w:vAlign w:val="center"/>
                </w:tcPr>
                <w:p>
                  <w:pPr>
                    <w:pStyle w:val="47"/>
                  </w:pPr>
                </w:p>
              </w:tc>
              <w:tc>
                <w:tcPr>
                  <w:tcW w:w="426" w:type="pct"/>
                  <w:vMerge w:val="continue"/>
                  <w:vAlign w:val="center"/>
                </w:tcPr>
                <w:p>
                  <w:pPr>
                    <w:pStyle w:val="47"/>
                  </w:pPr>
                </w:p>
              </w:tc>
              <w:tc>
                <w:tcPr>
                  <w:tcW w:w="739" w:type="pct"/>
                  <w:vAlign w:val="center"/>
                </w:tcPr>
                <w:p>
                  <w:pPr>
                    <w:pStyle w:val="47"/>
                  </w:pPr>
                  <w:r>
                    <w:t>次品</w:t>
                  </w:r>
                </w:p>
              </w:tc>
              <w:tc>
                <w:tcPr>
                  <w:tcW w:w="530" w:type="pct"/>
                  <w:vAlign w:val="center"/>
                </w:tcPr>
                <w:p>
                  <w:pPr>
                    <w:pStyle w:val="47"/>
                  </w:pPr>
                  <w:r>
                    <w:t>1.0</w:t>
                  </w:r>
                </w:p>
              </w:tc>
              <w:tc>
                <w:tcPr>
                  <w:tcW w:w="499" w:type="pct"/>
                  <w:vAlign w:val="center"/>
                </w:tcPr>
                <w:p>
                  <w:pPr>
                    <w:pStyle w:val="47"/>
                  </w:pPr>
                  <w:r>
                    <w:t>1.0</w:t>
                  </w:r>
                </w:p>
              </w:tc>
              <w:tc>
                <w:tcPr>
                  <w:tcW w:w="516" w:type="pct"/>
                  <w:vAlign w:val="center"/>
                </w:tcPr>
                <w:p>
                  <w:pPr>
                    <w:pStyle w:val="47"/>
                  </w:pPr>
                  <w:r>
                    <w:rPr>
                      <w:rFonts w:hint="eastAsia"/>
                    </w:rPr>
                    <w:t>0</w:t>
                  </w:r>
                </w:p>
              </w:tc>
              <w:tc>
                <w:tcPr>
                  <w:tcW w:w="1918" w:type="pct"/>
                  <w:vMerge w:val="continue"/>
                  <w:vAlign w:val="center"/>
                </w:tcPr>
                <w:p>
                  <w:pPr>
                    <w:pStyle w:val="47"/>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9" w:type="pct"/>
                  <w:vMerge w:val="continue"/>
                  <w:vAlign w:val="center"/>
                </w:tcPr>
                <w:p>
                  <w:pPr>
                    <w:pStyle w:val="47"/>
                  </w:pPr>
                </w:p>
              </w:tc>
              <w:tc>
                <w:tcPr>
                  <w:tcW w:w="426" w:type="pct"/>
                  <w:vMerge w:val="continue"/>
                  <w:vAlign w:val="center"/>
                </w:tcPr>
                <w:p>
                  <w:pPr>
                    <w:pStyle w:val="47"/>
                  </w:pPr>
                </w:p>
              </w:tc>
              <w:tc>
                <w:tcPr>
                  <w:tcW w:w="739" w:type="pct"/>
                  <w:vAlign w:val="center"/>
                </w:tcPr>
                <w:p>
                  <w:pPr>
                    <w:pStyle w:val="47"/>
                  </w:pPr>
                  <w:r>
                    <w:rPr>
                      <w:rFonts w:hint="eastAsia"/>
                    </w:rPr>
                    <w:t>金属沉渣</w:t>
                  </w:r>
                </w:p>
              </w:tc>
              <w:tc>
                <w:tcPr>
                  <w:tcW w:w="530" w:type="pct"/>
                  <w:vAlign w:val="center"/>
                </w:tcPr>
                <w:p>
                  <w:pPr>
                    <w:pStyle w:val="47"/>
                  </w:pPr>
                  <w:r>
                    <w:rPr>
                      <w:rFonts w:hint="eastAsia"/>
                    </w:rPr>
                    <w:t>0.1</w:t>
                  </w:r>
                </w:p>
              </w:tc>
              <w:tc>
                <w:tcPr>
                  <w:tcW w:w="499" w:type="pct"/>
                  <w:vAlign w:val="center"/>
                </w:tcPr>
                <w:p>
                  <w:pPr>
                    <w:pStyle w:val="47"/>
                  </w:pPr>
                  <w:r>
                    <w:rPr>
                      <w:rFonts w:hint="eastAsia"/>
                    </w:rPr>
                    <w:t>0.1</w:t>
                  </w:r>
                </w:p>
              </w:tc>
              <w:tc>
                <w:tcPr>
                  <w:tcW w:w="516" w:type="pct"/>
                  <w:vAlign w:val="center"/>
                </w:tcPr>
                <w:p>
                  <w:pPr>
                    <w:pStyle w:val="47"/>
                  </w:pPr>
                  <w:r>
                    <w:rPr>
                      <w:rFonts w:hint="eastAsia"/>
                    </w:rPr>
                    <w:t>0</w:t>
                  </w:r>
                </w:p>
              </w:tc>
              <w:tc>
                <w:tcPr>
                  <w:tcW w:w="1918" w:type="pct"/>
                  <w:vMerge w:val="continue"/>
                  <w:vAlign w:val="center"/>
                </w:tcPr>
                <w:p>
                  <w:pPr>
                    <w:pStyle w:val="47"/>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9" w:type="pct"/>
                  <w:vMerge w:val="continue"/>
                  <w:vAlign w:val="center"/>
                </w:tcPr>
                <w:p>
                  <w:pPr>
                    <w:pStyle w:val="47"/>
                  </w:pPr>
                </w:p>
              </w:tc>
              <w:tc>
                <w:tcPr>
                  <w:tcW w:w="426" w:type="pct"/>
                  <w:vMerge w:val="continue"/>
                  <w:vAlign w:val="center"/>
                </w:tcPr>
                <w:p>
                  <w:pPr>
                    <w:pStyle w:val="47"/>
                  </w:pPr>
                </w:p>
              </w:tc>
              <w:tc>
                <w:tcPr>
                  <w:tcW w:w="739" w:type="pct"/>
                  <w:vAlign w:val="center"/>
                </w:tcPr>
                <w:p>
                  <w:pPr>
                    <w:pStyle w:val="47"/>
                  </w:pPr>
                  <w:r>
                    <w:rPr>
                      <w:rFonts w:hint="eastAsia"/>
                    </w:rPr>
                    <w:t>废滤芯</w:t>
                  </w:r>
                </w:p>
              </w:tc>
              <w:tc>
                <w:tcPr>
                  <w:tcW w:w="530" w:type="pct"/>
                  <w:vAlign w:val="center"/>
                </w:tcPr>
                <w:p>
                  <w:pPr>
                    <w:pStyle w:val="47"/>
                  </w:pPr>
                  <w:r>
                    <w:rPr>
                      <w:rFonts w:hint="eastAsia"/>
                    </w:rPr>
                    <w:t>0.01</w:t>
                  </w:r>
                </w:p>
              </w:tc>
              <w:tc>
                <w:tcPr>
                  <w:tcW w:w="499" w:type="pct"/>
                  <w:vAlign w:val="center"/>
                </w:tcPr>
                <w:p>
                  <w:pPr>
                    <w:pStyle w:val="47"/>
                  </w:pPr>
                  <w:r>
                    <w:rPr>
                      <w:rFonts w:hint="eastAsia"/>
                    </w:rPr>
                    <w:t>0.01</w:t>
                  </w:r>
                </w:p>
              </w:tc>
              <w:tc>
                <w:tcPr>
                  <w:tcW w:w="516" w:type="pct"/>
                  <w:vAlign w:val="center"/>
                </w:tcPr>
                <w:p>
                  <w:pPr>
                    <w:pStyle w:val="47"/>
                  </w:pPr>
                  <w:r>
                    <w:rPr>
                      <w:rFonts w:hint="eastAsia"/>
                    </w:rPr>
                    <w:t>0</w:t>
                  </w:r>
                </w:p>
              </w:tc>
              <w:tc>
                <w:tcPr>
                  <w:tcW w:w="1918" w:type="pct"/>
                  <w:vMerge w:val="continue"/>
                  <w:vAlign w:val="center"/>
                </w:tcPr>
                <w:p>
                  <w:pPr>
                    <w:pStyle w:val="47"/>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9" w:type="pct"/>
                  <w:vMerge w:val="continue"/>
                  <w:vAlign w:val="center"/>
                </w:tcPr>
                <w:p>
                  <w:pPr>
                    <w:pStyle w:val="47"/>
                  </w:pPr>
                </w:p>
              </w:tc>
              <w:tc>
                <w:tcPr>
                  <w:tcW w:w="426" w:type="pct"/>
                  <w:vMerge w:val="restart"/>
                  <w:vAlign w:val="center"/>
                </w:tcPr>
                <w:p>
                  <w:pPr>
                    <w:pStyle w:val="47"/>
                  </w:pPr>
                  <w:r>
                    <w:rPr>
                      <w:rFonts w:hint="eastAsia"/>
                    </w:rPr>
                    <w:t>危险废物</w:t>
                  </w:r>
                </w:p>
              </w:tc>
              <w:tc>
                <w:tcPr>
                  <w:tcW w:w="739" w:type="pct"/>
                  <w:vAlign w:val="center"/>
                </w:tcPr>
                <w:p>
                  <w:pPr>
                    <w:pStyle w:val="47"/>
                  </w:pPr>
                  <w:r>
                    <w:t>废乳化液</w:t>
                  </w:r>
                </w:p>
              </w:tc>
              <w:tc>
                <w:tcPr>
                  <w:tcW w:w="530" w:type="pct"/>
                  <w:vAlign w:val="center"/>
                </w:tcPr>
                <w:p>
                  <w:pPr>
                    <w:pStyle w:val="47"/>
                  </w:pPr>
                  <w:r>
                    <w:rPr>
                      <w:rFonts w:hint="eastAsia"/>
                      <w:szCs w:val="21"/>
                    </w:rPr>
                    <w:t>1.0</w:t>
                  </w:r>
                </w:p>
              </w:tc>
              <w:tc>
                <w:tcPr>
                  <w:tcW w:w="499" w:type="pct"/>
                  <w:vAlign w:val="center"/>
                </w:tcPr>
                <w:p>
                  <w:pPr>
                    <w:pStyle w:val="47"/>
                  </w:pPr>
                  <w:r>
                    <w:rPr>
                      <w:rFonts w:hint="eastAsia"/>
                      <w:szCs w:val="21"/>
                    </w:rPr>
                    <w:t>1.0</w:t>
                  </w:r>
                </w:p>
              </w:tc>
              <w:tc>
                <w:tcPr>
                  <w:tcW w:w="516" w:type="pct"/>
                  <w:vAlign w:val="center"/>
                </w:tcPr>
                <w:p>
                  <w:pPr>
                    <w:pStyle w:val="47"/>
                  </w:pPr>
                  <w:r>
                    <w:rPr>
                      <w:rFonts w:hint="eastAsia"/>
                    </w:rPr>
                    <w:t>0</w:t>
                  </w:r>
                </w:p>
              </w:tc>
              <w:tc>
                <w:tcPr>
                  <w:tcW w:w="1918" w:type="pct"/>
                  <w:vMerge w:val="restart"/>
                  <w:vAlign w:val="center"/>
                </w:tcPr>
                <w:p>
                  <w:pPr>
                    <w:pStyle w:val="47"/>
                    <w:jc w:val="left"/>
                  </w:pPr>
                  <w:r>
                    <w:rPr>
                      <w:rFonts w:hint="eastAsia"/>
                    </w:rPr>
                    <w:t>收集后在厂区内危废仓库暂存，定期委托有相关危废处理资质的单位进行集中处置。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9" w:type="pct"/>
                  <w:vMerge w:val="continue"/>
                  <w:vAlign w:val="center"/>
                </w:tcPr>
                <w:p>
                  <w:pPr>
                    <w:pStyle w:val="47"/>
                  </w:pPr>
                </w:p>
              </w:tc>
              <w:tc>
                <w:tcPr>
                  <w:tcW w:w="426" w:type="pct"/>
                  <w:vMerge w:val="continue"/>
                  <w:vAlign w:val="center"/>
                </w:tcPr>
                <w:p>
                  <w:pPr>
                    <w:pStyle w:val="47"/>
                  </w:pPr>
                </w:p>
              </w:tc>
              <w:tc>
                <w:tcPr>
                  <w:tcW w:w="739" w:type="pct"/>
                  <w:vAlign w:val="center"/>
                </w:tcPr>
                <w:p>
                  <w:pPr>
                    <w:pStyle w:val="47"/>
                  </w:pPr>
                  <w:r>
                    <w:rPr>
                      <w:rFonts w:hint="eastAsia"/>
                    </w:rPr>
                    <w:t>废漆料</w:t>
                  </w:r>
                </w:p>
              </w:tc>
              <w:tc>
                <w:tcPr>
                  <w:tcW w:w="530" w:type="pct"/>
                  <w:vAlign w:val="center"/>
                </w:tcPr>
                <w:p>
                  <w:pPr>
                    <w:pStyle w:val="47"/>
                  </w:pPr>
                  <w:r>
                    <w:rPr>
                      <w:rFonts w:hint="eastAsia"/>
                      <w:szCs w:val="21"/>
                    </w:rPr>
                    <w:t>0.2</w:t>
                  </w:r>
                </w:p>
              </w:tc>
              <w:tc>
                <w:tcPr>
                  <w:tcW w:w="499" w:type="pct"/>
                  <w:vAlign w:val="center"/>
                </w:tcPr>
                <w:p>
                  <w:pPr>
                    <w:pStyle w:val="47"/>
                  </w:pPr>
                  <w:r>
                    <w:rPr>
                      <w:rFonts w:hint="eastAsia"/>
                      <w:szCs w:val="21"/>
                    </w:rPr>
                    <w:t>0.2</w:t>
                  </w:r>
                </w:p>
              </w:tc>
              <w:tc>
                <w:tcPr>
                  <w:tcW w:w="516" w:type="pct"/>
                  <w:vAlign w:val="center"/>
                </w:tcPr>
                <w:p>
                  <w:pPr>
                    <w:pStyle w:val="47"/>
                  </w:pPr>
                  <w:r>
                    <w:rPr>
                      <w:rFonts w:hint="eastAsia"/>
                    </w:rPr>
                    <w:t>0</w:t>
                  </w:r>
                </w:p>
              </w:tc>
              <w:tc>
                <w:tcPr>
                  <w:tcW w:w="1918" w:type="pct"/>
                  <w:vMerge w:val="continue"/>
                  <w:vAlign w:val="center"/>
                </w:tcPr>
                <w:p>
                  <w:pPr>
                    <w:pStyle w:val="47"/>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9" w:type="pct"/>
                  <w:vMerge w:val="continue"/>
                  <w:vAlign w:val="center"/>
                </w:tcPr>
                <w:p>
                  <w:pPr>
                    <w:pStyle w:val="47"/>
                  </w:pPr>
                </w:p>
              </w:tc>
              <w:tc>
                <w:tcPr>
                  <w:tcW w:w="426" w:type="pct"/>
                  <w:vMerge w:val="continue"/>
                  <w:vAlign w:val="center"/>
                </w:tcPr>
                <w:p>
                  <w:pPr>
                    <w:pStyle w:val="47"/>
                  </w:pPr>
                </w:p>
              </w:tc>
              <w:tc>
                <w:tcPr>
                  <w:tcW w:w="739" w:type="pct"/>
                  <w:vAlign w:val="center"/>
                </w:tcPr>
                <w:p>
                  <w:pPr>
                    <w:pStyle w:val="47"/>
                  </w:pPr>
                  <w:r>
                    <w:t>废包装桶</w:t>
                  </w:r>
                </w:p>
              </w:tc>
              <w:tc>
                <w:tcPr>
                  <w:tcW w:w="530" w:type="pct"/>
                  <w:vAlign w:val="center"/>
                </w:tcPr>
                <w:p>
                  <w:pPr>
                    <w:pStyle w:val="47"/>
                  </w:pPr>
                  <w:r>
                    <w:rPr>
                      <w:szCs w:val="21"/>
                    </w:rPr>
                    <w:t>0.</w:t>
                  </w:r>
                  <w:r>
                    <w:rPr>
                      <w:rFonts w:hint="eastAsia"/>
                      <w:szCs w:val="21"/>
                    </w:rPr>
                    <w:t>3</w:t>
                  </w:r>
                </w:p>
              </w:tc>
              <w:tc>
                <w:tcPr>
                  <w:tcW w:w="499" w:type="pct"/>
                  <w:vAlign w:val="center"/>
                </w:tcPr>
                <w:p>
                  <w:pPr>
                    <w:pStyle w:val="47"/>
                  </w:pPr>
                  <w:r>
                    <w:rPr>
                      <w:szCs w:val="21"/>
                    </w:rPr>
                    <w:t>0.</w:t>
                  </w:r>
                  <w:r>
                    <w:rPr>
                      <w:rFonts w:hint="eastAsia"/>
                      <w:szCs w:val="21"/>
                    </w:rPr>
                    <w:t>3</w:t>
                  </w:r>
                </w:p>
              </w:tc>
              <w:tc>
                <w:tcPr>
                  <w:tcW w:w="516" w:type="pct"/>
                  <w:vAlign w:val="center"/>
                </w:tcPr>
                <w:p>
                  <w:pPr>
                    <w:pStyle w:val="47"/>
                  </w:pPr>
                  <w:r>
                    <w:rPr>
                      <w:rFonts w:hint="eastAsia"/>
                    </w:rPr>
                    <w:t>0</w:t>
                  </w:r>
                </w:p>
              </w:tc>
              <w:tc>
                <w:tcPr>
                  <w:tcW w:w="1918" w:type="pct"/>
                  <w:vMerge w:val="continue"/>
                  <w:vAlign w:val="center"/>
                </w:tcPr>
                <w:p>
                  <w:pPr>
                    <w:pStyle w:val="47"/>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9" w:type="pct"/>
                  <w:vMerge w:val="continue"/>
                  <w:vAlign w:val="center"/>
                </w:tcPr>
                <w:p>
                  <w:pPr>
                    <w:pStyle w:val="47"/>
                  </w:pPr>
                </w:p>
              </w:tc>
              <w:tc>
                <w:tcPr>
                  <w:tcW w:w="426" w:type="pct"/>
                  <w:vMerge w:val="continue"/>
                  <w:vAlign w:val="center"/>
                </w:tcPr>
                <w:p>
                  <w:pPr>
                    <w:pStyle w:val="47"/>
                  </w:pPr>
                </w:p>
              </w:tc>
              <w:tc>
                <w:tcPr>
                  <w:tcW w:w="739" w:type="pct"/>
                  <w:vAlign w:val="center"/>
                </w:tcPr>
                <w:p>
                  <w:pPr>
                    <w:pStyle w:val="47"/>
                  </w:pPr>
                  <w:r>
                    <w:rPr>
                      <w:rFonts w:hint="eastAsia"/>
                    </w:rPr>
                    <w:t>废机油</w:t>
                  </w:r>
                </w:p>
              </w:tc>
              <w:tc>
                <w:tcPr>
                  <w:tcW w:w="530" w:type="pct"/>
                  <w:vAlign w:val="center"/>
                </w:tcPr>
                <w:p>
                  <w:pPr>
                    <w:pStyle w:val="47"/>
                  </w:pPr>
                  <w:r>
                    <w:rPr>
                      <w:rFonts w:hint="eastAsia"/>
                      <w:szCs w:val="21"/>
                    </w:rPr>
                    <w:t>0.02</w:t>
                  </w:r>
                </w:p>
              </w:tc>
              <w:tc>
                <w:tcPr>
                  <w:tcW w:w="499" w:type="pct"/>
                  <w:vAlign w:val="center"/>
                </w:tcPr>
                <w:p>
                  <w:pPr>
                    <w:pStyle w:val="47"/>
                  </w:pPr>
                  <w:r>
                    <w:rPr>
                      <w:rFonts w:hint="eastAsia"/>
                      <w:szCs w:val="21"/>
                    </w:rPr>
                    <w:t>0.02</w:t>
                  </w:r>
                </w:p>
              </w:tc>
              <w:tc>
                <w:tcPr>
                  <w:tcW w:w="516" w:type="pct"/>
                  <w:vAlign w:val="center"/>
                </w:tcPr>
                <w:p>
                  <w:pPr>
                    <w:pStyle w:val="47"/>
                  </w:pPr>
                  <w:r>
                    <w:rPr>
                      <w:rFonts w:hint="eastAsia"/>
                    </w:rPr>
                    <w:t>0</w:t>
                  </w:r>
                </w:p>
              </w:tc>
              <w:tc>
                <w:tcPr>
                  <w:tcW w:w="1918" w:type="pct"/>
                  <w:vMerge w:val="continue"/>
                  <w:vAlign w:val="center"/>
                </w:tcPr>
                <w:p>
                  <w:pPr>
                    <w:pStyle w:val="47"/>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9" w:type="pct"/>
                  <w:vMerge w:val="continue"/>
                  <w:vAlign w:val="center"/>
                </w:tcPr>
                <w:p>
                  <w:pPr>
                    <w:pStyle w:val="47"/>
                  </w:pPr>
                </w:p>
              </w:tc>
              <w:tc>
                <w:tcPr>
                  <w:tcW w:w="426" w:type="pct"/>
                  <w:vMerge w:val="continue"/>
                  <w:vAlign w:val="center"/>
                </w:tcPr>
                <w:p>
                  <w:pPr>
                    <w:pStyle w:val="47"/>
                  </w:pPr>
                </w:p>
              </w:tc>
              <w:tc>
                <w:tcPr>
                  <w:tcW w:w="739" w:type="pct"/>
                  <w:vAlign w:val="center"/>
                </w:tcPr>
                <w:p>
                  <w:pPr>
                    <w:pStyle w:val="47"/>
                  </w:pPr>
                  <w:r>
                    <w:rPr>
                      <w:rFonts w:hint="eastAsia"/>
                    </w:rPr>
                    <w:t>废油桶</w:t>
                  </w:r>
                </w:p>
              </w:tc>
              <w:tc>
                <w:tcPr>
                  <w:tcW w:w="530" w:type="pct"/>
                  <w:vAlign w:val="center"/>
                </w:tcPr>
                <w:p>
                  <w:pPr>
                    <w:pStyle w:val="47"/>
                  </w:pPr>
                  <w:r>
                    <w:rPr>
                      <w:szCs w:val="21"/>
                    </w:rPr>
                    <w:t>0.</w:t>
                  </w:r>
                  <w:r>
                    <w:rPr>
                      <w:rFonts w:hint="eastAsia"/>
                      <w:szCs w:val="21"/>
                    </w:rPr>
                    <w:t>004</w:t>
                  </w:r>
                </w:p>
              </w:tc>
              <w:tc>
                <w:tcPr>
                  <w:tcW w:w="499" w:type="pct"/>
                  <w:vAlign w:val="center"/>
                </w:tcPr>
                <w:p>
                  <w:pPr>
                    <w:pStyle w:val="47"/>
                  </w:pPr>
                  <w:r>
                    <w:rPr>
                      <w:szCs w:val="21"/>
                    </w:rPr>
                    <w:t>0.</w:t>
                  </w:r>
                  <w:r>
                    <w:rPr>
                      <w:rFonts w:hint="eastAsia"/>
                      <w:szCs w:val="21"/>
                    </w:rPr>
                    <w:t>004</w:t>
                  </w:r>
                </w:p>
              </w:tc>
              <w:tc>
                <w:tcPr>
                  <w:tcW w:w="516" w:type="pct"/>
                  <w:vAlign w:val="center"/>
                </w:tcPr>
                <w:p>
                  <w:pPr>
                    <w:pStyle w:val="47"/>
                  </w:pPr>
                  <w:r>
                    <w:rPr>
                      <w:rFonts w:hint="eastAsia"/>
                    </w:rPr>
                    <w:t>0</w:t>
                  </w:r>
                </w:p>
              </w:tc>
              <w:tc>
                <w:tcPr>
                  <w:tcW w:w="1918" w:type="pct"/>
                  <w:vMerge w:val="continue"/>
                  <w:vAlign w:val="center"/>
                </w:tcPr>
                <w:p>
                  <w:pPr>
                    <w:pStyle w:val="47"/>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9" w:type="pct"/>
                  <w:vMerge w:val="continue"/>
                  <w:vAlign w:val="center"/>
                </w:tcPr>
                <w:p>
                  <w:pPr>
                    <w:pStyle w:val="47"/>
                  </w:pPr>
                </w:p>
              </w:tc>
              <w:tc>
                <w:tcPr>
                  <w:tcW w:w="426" w:type="pct"/>
                  <w:vMerge w:val="continue"/>
                  <w:vAlign w:val="center"/>
                </w:tcPr>
                <w:p>
                  <w:pPr>
                    <w:pStyle w:val="47"/>
                  </w:pPr>
                </w:p>
              </w:tc>
              <w:tc>
                <w:tcPr>
                  <w:tcW w:w="739" w:type="pct"/>
                  <w:vAlign w:val="center"/>
                </w:tcPr>
                <w:p>
                  <w:pPr>
                    <w:pStyle w:val="47"/>
                  </w:pPr>
                  <w:r>
                    <w:t>废活性炭</w:t>
                  </w:r>
                </w:p>
              </w:tc>
              <w:tc>
                <w:tcPr>
                  <w:tcW w:w="530" w:type="pct"/>
                  <w:vAlign w:val="center"/>
                </w:tcPr>
                <w:p>
                  <w:pPr>
                    <w:pStyle w:val="47"/>
                  </w:pPr>
                  <w:r>
                    <w:rPr>
                      <w:rFonts w:hint="eastAsia"/>
                    </w:rPr>
                    <w:t>3.173</w:t>
                  </w:r>
                </w:p>
              </w:tc>
              <w:tc>
                <w:tcPr>
                  <w:tcW w:w="499" w:type="pct"/>
                  <w:vAlign w:val="center"/>
                </w:tcPr>
                <w:p>
                  <w:pPr>
                    <w:pStyle w:val="47"/>
                  </w:pPr>
                  <w:r>
                    <w:rPr>
                      <w:rFonts w:hint="eastAsia"/>
                    </w:rPr>
                    <w:t>3.173</w:t>
                  </w:r>
                </w:p>
              </w:tc>
              <w:tc>
                <w:tcPr>
                  <w:tcW w:w="516" w:type="pct"/>
                  <w:vAlign w:val="center"/>
                </w:tcPr>
                <w:p>
                  <w:pPr>
                    <w:pStyle w:val="47"/>
                  </w:pPr>
                  <w:r>
                    <w:rPr>
                      <w:rFonts w:hint="eastAsia"/>
                    </w:rPr>
                    <w:t>0</w:t>
                  </w:r>
                </w:p>
              </w:tc>
              <w:tc>
                <w:tcPr>
                  <w:tcW w:w="1918" w:type="pct"/>
                  <w:vMerge w:val="continue"/>
                  <w:vAlign w:val="center"/>
                </w:tcPr>
                <w:p>
                  <w:pPr>
                    <w:pStyle w:val="47"/>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9" w:type="pct"/>
                  <w:vMerge w:val="continue"/>
                  <w:vAlign w:val="center"/>
                </w:tcPr>
                <w:p>
                  <w:pPr>
                    <w:pStyle w:val="47"/>
                  </w:pPr>
                </w:p>
              </w:tc>
              <w:tc>
                <w:tcPr>
                  <w:tcW w:w="426" w:type="pct"/>
                  <w:vMerge w:val="continue"/>
                  <w:vAlign w:val="center"/>
                </w:tcPr>
                <w:p>
                  <w:pPr>
                    <w:pStyle w:val="47"/>
                  </w:pPr>
                </w:p>
              </w:tc>
              <w:tc>
                <w:tcPr>
                  <w:tcW w:w="739" w:type="pct"/>
                  <w:vAlign w:val="center"/>
                </w:tcPr>
                <w:p>
                  <w:pPr>
                    <w:pStyle w:val="47"/>
                  </w:pPr>
                  <w:r>
                    <w:rPr>
                      <w:rFonts w:hint="eastAsia"/>
                    </w:rPr>
                    <w:t>含漆废抹布和手套</w:t>
                  </w:r>
                </w:p>
              </w:tc>
              <w:tc>
                <w:tcPr>
                  <w:tcW w:w="530" w:type="pct"/>
                  <w:vAlign w:val="center"/>
                </w:tcPr>
                <w:p>
                  <w:pPr>
                    <w:pStyle w:val="47"/>
                  </w:pPr>
                  <w:r>
                    <w:rPr>
                      <w:rFonts w:hint="eastAsia"/>
                    </w:rPr>
                    <w:t>0.01</w:t>
                  </w:r>
                </w:p>
              </w:tc>
              <w:tc>
                <w:tcPr>
                  <w:tcW w:w="499" w:type="pct"/>
                  <w:vAlign w:val="center"/>
                </w:tcPr>
                <w:p>
                  <w:pPr>
                    <w:pStyle w:val="47"/>
                  </w:pPr>
                  <w:r>
                    <w:rPr>
                      <w:rFonts w:hint="eastAsia"/>
                    </w:rPr>
                    <w:t>0.01</w:t>
                  </w:r>
                </w:p>
              </w:tc>
              <w:tc>
                <w:tcPr>
                  <w:tcW w:w="516" w:type="pct"/>
                  <w:vAlign w:val="center"/>
                </w:tcPr>
                <w:p>
                  <w:pPr>
                    <w:pStyle w:val="47"/>
                  </w:pPr>
                  <w:r>
                    <w:rPr>
                      <w:rFonts w:hint="eastAsia"/>
                    </w:rPr>
                    <w:t>0</w:t>
                  </w:r>
                </w:p>
              </w:tc>
              <w:tc>
                <w:tcPr>
                  <w:tcW w:w="1918" w:type="pct"/>
                  <w:vMerge w:val="continue"/>
                  <w:vAlign w:val="center"/>
                </w:tcPr>
                <w:p>
                  <w:pPr>
                    <w:pStyle w:val="47"/>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9" w:type="pct"/>
                  <w:vMerge w:val="continue"/>
                  <w:vAlign w:val="center"/>
                </w:tcPr>
                <w:p>
                  <w:pPr>
                    <w:pStyle w:val="47"/>
                  </w:pPr>
                </w:p>
              </w:tc>
              <w:tc>
                <w:tcPr>
                  <w:tcW w:w="426" w:type="pct"/>
                  <w:vMerge w:val="continue"/>
                  <w:vAlign w:val="center"/>
                </w:tcPr>
                <w:p>
                  <w:pPr>
                    <w:pStyle w:val="47"/>
                  </w:pPr>
                </w:p>
              </w:tc>
              <w:tc>
                <w:tcPr>
                  <w:tcW w:w="739" w:type="pct"/>
                  <w:vAlign w:val="center"/>
                </w:tcPr>
                <w:p>
                  <w:pPr>
                    <w:pStyle w:val="47"/>
                  </w:pPr>
                  <w:r>
                    <w:rPr>
                      <w:rFonts w:hint="eastAsia"/>
                    </w:rPr>
                    <w:t>含油废抹布和手套</w:t>
                  </w:r>
                </w:p>
              </w:tc>
              <w:tc>
                <w:tcPr>
                  <w:tcW w:w="530" w:type="pct"/>
                  <w:vAlign w:val="center"/>
                </w:tcPr>
                <w:p>
                  <w:pPr>
                    <w:pStyle w:val="47"/>
                  </w:pPr>
                  <w:r>
                    <w:t>0.</w:t>
                  </w:r>
                  <w:r>
                    <w:rPr>
                      <w:rFonts w:hint="eastAsia"/>
                    </w:rPr>
                    <w:t>002</w:t>
                  </w:r>
                </w:p>
              </w:tc>
              <w:tc>
                <w:tcPr>
                  <w:tcW w:w="499" w:type="pct"/>
                  <w:vAlign w:val="center"/>
                </w:tcPr>
                <w:p>
                  <w:pPr>
                    <w:pStyle w:val="47"/>
                  </w:pPr>
                  <w:r>
                    <w:t>0.</w:t>
                  </w:r>
                  <w:r>
                    <w:rPr>
                      <w:rFonts w:hint="eastAsia"/>
                    </w:rPr>
                    <w:t>002</w:t>
                  </w:r>
                </w:p>
              </w:tc>
              <w:tc>
                <w:tcPr>
                  <w:tcW w:w="516" w:type="pct"/>
                  <w:vAlign w:val="center"/>
                </w:tcPr>
                <w:p>
                  <w:pPr>
                    <w:pStyle w:val="47"/>
                  </w:pPr>
                  <w:r>
                    <w:rPr>
                      <w:rFonts w:hint="eastAsia"/>
                    </w:rPr>
                    <w:t>0</w:t>
                  </w:r>
                </w:p>
              </w:tc>
              <w:tc>
                <w:tcPr>
                  <w:tcW w:w="1918" w:type="pct"/>
                  <w:vMerge w:val="restart"/>
                  <w:vAlign w:val="center"/>
                </w:tcPr>
                <w:p>
                  <w:pPr>
                    <w:pStyle w:val="47"/>
                    <w:jc w:val="left"/>
                  </w:pPr>
                  <w:r>
                    <w:t>环卫部门</w:t>
                  </w:r>
                  <w:r>
                    <w:rPr>
                      <w:rFonts w:hint="eastAsia"/>
                    </w:rPr>
                    <w:t>统一</w:t>
                  </w:r>
                  <w:r>
                    <w:t>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9" w:type="pct"/>
                  <w:vMerge w:val="continue"/>
                  <w:vAlign w:val="center"/>
                </w:tcPr>
                <w:p>
                  <w:pPr>
                    <w:pStyle w:val="47"/>
                  </w:pPr>
                </w:p>
              </w:tc>
              <w:tc>
                <w:tcPr>
                  <w:tcW w:w="426" w:type="pct"/>
                  <w:vAlign w:val="center"/>
                </w:tcPr>
                <w:p>
                  <w:pPr>
                    <w:pStyle w:val="47"/>
                  </w:pPr>
                  <w:r>
                    <w:t>一般固废</w:t>
                  </w:r>
                </w:p>
              </w:tc>
              <w:tc>
                <w:tcPr>
                  <w:tcW w:w="739" w:type="pct"/>
                  <w:vAlign w:val="center"/>
                </w:tcPr>
                <w:p>
                  <w:pPr>
                    <w:pStyle w:val="47"/>
                  </w:pPr>
                  <w:r>
                    <w:t>生活垃圾</w:t>
                  </w:r>
                </w:p>
              </w:tc>
              <w:tc>
                <w:tcPr>
                  <w:tcW w:w="530" w:type="pct"/>
                  <w:vAlign w:val="center"/>
                </w:tcPr>
                <w:p>
                  <w:pPr>
                    <w:pStyle w:val="47"/>
                  </w:pPr>
                  <w:r>
                    <w:t>9.0</w:t>
                  </w:r>
                </w:p>
              </w:tc>
              <w:tc>
                <w:tcPr>
                  <w:tcW w:w="499" w:type="pct"/>
                  <w:vAlign w:val="center"/>
                </w:tcPr>
                <w:p>
                  <w:pPr>
                    <w:pStyle w:val="47"/>
                  </w:pPr>
                  <w:r>
                    <w:t>9.0</w:t>
                  </w:r>
                </w:p>
              </w:tc>
              <w:tc>
                <w:tcPr>
                  <w:tcW w:w="516" w:type="pct"/>
                  <w:vAlign w:val="center"/>
                </w:tcPr>
                <w:p>
                  <w:pPr>
                    <w:pStyle w:val="47"/>
                  </w:pPr>
                  <w:r>
                    <w:rPr>
                      <w:rFonts w:hint="eastAsia"/>
                    </w:rPr>
                    <w:t>0</w:t>
                  </w:r>
                </w:p>
              </w:tc>
              <w:tc>
                <w:tcPr>
                  <w:tcW w:w="1918" w:type="pct"/>
                  <w:vMerge w:val="continue"/>
                  <w:vAlign w:val="center"/>
                </w:tcPr>
                <w:p>
                  <w:pPr>
                    <w:pStyle w:val="4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9" w:type="pct"/>
                  <w:vAlign w:val="center"/>
                </w:tcPr>
                <w:p>
                  <w:pPr>
                    <w:pStyle w:val="47"/>
                  </w:pPr>
                  <w:r>
                    <w:t>噪声</w:t>
                  </w:r>
                </w:p>
              </w:tc>
              <w:tc>
                <w:tcPr>
                  <w:tcW w:w="4630" w:type="pct"/>
                  <w:gridSpan w:val="6"/>
                  <w:vAlign w:val="center"/>
                </w:tcPr>
                <w:p>
                  <w:pPr>
                    <w:pStyle w:val="47"/>
                  </w:pPr>
                  <w:r>
                    <w:t>生产车间内噪声声压级一般在</w:t>
                  </w:r>
                  <w:r>
                    <w:rPr>
                      <w:rFonts w:hint="eastAsia"/>
                    </w:rPr>
                    <w:t>80</w:t>
                  </w:r>
                  <w:r>
                    <w:t>dB(A)左右。</w:t>
                  </w:r>
                </w:p>
              </w:tc>
            </w:tr>
          </w:tbl>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pPr>
          </w:p>
          <w:p>
            <w:pPr>
              <w:pStyle w:val="2"/>
              <w:ind w:left="0" w:leftChars="0" w:firstLine="0" w:firstLineChars="0"/>
            </w:pPr>
          </w:p>
        </w:tc>
      </w:tr>
    </w:tbl>
    <w:p>
      <w:pPr>
        <w:ind w:firstLine="0" w:firstLineChars="0"/>
        <w:sectPr>
          <w:pgSz w:w="11906" w:h="16838"/>
          <w:pgMar w:top="1474" w:right="1588" w:bottom="1418" w:left="1588" w:header="851" w:footer="907" w:gutter="0"/>
          <w:cols w:space="720" w:num="1"/>
          <w:docGrid w:linePitch="312" w:charSpace="0"/>
        </w:sectPr>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5" w:hRule="atLeast"/>
        </w:trPr>
        <w:tc>
          <w:tcPr>
            <w:tcW w:w="13632" w:type="dxa"/>
            <w:tcBorders>
              <w:top w:val="single" w:color="auto" w:sz="12" w:space="0"/>
              <w:left w:val="single" w:color="auto" w:sz="12" w:space="0"/>
              <w:bottom w:val="single" w:color="auto" w:sz="12" w:space="0"/>
              <w:right w:val="single" w:color="auto" w:sz="12" w:space="0"/>
            </w:tcBorders>
          </w:tcPr>
          <w:p>
            <w:pPr>
              <w:pStyle w:val="5"/>
              <w:spacing w:before="120" w:beforeLines="50"/>
              <w:rPr>
                <w:kern w:val="2"/>
              </w:rPr>
            </w:pPr>
            <w:r>
              <w:rPr>
                <w:kern w:val="2"/>
              </w:rPr>
              <w:t>5.4污染物源强核算汇总</w:t>
            </w:r>
          </w:p>
          <w:p>
            <w:pPr>
              <w:ind w:firstLine="480"/>
            </w:pPr>
            <w:r>
              <w:t>根据《污染源源强核算技术指南准则》（HJ884-2018），对项目营运期产生的废水、废气、噪声及固废产排情况进行汇总。</w:t>
            </w:r>
          </w:p>
          <w:p>
            <w:pPr>
              <w:pStyle w:val="6"/>
              <w:rPr>
                <w:kern w:val="2"/>
              </w:rPr>
            </w:pPr>
            <w:r>
              <w:rPr>
                <w:kern w:val="2"/>
              </w:rPr>
              <w:t>5.4.1废水污染源强汇总</w:t>
            </w:r>
          </w:p>
          <w:p>
            <w:pPr>
              <w:ind w:firstLine="480"/>
            </w:pPr>
            <w:r>
              <w:t>项目废水污染源强核算情况见下表5-1</w:t>
            </w:r>
            <w:r>
              <w:rPr>
                <w:rFonts w:hint="eastAsia"/>
              </w:rPr>
              <w:t>6</w:t>
            </w:r>
            <w:r>
              <w:t>、5-1</w:t>
            </w:r>
            <w:r>
              <w:rPr>
                <w:rFonts w:hint="eastAsia"/>
              </w:rPr>
              <w:t>7</w:t>
            </w:r>
            <w:r>
              <w:t>。</w:t>
            </w:r>
          </w:p>
          <w:p>
            <w:pPr>
              <w:pStyle w:val="46"/>
            </w:pPr>
            <w:r>
              <w:t>表5-1</w:t>
            </w:r>
            <w:r>
              <w:rPr>
                <w:rFonts w:hint="eastAsia"/>
              </w:rPr>
              <w:t xml:space="preserve">6 </w:t>
            </w:r>
            <w:r>
              <w:t xml:space="preserve"> 工序/生产线产生废水污染源源强核算结果及相关参数一览表</w:t>
            </w:r>
          </w:p>
          <w:tbl>
            <w:tblPr>
              <w:tblStyle w:val="3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19"/>
              <w:gridCol w:w="916"/>
              <w:gridCol w:w="914"/>
              <w:gridCol w:w="711"/>
              <w:gridCol w:w="1105"/>
              <w:gridCol w:w="1137"/>
              <w:gridCol w:w="912"/>
              <w:gridCol w:w="812"/>
              <w:gridCol w:w="812"/>
              <w:gridCol w:w="783"/>
              <w:gridCol w:w="1274"/>
              <w:gridCol w:w="1172"/>
              <w:gridCol w:w="1128"/>
              <w:gridCol w:w="8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19" w:type="dxa"/>
                  <w:vMerge w:val="restart"/>
                  <w:tcBorders>
                    <w:top w:val="single" w:color="000000" w:sz="4" w:space="0"/>
                    <w:left w:val="single" w:color="000000" w:sz="4" w:space="0"/>
                    <w:bottom w:val="single" w:color="000000" w:sz="4" w:space="0"/>
                    <w:right w:val="single" w:color="000000" w:sz="4" w:space="0"/>
                  </w:tcBorders>
                  <w:vAlign w:val="center"/>
                </w:tcPr>
                <w:p>
                  <w:pPr>
                    <w:pStyle w:val="46"/>
                  </w:pPr>
                  <w:r>
                    <w:t>工序/生产线</w:t>
                  </w:r>
                </w:p>
              </w:tc>
              <w:tc>
                <w:tcPr>
                  <w:tcW w:w="916" w:type="dxa"/>
                  <w:vMerge w:val="restart"/>
                  <w:tcBorders>
                    <w:top w:val="single" w:color="000000" w:sz="4" w:space="0"/>
                    <w:left w:val="single" w:color="000000" w:sz="4" w:space="0"/>
                    <w:bottom w:val="single" w:color="000000" w:sz="4" w:space="0"/>
                    <w:right w:val="single" w:color="000000" w:sz="4" w:space="0"/>
                  </w:tcBorders>
                  <w:vAlign w:val="center"/>
                </w:tcPr>
                <w:p>
                  <w:pPr>
                    <w:pStyle w:val="46"/>
                  </w:pPr>
                  <w:r>
                    <w:t>污染源</w:t>
                  </w:r>
                </w:p>
              </w:tc>
              <w:tc>
                <w:tcPr>
                  <w:tcW w:w="914" w:type="dxa"/>
                  <w:vMerge w:val="restart"/>
                  <w:tcBorders>
                    <w:top w:val="single" w:color="000000" w:sz="4" w:space="0"/>
                    <w:left w:val="single" w:color="000000" w:sz="4" w:space="0"/>
                    <w:bottom w:val="single" w:color="000000" w:sz="4" w:space="0"/>
                    <w:right w:val="single" w:color="000000" w:sz="4" w:space="0"/>
                  </w:tcBorders>
                  <w:vAlign w:val="center"/>
                </w:tcPr>
                <w:p>
                  <w:pPr>
                    <w:pStyle w:val="46"/>
                  </w:pPr>
                  <w:r>
                    <w:t>污染物</w:t>
                  </w:r>
                </w:p>
              </w:tc>
              <w:tc>
                <w:tcPr>
                  <w:tcW w:w="3865" w:type="dxa"/>
                  <w:gridSpan w:val="4"/>
                  <w:tcBorders>
                    <w:top w:val="single" w:color="000000" w:sz="4" w:space="0"/>
                    <w:left w:val="single" w:color="000000" w:sz="4" w:space="0"/>
                    <w:bottom w:val="single" w:color="000000" w:sz="4" w:space="0"/>
                    <w:right w:val="single" w:color="000000" w:sz="4" w:space="0"/>
                  </w:tcBorders>
                  <w:vAlign w:val="center"/>
                </w:tcPr>
                <w:p>
                  <w:pPr>
                    <w:pStyle w:val="46"/>
                  </w:pPr>
                  <w:r>
                    <w:t>污染物产生</w:t>
                  </w:r>
                </w:p>
              </w:tc>
              <w:tc>
                <w:tcPr>
                  <w:tcW w:w="1624" w:type="dxa"/>
                  <w:gridSpan w:val="2"/>
                  <w:tcBorders>
                    <w:top w:val="single" w:color="000000" w:sz="4" w:space="0"/>
                    <w:left w:val="single" w:color="000000" w:sz="4" w:space="0"/>
                    <w:bottom w:val="single" w:color="000000" w:sz="4" w:space="0"/>
                    <w:right w:val="single" w:color="000000" w:sz="4" w:space="0"/>
                  </w:tcBorders>
                  <w:vAlign w:val="center"/>
                </w:tcPr>
                <w:p>
                  <w:pPr>
                    <w:pStyle w:val="46"/>
                  </w:pPr>
                  <w:r>
                    <w:t>治理措施</w:t>
                  </w:r>
                </w:p>
              </w:tc>
              <w:tc>
                <w:tcPr>
                  <w:tcW w:w="4357" w:type="dxa"/>
                  <w:gridSpan w:val="4"/>
                  <w:tcBorders>
                    <w:top w:val="single" w:color="000000" w:sz="4" w:space="0"/>
                    <w:left w:val="single" w:color="000000" w:sz="4" w:space="0"/>
                    <w:bottom w:val="single" w:color="000000" w:sz="4" w:space="0"/>
                    <w:right w:val="single" w:color="000000" w:sz="4" w:space="0"/>
                  </w:tcBorders>
                  <w:vAlign w:val="center"/>
                </w:tcPr>
                <w:p>
                  <w:pPr>
                    <w:pStyle w:val="46"/>
                  </w:pPr>
                  <w:r>
                    <w:t>污染物纳管</w:t>
                  </w:r>
                </w:p>
              </w:tc>
              <w:tc>
                <w:tcPr>
                  <w:tcW w:w="811" w:type="dxa"/>
                  <w:vMerge w:val="restart"/>
                  <w:tcBorders>
                    <w:top w:val="single" w:color="000000" w:sz="4" w:space="0"/>
                    <w:left w:val="single" w:color="000000" w:sz="4" w:space="0"/>
                    <w:bottom w:val="single" w:color="000000" w:sz="4" w:space="0"/>
                    <w:right w:val="single" w:color="000000" w:sz="4" w:space="0"/>
                  </w:tcBorders>
                  <w:vAlign w:val="center"/>
                </w:tcPr>
                <w:p>
                  <w:pPr>
                    <w:pStyle w:val="46"/>
                    <w:rPr>
                      <w:b w:val="0"/>
                    </w:rPr>
                  </w:pPr>
                  <w:r>
                    <w:t>排放时间</w:t>
                  </w:r>
                  <w:r>
                    <w:rPr>
                      <w:rFonts w:hint="eastAsia"/>
                    </w:rPr>
                    <w: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19" w:type="dxa"/>
                  <w:vMerge w:val="continue"/>
                  <w:tcBorders>
                    <w:top w:val="single" w:color="000000" w:sz="4" w:space="0"/>
                    <w:left w:val="single" w:color="000000" w:sz="4" w:space="0"/>
                    <w:bottom w:val="single" w:color="000000" w:sz="4" w:space="0"/>
                    <w:right w:val="single" w:color="000000" w:sz="4" w:space="0"/>
                  </w:tcBorders>
                  <w:vAlign w:val="center"/>
                </w:tcPr>
                <w:p>
                  <w:pPr>
                    <w:pStyle w:val="46"/>
                  </w:pPr>
                </w:p>
              </w:tc>
              <w:tc>
                <w:tcPr>
                  <w:tcW w:w="916" w:type="dxa"/>
                  <w:vMerge w:val="continue"/>
                  <w:tcBorders>
                    <w:top w:val="single" w:color="000000" w:sz="4" w:space="0"/>
                    <w:left w:val="single" w:color="000000" w:sz="4" w:space="0"/>
                    <w:bottom w:val="single" w:color="000000" w:sz="4" w:space="0"/>
                    <w:right w:val="single" w:color="000000" w:sz="4" w:space="0"/>
                  </w:tcBorders>
                  <w:vAlign w:val="center"/>
                </w:tcPr>
                <w:p>
                  <w:pPr>
                    <w:pStyle w:val="46"/>
                  </w:pPr>
                </w:p>
              </w:tc>
              <w:tc>
                <w:tcPr>
                  <w:tcW w:w="914" w:type="dxa"/>
                  <w:vMerge w:val="continue"/>
                  <w:tcBorders>
                    <w:top w:val="single" w:color="000000" w:sz="4" w:space="0"/>
                    <w:left w:val="single" w:color="000000" w:sz="4" w:space="0"/>
                    <w:bottom w:val="single" w:color="000000" w:sz="4" w:space="0"/>
                    <w:right w:val="single" w:color="000000" w:sz="4" w:space="0"/>
                  </w:tcBorders>
                  <w:vAlign w:val="center"/>
                </w:tcPr>
                <w:p>
                  <w:pPr>
                    <w:pStyle w:val="46"/>
                  </w:pPr>
                </w:p>
              </w:tc>
              <w:tc>
                <w:tcPr>
                  <w:tcW w:w="711" w:type="dxa"/>
                  <w:tcBorders>
                    <w:top w:val="single" w:color="000000" w:sz="4" w:space="0"/>
                    <w:left w:val="single" w:color="000000" w:sz="4" w:space="0"/>
                    <w:bottom w:val="single" w:color="000000" w:sz="4" w:space="0"/>
                    <w:right w:val="single" w:color="000000" w:sz="4" w:space="0"/>
                  </w:tcBorders>
                  <w:vAlign w:val="center"/>
                </w:tcPr>
                <w:p>
                  <w:pPr>
                    <w:pStyle w:val="46"/>
                  </w:pPr>
                  <w:r>
                    <w:t>核算</w:t>
                  </w:r>
                </w:p>
                <w:p>
                  <w:pPr>
                    <w:pStyle w:val="46"/>
                  </w:pPr>
                  <w:r>
                    <w:t>方法</w:t>
                  </w:r>
                </w:p>
              </w:tc>
              <w:tc>
                <w:tcPr>
                  <w:tcW w:w="1105" w:type="dxa"/>
                  <w:tcBorders>
                    <w:top w:val="single" w:color="000000" w:sz="4" w:space="0"/>
                    <w:left w:val="single" w:color="000000" w:sz="4" w:space="0"/>
                    <w:bottom w:val="single" w:color="000000" w:sz="4" w:space="0"/>
                    <w:right w:val="single" w:color="000000" w:sz="4" w:space="0"/>
                  </w:tcBorders>
                  <w:vAlign w:val="center"/>
                </w:tcPr>
                <w:p>
                  <w:pPr>
                    <w:pStyle w:val="46"/>
                  </w:pPr>
                  <w:r>
                    <w:t>产生废水量(m</w:t>
                  </w:r>
                  <w:r>
                    <w:rPr>
                      <w:vertAlign w:val="superscript"/>
                    </w:rPr>
                    <w:t>3</w:t>
                  </w:r>
                  <w:r>
                    <w:t>/h)</w:t>
                  </w:r>
                </w:p>
              </w:tc>
              <w:tc>
                <w:tcPr>
                  <w:tcW w:w="1137" w:type="dxa"/>
                  <w:tcBorders>
                    <w:top w:val="single" w:color="000000" w:sz="4" w:space="0"/>
                    <w:left w:val="single" w:color="000000" w:sz="4" w:space="0"/>
                    <w:bottom w:val="single" w:color="000000" w:sz="4" w:space="0"/>
                    <w:right w:val="single" w:color="000000" w:sz="4" w:space="0"/>
                  </w:tcBorders>
                  <w:vAlign w:val="center"/>
                </w:tcPr>
                <w:p>
                  <w:pPr>
                    <w:pStyle w:val="46"/>
                  </w:pPr>
                  <w:r>
                    <w:t>产生浓度(mg/L)</w:t>
                  </w:r>
                </w:p>
              </w:tc>
              <w:tc>
                <w:tcPr>
                  <w:tcW w:w="912" w:type="dxa"/>
                  <w:tcBorders>
                    <w:top w:val="single" w:color="000000" w:sz="4" w:space="0"/>
                    <w:left w:val="single" w:color="000000" w:sz="4" w:space="0"/>
                    <w:bottom w:val="single" w:color="000000" w:sz="4" w:space="0"/>
                    <w:right w:val="single" w:color="000000" w:sz="4" w:space="0"/>
                  </w:tcBorders>
                  <w:vAlign w:val="center"/>
                </w:tcPr>
                <w:p>
                  <w:pPr>
                    <w:pStyle w:val="46"/>
                  </w:pPr>
                  <w:r>
                    <w:t>产生量</w:t>
                  </w:r>
                </w:p>
                <w:p>
                  <w:pPr>
                    <w:pStyle w:val="46"/>
                  </w:pPr>
                  <w:r>
                    <w:t>(kg/h)</w:t>
                  </w:r>
                </w:p>
              </w:tc>
              <w:tc>
                <w:tcPr>
                  <w:tcW w:w="812" w:type="dxa"/>
                  <w:tcBorders>
                    <w:top w:val="single" w:color="000000" w:sz="4" w:space="0"/>
                    <w:left w:val="single" w:color="000000" w:sz="4" w:space="0"/>
                    <w:bottom w:val="single" w:color="000000" w:sz="4" w:space="0"/>
                    <w:right w:val="single" w:color="000000" w:sz="4" w:space="0"/>
                  </w:tcBorders>
                  <w:vAlign w:val="center"/>
                </w:tcPr>
                <w:p>
                  <w:pPr>
                    <w:pStyle w:val="46"/>
                  </w:pPr>
                  <w:r>
                    <w:t>工艺</w:t>
                  </w:r>
                </w:p>
              </w:tc>
              <w:tc>
                <w:tcPr>
                  <w:tcW w:w="812" w:type="dxa"/>
                  <w:tcBorders>
                    <w:top w:val="single" w:color="000000" w:sz="4" w:space="0"/>
                    <w:left w:val="single" w:color="000000" w:sz="4" w:space="0"/>
                    <w:bottom w:val="single" w:color="000000" w:sz="4" w:space="0"/>
                    <w:right w:val="single" w:color="000000" w:sz="4" w:space="0"/>
                  </w:tcBorders>
                  <w:vAlign w:val="center"/>
                </w:tcPr>
                <w:p>
                  <w:pPr>
                    <w:pStyle w:val="46"/>
                  </w:pPr>
                  <w:r>
                    <w:t>效率</w:t>
                  </w:r>
                </w:p>
                <w:p>
                  <w:pPr>
                    <w:pStyle w:val="46"/>
                  </w:pPr>
                  <w:r>
                    <w:t>%</w:t>
                  </w:r>
                </w:p>
              </w:tc>
              <w:tc>
                <w:tcPr>
                  <w:tcW w:w="783" w:type="dxa"/>
                  <w:tcBorders>
                    <w:top w:val="single" w:color="000000" w:sz="4" w:space="0"/>
                    <w:left w:val="single" w:color="000000" w:sz="4" w:space="0"/>
                    <w:bottom w:val="single" w:color="000000" w:sz="4" w:space="0"/>
                    <w:right w:val="single" w:color="000000" w:sz="4" w:space="0"/>
                  </w:tcBorders>
                  <w:vAlign w:val="center"/>
                </w:tcPr>
                <w:p>
                  <w:pPr>
                    <w:pStyle w:val="46"/>
                  </w:pPr>
                  <w:r>
                    <w:t>核算</w:t>
                  </w:r>
                </w:p>
                <w:p>
                  <w:pPr>
                    <w:pStyle w:val="46"/>
                  </w:pPr>
                  <w:r>
                    <w:t>方法</w:t>
                  </w:r>
                </w:p>
              </w:tc>
              <w:tc>
                <w:tcPr>
                  <w:tcW w:w="1274" w:type="dxa"/>
                  <w:tcBorders>
                    <w:top w:val="single" w:color="000000" w:sz="4" w:space="0"/>
                    <w:left w:val="single" w:color="000000" w:sz="4" w:space="0"/>
                    <w:bottom w:val="single" w:color="000000" w:sz="4" w:space="0"/>
                    <w:right w:val="single" w:color="000000" w:sz="4" w:space="0"/>
                  </w:tcBorders>
                  <w:vAlign w:val="center"/>
                </w:tcPr>
                <w:p>
                  <w:pPr>
                    <w:pStyle w:val="46"/>
                  </w:pPr>
                  <w:r>
                    <w:t>排放废水量(m</w:t>
                  </w:r>
                  <w:r>
                    <w:rPr>
                      <w:vertAlign w:val="superscript"/>
                    </w:rPr>
                    <w:t>3</w:t>
                  </w:r>
                  <w:r>
                    <w:t>/h)</w:t>
                  </w:r>
                </w:p>
              </w:tc>
              <w:tc>
                <w:tcPr>
                  <w:tcW w:w="1172" w:type="dxa"/>
                  <w:tcBorders>
                    <w:top w:val="single" w:color="000000" w:sz="4" w:space="0"/>
                    <w:left w:val="single" w:color="000000" w:sz="4" w:space="0"/>
                    <w:bottom w:val="single" w:color="000000" w:sz="4" w:space="0"/>
                    <w:right w:val="single" w:color="000000" w:sz="4" w:space="0"/>
                  </w:tcBorders>
                  <w:vAlign w:val="center"/>
                </w:tcPr>
                <w:p>
                  <w:pPr>
                    <w:pStyle w:val="46"/>
                  </w:pPr>
                  <w:r>
                    <w:t>排放浓度</w:t>
                  </w:r>
                </w:p>
                <w:p>
                  <w:pPr>
                    <w:pStyle w:val="46"/>
                  </w:pPr>
                  <w:r>
                    <w:t>(mg/L)</w:t>
                  </w:r>
                </w:p>
              </w:tc>
              <w:tc>
                <w:tcPr>
                  <w:tcW w:w="1128" w:type="dxa"/>
                  <w:tcBorders>
                    <w:top w:val="single" w:color="000000" w:sz="4" w:space="0"/>
                    <w:left w:val="single" w:color="000000" w:sz="4" w:space="0"/>
                    <w:bottom w:val="single" w:color="000000" w:sz="4" w:space="0"/>
                    <w:right w:val="single" w:color="000000" w:sz="4" w:space="0"/>
                  </w:tcBorders>
                  <w:vAlign w:val="center"/>
                </w:tcPr>
                <w:p>
                  <w:pPr>
                    <w:pStyle w:val="46"/>
                  </w:pPr>
                  <w:r>
                    <w:t>排放量</w:t>
                  </w:r>
                </w:p>
                <w:p>
                  <w:pPr>
                    <w:pStyle w:val="46"/>
                  </w:pPr>
                  <w:r>
                    <w:t>(kg/h)</w:t>
                  </w:r>
                </w:p>
              </w:tc>
              <w:tc>
                <w:tcPr>
                  <w:tcW w:w="811" w:type="dxa"/>
                  <w:vMerge w:val="continue"/>
                  <w:tcBorders>
                    <w:top w:val="single" w:color="000000" w:sz="4" w:space="0"/>
                    <w:left w:val="single" w:color="000000" w:sz="4" w:space="0"/>
                    <w:bottom w:val="single" w:color="000000" w:sz="4" w:space="0"/>
                    <w:right w:val="single" w:color="000000" w:sz="4" w:space="0"/>
                  </w:tcBorders>
                  <w:vAlign w:val="center"/>
                </w:tcPr>
                <w:p>
                  <w:pPr>
                    <w:pStyle w:val="49"/>
                    <w:rPr>
                      <w: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19" w:type="dxa"/>
                  <w:vMerge w:val="restart"/>
                  <w:tcBorders>
                    <w:top w:val="single" w:color="000000" w:sz="4" w:space="0"/>
                    <w:left w:val="single" w:color="000000" w:sz="4" w:space="0"/>
                    <w:bottom w:val="single" w:color="000000" w:sz="4" w:space="0"/>
                    <w:right w:val="single" w:color="000000" w:sz="4" w:space="0"/>
                  </w:tcBorders>
                  <w:vAlign w:val="center"/>
                </w:tcPr>
                <w:p>
                  <w:pPr>
                    <w:pStyle w:val="47"/>
                  </w:pPr>
                  <w:r>
                    <w:t>日常生活</w:t>
                  </w:r>
                </w:p>
              </w:tc>
              <w:tc>
                <w:tcPr>
                  <w:tcW w:w="916" w:type="dxa"/>
                  <w:vMerge w:val="restart"/>
                  <w:tcBorders>
                    <w:top w:val="single" w:color="000000" w:sz="4" w:space="0"/>
                    <w:left w:val="single" w:color="000000" w:sz="4" w:space="0"/>
                    <w:bottom w:val="single" w:color="000000" w:sz="4" w:space="0"/>
                    <w:right w:val="single" w:color="000000" w:sz="4" w:space="0"/>
                  </w:tcBorders>
                  <w:vAlign w:val="center"/>
                </w:tcPr>
                <w:p>
                  <w:pPr>
                    <w:pStyle w:val="47"/>
                  </w:pPr>
                  <w:r>
                    <w:t>生活</w:t>
                  </w:r>
                </w:p>
                <w:p>
                  <w:pPr>
                    <w:pStyle w:val="47"/>
                  </w:pPr>
                  <w:r>
                    <w:t>污水</w:t>
                  </w:r>
                </w:p>
              </w:tc>
              <w:tc>
                <w:tcPr>
                  <w:tcW w:w="914" w:type="dxa"/>
                  <w:tcBorders>
                    <w:top w:val="single" w:color="000000" w:sz="4" w:space="0"/>
                    <w:left w:val="single" w:color="000000" w:sz="4" w:space="0"/>
                    <w:bottom w:val="single" w:color="000000" w:sz="4" w:space="0"/>
                    <w:right w:val="single" w:color="000000" w:sz="4" w:space="0"/>
                  </w:tcBorders>
                  <w:vAlign w:val="center"/>
                </w:tcPr>
                <w:p>
                  <w:pPr>
                    <w:pStyle w:val="47"/>
                  </w:pPr>
                  <w:r>
                    <w:t>COD</w:t>
                  </w:r>
                  <w:r>
                    <w:rPr>
                      <w:vertAlign w:val="subscript"/>
                    </w:rPr>
                    <w:t>Cr</w:t>
                  </w:r>
                </w:p>
              </w:tc>
              <w:tc>
                <w:tcPr>
                  <w:tcW w:w="711" w:type="dxa"/>
                  <w:vMerge w:val="restart"/>
                  <w:tcBorders>
                    <w:top w:val="single" w:color="000000" w:sz="4" w:space="0"/>
                    <w:left w:val="single" w:color="000000" w:sz="4" w:space="0"/>
                    <w:bottom w:val="single" w:color="000000" w:sz="4" w:space="0"/>
                    <w:right w:val="single" w:color="000000" w:sz="4" w:space="0"/>
                  </w:tcBorders>
                  <w:vAlign w:val="center"/>
                </w:tcPr>
                <w:p>
                  <w:pPr>
                    <w:pStyle w:val="47"/>
                  </w:pPr>
                  <w:r>
                    <w:t>类比法</w:t>
                  </w:r>
                </w:p>
              </w:tc>
              <w:tc>
                <w:tcPr>
                  <w:tcW w:w="1105" w:type="dxa"/>
                  <w:vMerge w:val="restart"/>
                  <w:tcBorders>
                    <w:top w:val="single" w:color="000000" w:sz="4" w:space="0"/>
                    <w:left w:val="single" w:color="000000" w:sz="4" w:space="0"/>
                    <w:bottom w:val="single" w:color="000000" w:sz="4" w:space="0"/>
                    <w:right w:val="single" w:color="000000" w:sz="4" w:space="0"/>
                  </w:tcBorders>
                  <w:vAlign w:val="center"/>
                </w:tcPr>
                <w:p>
                  <w:pPr>
                    <w:pStyle w:val="47"/>
                  </w:pPr>
                  <w:r>
                    <w:t>0.</w:t>
                  </w:r>
                  <w:r>
                    <w:rPr>
                      <w:rFonts w:hint="eastAsia"/>
                    </w:rPr>
                    <w:t>169</w:t>
                  </w:r>
                </w:p>
              </w:tc>
              <w:tc>
                <w:tcPr>
                  <w:tcW w:w="1137" w:type="dxa"/>
                  <w:tcBorders>
                    <w:top w:val="single" w:color="000000" w:sz="4" w:space="0"/>
                    <w:left w:val="single" w:color="000000" w:sz="4" w:space="0"/>
                    <w:bottom w:val="single" w:color="000000" w:sz="4" w:space="0"/>
                    <w:right w:val="single" w:color="000000" w:sz="4" w:space="0"/>
                  </w:tcBorders>
                  <w:vAlign w:val="center"/>
                </w:tcPr>
                <w:p>
                  <w:pPr>
                    <w:pStyle w:val="47"/>
                  </w:pPr>
                  <w:r>
                    <w:t>320</w:t>
                  </w:r>
                </w:p>
              </w:tc>
              <w:tc>
                <w:tcPr>
                  <w:tcW w:w="912" w:type="dxa"/>
                  <w:tcBorders>
                    <w:top w:val="single" w:color="000000" w:sz="4" w:space="0"/>
                    <w:left w:val="single" w:color="000000" w:sz="4" w:space="0"/>
                    <w:bottom w:val="single" w:color="000000" w:sz="4" w:space="0"/>
                    <w:right w:val="single" w:color="000000" w:sz="4" w:space="0"/>
                  </w:tcBorders>
                  <w:vAlign w:val="center"/>
                </w:tcPr>
                <w:p>
                  <w:pPr>
                    <w:pStyle w:val="47"/>
                  </w:pPr>
                  <w:r>
                    <w:rPr>
                      <w:rFonts w:hint="eastAsia"/>
                    </w:rPr>
                    <w:t>0.054</w:t>
                  </w:r>
                </w:p>
              </w:tc>
              <w:tc>
                <w:tcPr>
                  <w:tcW w:w="812" w:type="dxa"/>
                  <w:vMerge w:val="restart"/>
                  <w:tcBorders>
                    <w:top w:val="single" w:color="000000" w:sz="4" w:space="0"/>
                    <w:left w:val="single" w:color="000000" w:sz="4" w:space="0"/>
                    <w:bottom w:val="single" w:color="000000" w:sz="4" w:space="0"/>
                    <w:right w:val="single" w:color="000000" w:sz="4" w:space="0"/>
                  </w:tcBorders>
                  <w:vAlign w:val="center"/>
                </w:tcPr>
                <w:p>
                  <w:pPr>
                    <w:pStyle w:val="47"/>
                  </w:pPr>
                  <w:r>
                    <w:t>化粪池</w:t>
                  </w:r>
                </w:p>
              </w:tc>
              <w:tc>
                <w:tcPr>
                  <w:tcW w:w="812" w:type="dxa"/>
                  <w:vMerge w:val="restart"/>
                  <w:tcBorders>
                    <w:top w:val="single" w:color="000000" w:sz="4" w:space="0"/>
                    <w:left w:val="single" w:color="000000" w:sz="4" w:space="0"/>
                    <w:bottom w:val="single" w:color="000000" w:sz="4" w:space="0"/>
                    <w:right w:val="single" w:color="000000" w:sz="4" w:space="0"/>
                  </w:tcBorders>
                  <w:vAlign w:val="center"/>
                </w:tcPr>
                <w:p>
                  <w:pPr>
                    <w:pStyle w:val="47"/>
                  </w:pPr>
                  <w:r>
                    <w:t>/</w:t>
                  </w:r>
                </w:p>
              </w:tc>
              <w:tc>
                <w:tcPr>
                  <w:tcW w:w="783" w:type="dxa"/>
                  <w:vMerge w:val="restart"/>
                  <w:tcBorders>
                    <w:top w:val="single" w:color="000000" w:sz="4" w:space="0"/>
                    <w:left w:val="single" w:color="000000" w:sz="4" w:space="0"/>
                    <w:bottom w:val="single" w:color="000000" w:sz="4" w:space="0"/>
                    <w:right w:val="single" w:color="000000" w:sz="4" w:space="0"/>
                  </w:tcBorders>
                  <w:vAlign w:val="center"/>
                </w:tcPr>
                <w:p>
                  <w:pPr>
                    <w:pStyle w:val="47"/>
                  </w:pPr>
                  <w:r>
                    <w:t>类比法</w:t>
                  </w:r>
                </w:p>
              </w:tc>
              <w:tc>
                <w:tcPr>
                  <w:tcW w:w="1274" w:type="dxa"/>
                  <w:vMerge w:val="restart"/>
                  <w:tcBorders>
                    <w:top w:val="single" w:color="000000" w:sz="4" w:space="0"/>
                    <w:left w:val="single" w:color="000000" w:sz="4" w:space="0"/>
                    <w:bottom w:val="single" w:color="000000" w:sz="4" w:space="0"/>
                    <w:right w:val="single" w:color="000000" w:sz="4" w:space="0"/>
                  </w:tcBorders>
                  <w:vAlign w:val="center"/>
                </w:tcPr>
                <w:p>
                  <w:pPr>
                    <w:pStyle w:val="47"/>
                  </w:pPr>
                  <w:r>
                    <w:t>0.</w:t>
                  </w:r>
                  <w:r>
                    <w:rPr>
                      <w:rFonts w:hint="eastAsia"/>
                    </w:rPr>
                    <w:t>169</w:t>
                  </w:r>
                </w:p>
              </w:tc>
              <w:tc>
                <w:tcPr>
                  <w:tcW w:w="1172" w:type="dxa"/>
                  <w:tcBorders>
                    <w:top w:val="single" w:color="000000" w:sz="4" w:space="0"/>
                    <w:left w:val="single" w:color="000000" w:sz="4" w:space="0"/>
                    <w:bottom w:val="single" w:color="000000" w:sz="4" w:space="0"/>
                    <w:right w:val="single" w:color="000000" w:sz="4" w:space="0"/>
                  </w:tcBorders>
                  <w:vAlign w:val="center"/>
                </w:tcPr>
                <w:p>
                  <w:pPr>
                    <w:pStyle w:val="47"/>
                  </w:pPr>
                  <w:r>
                    <w:t>320</w:t>
                  </w:r>
                </w:p>
              </w:tc>
              <w:tc>
                <w:tcPr>
                  <w:tcW w:w="1128" w:type="dxa"/>
                  <w:tcBorders>
                    <w:top w:val="single" w:color="000000" w:sz="4" w:space="0"/>
                    <w:left w:val="single" w:color="000000" w:sz="4" w:space="0"/>
                    <w:bottom w:val="single" w:color="000000" w:sz="4" w:space="0"/>
                    <w:right w:val="single" w:color="000000" w:sz="4" w:space="0"/>
                  </w:tcBorders>
                  <w:vAlign w:val="center"/>
                </w:tcPr>
                <w:p>
                  <w:pPr>
                    <w:pStyle w:val="47"/>
                  </w:pPr>
                  <w:r>
                    <w:rPr>
                      <w:rFonts w:hint="eastAsia"/>
                    </w:rPr>
                    <w:t>0.054</w:t>
                  </w:r>
                </w:p>
              </w:tc>
              <w:tc>
                <w:tcPr>
                  <w:tcW w:w="811" w:type="dxa"/>
                  <w:vMerge w:val="restart"/>
                  <w:tcBorders>
                    <w:top w:val="single" w:color="000000" w:sz="4" w:space="0"/>
                    <w:left w:val="single" w:color="000000" w:sz="4" w:space="0"/>
                    <w:bottom w:val="single" w:color="000000" w:sz="4" w:space="0"/>
                    <w:right w:val="single" w:color="000000" w:sz="4" w:space="0"/>
                  </w:tcBorders>
                  <w:vAlign w:val="center"/>
                </w:tcPr>
                <w:p>
                  <w:pPr>
                    <w:pStyle w:val="47"/>
                  </w:pPr>
                  <w:r>
                    <w:rPr>
                      <w:rFonts w:hint="eastAsia"/>
                    </w:rPr>
                    <w:t>2400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19" w:type="dxa"/>
                  <w:vMerge w:val="continue"/>
                  <w:tcBorders>
                    <w:top w:val="single" w:color="000000" w:sz="4" w:space="0"/>
                    <w:left w:val="single" w:color="000000" w:sz="4" w:space="0"/>
                    <w:bottom w:val="single" w:color="000000" w:sz="4" w:space="0"/>
                    <w:right w:val="single" w:color="000000" w:sz="4" w:space="0"/>
                  </w:tcBorders>
                  <w:vAlign w:val="center"/>
                </w:tcPr>
                <w:p>
                  <w:pPr>
                    <w:pStyle w:val="47"/>
                  </w:pPr>
                </w:p>
              </w:tc>
              <w:tc>
                <w:tcPr>
                  <w:tcW w:w="916" w:type="dxa"/>
                  <w:vMerge w:val="continue"/>
                  <w:tcBorders>
                    <w:top w:val="single" w:color="000000" w:sz="4" w:space="0"/>
                    <w:left w:val="single" w:color="000000" w:sz="4" w:space="0"/>
                    <w:bottom w:val="single" w:color="000000" w:sz="4" w:space="0"/>
                    <w:right w:val="single" w:color="000000" w:sz="4" w:space="0"/>
                  </w:tcBorders>
                  <w:vAlign w:val="center"/>
                </w:tcPr>
                <w:p>
                  <w:pPr>
                    <w:pStyle w:val="47"/>
                  </w:pPr>
                </w:p>
              </w:tc>
              <w:tc>
                <w:tcPr>
                  <w:tcW w:w="914" w:type="dxa"/>
                  <w:tcBorders>
                    <w:top w:val="single" w:color="000000" w:sz="4" w:space="0"/>
                    <w:left w:val="single" w:color="000000" w:sz="4" w:space="0"/>
                    <w:bottom w:val="single" w:color="000000" w:sz="4" w:space="0"/>
                    <w:right w:val="single" w:color="000000" w:sz="4" w:space="0"/>
                  </w:tcBorders>
                  <w:vAlign w:val="center"/>
                </w:tcPr>
                <w:p>
                  <w:pPr>
                    <w:pStyle w:val="47"/>
                  </w:pPr>
                  <w:r>
                    <w:t>NH</w:t>
                  </w:r>
                  <w:r>
                    <w:rPr>
                      <w:vertAlign w:val="subscript"/>
                    </w:rPr>
                    <w:t>3</w:t>
                  </w:r>
                  <w:r>
                    <w:t>-N</w:t>
                  </w:r>
                </w:p>
              </w:tc>
              <w:tc>
                <w:tcPr>
                  <w:tcW w:w="711" w:type="dxa"/>
                  <w:vMerge w:val="continue"/>
                  <w:tcBorders>
                    <w:top w:val="single" w:color="000000" w:sz="4" w:space="0"/>
                    <w:left w:val="single" w:color="000000" w:sz="4" w:space="0"/>
                    <w:bottom w:val="single" w:color="000000" w:sz="4" w:space="0"/>
                    <w:right w:val="single" w:color="000000" w:sz="4" w:space="0"/>
                  </w:tcBorders>
                  <w:vAlign w:val="center"/>
                </w:tcPr>
                <w:p>
                  <w:pPr>
                    <w:pStyle w:val="47"/>
                  </w:pPr>
                </w:p>
              </w:tc>
              <w:tc>
                <w:tcPr>
                  <w:tcW w:w="1105" w:type="dxa"/>
                  <w:vMerge w:val="continue"/>
                  <w:tcBorders>
                    <w:top w:val="single" w:color="000000" w:sz="4" w:space="0"/>
                    <w:left w:val="single" w:color="000000" w:sz="4" w:space="0"/>
                    <w:bottom w:val="single" w:color="000000" w:sz="4" w:space="0"/>
                    <w:right w:val="single" w:color="000000" w:sz="4" w:space="0"/>
                  </w:tcBorders>
                  <w:vAlign w:val="center"/>
                </w:tcPr>
                <w:p>
                  <w:pPr>
                    <w:pStyle w:val="47"/>
                  </w:pPr>
                </w:p>
              </w:tc>
              <w:tc>
                <w:tcPr>
                  <w:tcW w:w="1137" w:type="dxa"/>
                  <w:tcBorders>
                    <w:top w:val="single" w:color="000000" w:sz="4" w:space="0"/>
                    <w:left w:val="single" w:color="000000" w:sz="4" w:space="0"/>
                    <w:bottom w:val="single" w:color="000000" w:sz="4" w:space="0"/>
                    <w:right w:val="single" w:color="000000" w:sz="4" w:space="0"/>
                  </w:tcBorders>
                  <w:vAlign w:val="center"/>
                </w:tcPr>
                <w:p>
                  <w:pPr>
                    <w:pStyle w:val="47"/>
                  </w:pPr>
                  <w:r>
                    <w:t>35</w:t>
                  </w:r>
                </w:p>
              </w:tc>
              <w:tc>
                <w:tcPr>
                  <w:tcW w:w="912" w:type="dxa"/>
                  <w:tcBorders>
                    <w:top w:val="single" w:color="000000" w:sz="4" w:space="0"/>
                    <w:left w:val="single" w:color="000000" w:sz="4" w:space="0"/>
                    <w:bottom w:val="single" w:color="000000" w:sz="4" w:space="0"/>
                    <w:right w:val="single" w:color="000000" w:sz="4" w:space="0"/>
                  </w:tcBorders>
                  <w:vAlign w:val="center"/>
                </w:tcPr>
                <w:p>
                  <w:pPr>
                    <w:pStyle w:val="47"/>
                  </w:pPr>
                  <w:r>
                    <w:rPr>
                      <w:rFonts w:hint="eastAsia"/>
                    </w:rPr>
                    <w:t>0.006</w:t>
                  </w:r>
                </w:p>
              </w:tc>
              <w:tc>
                <w:tcPr>
                  <w:tcW w:w="812" w:type="dxa"/>
                  <w:vMerge w:val="continue"/>
                  <w:tcBorders>
                    <w:top w:val="single" w:color="000000" w:sz="4" w:space="0"/>
                    <w:left w:val="single" w:color="000000" w:sz="4" w:space="0"/>
                    <w:bottom w:val="single" w:color="000000" w:sz="4" w:space="0"/>
                    <w:right w:val="single" w:color="000000" w:sz="4" w:space="0"/>
                  </w:tcBorders>
                  <w:vAlign w:val="center"/>
                </w:tcPr>
                <w:p>
                  <w:pPr>
                    <w:pStyle w:val="47"/>
                  </w:pPr>
                </w:p>
              </w:tc>
              <w:tc>
                <w:tcPr>
                  <w:tcW w:w="812" w:type="dxa"/>
                  <w:vMerge w:val="continue"/>
                  <w:tcBorders>
                    <w:top w:val="single" w:color="000000" w:sz="4" w:space="0"/>
                    <w:left w:val="single" w:color="000000" w:sz="4" w:space="0"/>
                    <w:bottom w:val="single" w:color="000000" w:sz="4" w:space="0"/>
                    <w:right w:val="single" w:color="000000" w:sz="4" w:space="0"/>
                  </w:tcBorders>
                  <w:vAlign w:val="center"/>
                </w:tcPr>
                <w:p>
                  <w:pPr>
                    <w:pStyle w:val="47"/>
                  </w:pPr>
                </w:p>
              </w:tc>
              <w:tc>
                <w:tcPr>
                  <w:tcW w:w="783" w:type="dxa"/>
                  <w:vMerge w:val="continue"/>
                  <w:tcBorders>
                    <w:top w:val="single" w:color="000000" w:sz="4" w:space="0"/>
                    <w:left w:val="single" w:color="000000" w:sz="4" w:space="0"/>
                    <w:bottom w:val="single" w:color="000000" w:sz="4" w:space="0"/>
                    <w:right w:val="single" w:color="000000" w:sz="4" w:space="0"/>
                  </w:tcBorders>
                  <w:vAlign w:val="center"/>
                </w:tcPr>
                <w:p>
                  <w:pPr>
                    <w:pStyle w:val="47"/>
                  </w:pPr>
                </w:p>
              </w:tc>
              <w:tc>
                <w:tcPr>
                  <w:tcW w:w="1274" w:type="dxa"/>
                  <w:vMerge w:val="continue"/>
                  <w:tcBorders>
                    <w:top w:val="single" w:color="000000" w:sz="4" w:space="0"/>
                    <w:left w:val="single" w:color="000000" w:sz="4" w:space="0"/>
                    <w:bottom w:val="single" w:color="000000" w:sz="4" w:space="0"/>
                    <w:right w:val="single" w:color="000000" w:sz="4" w:space="0"/>
                  </w:tcBorders>
                  <w:vAlign w:val="center"/>
                </w:tcPr>
                <w:p>
                  <w:pPr>
                    <w:pStyle w:val="47"/>
                  </w:pPr>
                </w:p>
              </w:tc>
              <w:tc>
                <w:tcPr>
                  <w:tcW w:w="1172" w:type="dxa"/>
                  <w:tcBorders>
                    <w:top w:val="single" w:color="000000" w:sz="4" w:space="0"/>
                    <w:left w:val="single" w:color="000000" w:sz="4" w:space="0"/>
                    <w:bottom w:val="single" w:color="000000" w:sz="4" w:space="0"/>
                    <w:right w:val="single" w:color="000000" w:sz="4" w:space="0"/>
                  </w:tcBorders>
                  <w:vAlign w:val="center"/>
                </w:tcPr>
                <w:p>
                  <w:pPr>
                    <w:pStyle w:val="47"/>
                  </w:pPr>
                  <w:r>
                    <w:t>35</w:t>
                  </w:r>
                </w:p>
              </w:tc>
              <w:tc>
                <w:tcPr>
                  <w:tcW w:w="1128" w:type="dxa"/>
                  <w:tcBorders>
                    <w:top w:val="single" w:color="000000" w:sz="4" w:space="0"/>
                    <w:left w:val="single" w:color="000000" w:sz="4" w:space="0"/>
                    <w:bottom w:val="single" w:color="000000" w:sz="4" w:space="0"/>
                    <w:right w:val="single" w:color="000000" w:sz="4" w:space="0"/>
                  </w:tcBorders>
                  <w:vAlign w:val="center"/>
                </w:tcPr>
                <w:p>
                  <w:pPr>
                    <w:pStyle w:val="47"/>
                  </w:pPr>
                  <w:r>
                    <w:rPr>
                      <w:rFonts w:hint="eastAsia"/>
                    </w:rPr>
                    <w:t>0.006</w:t>
                  </w:r>
                </w:p>
              </w:tc>
              <w:tc>
                <w:tcPr>
                  <w:tcW w:w="811" w:type="dxa"/>
                  <w:vMerge w:val="continue"/>
                  <w:tcBorders>
                    <w:top w:val="single" w:color="000000" w:sz="4" w:space="0"/>
                    <w:left w:val="single" w:color="000000" w:sz="4" w:space="0"/>
                    <w:bottom w:val="single" w:color="000000" w:sz="4" w:space="0"/>
                    <w:right w:val="single" w:color="000000" w:sz="4" w:space="0"/>
                  </w:tcBorders>
                  <w:vAlign w:val="center"/>
                </w:tcPr>
                <w:p>
                  <w:pPr>
                    <w:pStyle w:val="47"/>
                  </w:pPr>
                </w:p>
              </w:tc>
            </w:tr>
          </w:tbl>
          <w:p>
            <w:pPr>
              <w:pStyle w:val="49"/>
              <w:jc w:val="both"/>
              <w:rPr>
                <w:szCs w:val="16"/>
              </w:rPr>
            </w:pPr>
            <w:r>
              <w:rPr>
                <w:szCs w:val="16"/>
              </w:rPr>
              <w:t>注：对于新（改、扩）建工程污染源源强核算，应为最大值。</w:t>
            </w:r>
          </w:p>
          <w:p>
            <w:pPr>
              <w:pStyle w:val="46"/>
              <w:spacing w:before="120" w:beforeLines="50" w:after="24"/>
            </w:pPr>
            <w:r>
              <w:t>表5-1</w:t>
            </w:r>
            <w:r>
              <w:rPr>
                <w:rFonts w:hint="eastAsia"/>
              </w:rPr>
              <w:t xml:space="preserve">7 </w:t>
            </w:r>
            <w:r>
              <w:t xml:space="preserve"> 综合污水处理厂废水污染源源强核算结果及相关参数一览表</w:t>
            </w:r>
          </w:p>
          <w:tbl>
            <w:tblPr>
              <w:tblStyle w:val="3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11"/>
              <w:gridCol w:w="1041"/>
              <w:gridCol w:w="1312"/>
              <w:gridCol w:w="1159"/>
              <w:gridCol w:w="1331"/>
              <w:gridCol w:w="987"/>
              <w:gridCol w:w="1159"/>
              <w:gridCol w:w="1036"/>
              <w:gridCol w:w="1156"/>
              <w:gridCol w:w="1156"/>
              <w:gridCol w:w="1164"/>
              <w:gridCol w:w="7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414" w:type="pct"/>
                  <w:vMerge w:val="restart"/>
                  <w:vAlign w:val="center"/>
                </w:tcPr>
                <w:p>
                  <w:pPr>
                    <w:pStyle w:val="46"/>
                  </w:pPr>
                  <w:r>
                    <w:t>工序</w:t>
                  </w:r>
                </w:p>
              </w:tc>
              <w:tc>
                <w:tcPr>
                  <w:tcW w:w="388" w:type="pct"/>
                  <w:vMerge w:val="restart"/>
                  <w:vAlign w:val="center"/>
                </w:tcPr>
                <w:p>
                  <w:pPr>
                    <w:pStyle w:val="46"/>
                  </w:pPr>
                  <w:r>
                    <w:t>污染物</w:t>
                  </w:r>
                </w:p>
              </w:tc>
              <w:tc>
                <w:tcPr>
                  <w:tcW w:w="1417" w:type="pct"/>
                  <w:gridSpan w:val="3"/>
                  <w:vAlign w:val="center"/>
                </w:tcPr>
                <w:p>
                  <w:pPr>
                    <w:pStyle w:val="46"/>
                  </w:pPr>
                  <w:r>
                    <w:t>进入城市污水处理厂污染物情况</w:t>
                  </w:r>
                </w:p>
              </w:tc>
              <w:tc>
                <w:tcPr>
                  <w:tcW w:w="800" w:type="pct"/>
                  <w:gridSpan w:val="2"/>
                  <w:vAlign w:val="center"/>
                </w:tcPr>
                <w:p>
                  <w:pPr>
                    <w:pStyle w:val="46"/>
                  </w:pPr>
                  <w:r>
                    <w:t>治理措施</w:t>
                  </w:r>
                </w:p>
              </w:tc>
              <w:tc>
                <w:tcPr>
                  <w:tcW w:w="1682" w:type="pct"/>
                  <w:gridSpan w:val="4"/>
                  <w:vAlign w:val="center"/>
                </w:tcPr>
                <w:p>
                  <w:pPr>
                    <w:pStyle w:val="46"/>
                  </w:pPr>
                  <w:r>
                    <w:t>污染物排放</w:t>
                  </w:r>
                </w:p>
              </w:tc>
              <w:tc>
                <w:tcPr>
                  <w:tcW w:w="296" w:type="pct"/>
                  <w:vMerge w:val="restart"/>
                  <w:vAlign w:val="center"/>
                </w:tcPr>
                <w:p>
                  <w:pPr>
                    <w:pStyle w:val="46"/>
                  </w:pPr>
                  <w:r>
                    <w:t>排放</w:t>
                  </w:r>
                </w:p>
                <w:p>
                  <w:pPr>
                    <w:pStyle w:val="46"/>
                    <w:rPr>
                      <w:b w:val="0"/>
                    </w:rPr>
                  </w:pPr>
                  <w:r>
                    <w:t>时间</w:t>
                  </w:r>
                  <w:r>
                    <w:rPr>
                      <w:rFonts w:hint="eastAsia"/>
                    </w:rPr>
                    <w: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4" w:type="pct"/>
                  <w:vMerge w:val="continue"/>
                  <w:vAlign w:val="center"/>
                </w:tcPr>
                <w:p>
                  <w:pPr>
                    <w:pStyle w:val="46"/>
                  </w:pPr>
                </w:p>
              </w:tc>
              <w:tc>
                <w:tcPr>
                  <w:tcW w:w="388" w:type="pct"/>
                  <w:vMerge w:val="continue"/>
                  <w:vAlign w:val="center"/>
                </w:tcPr>
                <w:p>
                  <w:pPr>
                    <w:pStyle w:val="46"/>
                  </w:pPr>
                </w:p>
              </w:tc>
              <w:tc>
                <w:tcPr>
                  <w:tcW w:w="489" w:type="pct"/>
                  <w:vAlign w:val="center"/>
                </w:tcPr>
                <w:p>
                  <w:pPr>
                    <w:pStyle w:val="46"/>
                  </w:pPr>
                  <w:r>
                    <w:t>产生废水量(m</w:t>
                  </w:r>
                  <w:r>
                    <w:rPr>
                      <w:vertAlign w:val="superscript"/>
                    </w:rPr>
                    <w:t>3</w:t>
                  </w:r>
                  <w:r>
                    <w:t>/h)</w:t>
                  </w:r>
                </w:p>
              </w:tc>
              <w:tc>
                <w:tcPr>
                  <w:tcW w:w="432" w:type="pct"/>
                  <w:vAlign w:val="center"/>
                </w:tcPr>
                <w:p>
                  <w:pPr>
                    <w:pStyle w:val="46"/>
                  </w:pPr>
                  <w:r>
                    <w:t>产生浓度(mg/L)</w:t>
                  </w:r>
                </w:p>
              </w:tc>
              <w:tc>
                <w:tcPr>
                  <w:tcW w:w="496" w:type="pct"/>
                  <w:vAlign w:val="center"/>
                </w:tcPr>
                <w:p>
                  <w:pPr>
                    <w:pStyle w:val="46"/>
                  </w:pPr>
                  <w:r>
                    <w:t>产生量</w:t>
                  </w:r>
                </w:p>
                <w:p>
                  <w:pPr>
                    <w:pStyle w:val="46"/>
                  </w:pPr>
                  <w:r>
                    <w:t>(kg/h)</w:t>
                  </w:r>
                </w:p>
              </w:tc>
              <w:tc>
                <w:tcPr>
                  <w:tcW w:w="368" w:type="pct"/>
                  <w:vAlign w:val="center"/>
                </w:tcPr>
                <w:p>
                  <w:pPr>
                    <w:pStyle w:val="46"/>
                  </w:pPr>
                  <w:r>
                    <w:t>工艺</w:t>
                  </w:r>
                </w:p>
              </w:tc>
              <w:tc>
                <w:tcPr>
                  <w:tcW w:w="431" w:type="pct"/>
                  <w:vAlign w:val="center"/>
                </w:tcPr>
                <w:p>
                  <w:pPr>
                    <w:pStyle w:val="46"/>
                  </w:pPr>
                  <w:r>
                    <w:t>综合处理效率/%</w:t>
                  </w:r>
                </w:p>
              </w:tc>
              <w:tc>
                <w:tcPr>
                  <w:tcW w:w="386" w:type="pct"/>
                  <w:vAlign w:val="center"/>
                </w:tcPr>
                <w:p>
                  <w:pPr>
                    <w:pStyle w:val="46"/>
                  </w:pPr>
                  <w:r>
                    <w:t>核算</w:t>
                  </w:r>
                </w:p>
                <w:p>
                  <w:pPr>
                    <w:pStyle w:val="46"/>
                  </w:pPr>
                  <w:r>
                    <w:t>方法</w:t>
                  </w:r>
                </w:p>
              </w:tc>
              <w:tc>
                <w:tcPr>
                  <w:tcW w:w="431" w:type="pct"/>
                  <w:vAlign w:val="center"/>
                </w:tcPr>
                <w:p>
                  <w:pPr>
                    <w:pStyle w:val="46"/>
                  </w:pPr>
                  <w:r>
                    <w:t>排放废水量(m</w:t>
                  </w:r>
                  <w:r>
                    <w:rPr>
                      <w:vertAlign w:val="superscript"/>
                    </w:rPr>
                    <w:t>3</w:t>
                  </w:r>
                  <w:r>
                    <w:t>/h)</w:t>
                  </w:r>
                </w:p>
              </w:tc>
              <w:tc>
                <w:tcPr>
                  <w:tcW w:w="431" w:type="pct"/>
                  <w:vAlign w:val="center"/>
                </w:tcPr>
                <w:p>
                  <w:pPr>
                    <w:pStyle w:val="46"/>
                  </w:pPr>
                  <w:r>
                    <w:t>排放浓度</w:t>
                  </w:r>
                </w:p>
                <w:p>
                  <w:pPr>
                    <w:pStyle w:val="46"/>
                  </w:pPr>
                  <w:r>
                    <w:t>(mg/L)</w:t>
                  </w:r>
                </w:p>
              </w:tc>
              <w:tc>
                <w:tcPr>
                  <w:tcW w:w="433" w:type="pct"/>
                  <w:vAlign w:val="center"/>
                </w:tcPr>
                <w:p>
                  <w:pPr>
                    <w:pStyle w:val="46"/>
                  </w:pPr>
                  <w:r>
                    <w:t>排放量</w:t>
                  </w:r>
                </w:p>
                <w:p>
                  <w:pPr>
                    <w:pStyle w:val="46"/>
                  </w:pPr>
                  <w:r>
                    <w:t>(kg/h)</w:t>
                  </w:r>
                </w:p>
              </w:tc>
              <w:tc>
                <w:tcPr>
                  <w:tcW w:w="296" w:type="pct"/>
                  <w:vMerge w:val="continue"/>
                  <w:vAlign w:val="center"/>
                </w:tcPr>
                <w:p>
                  <w:pPr>
                    <w:pStyle w:val="49"/>
                    <w:rPr>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jc w:val="center"/>
              </w:trPr>
              <w:tc>
                <w:tcPr>
                  <w:tcW w:w="414" w:type="pct"/>
                  <w:vMerge w:val="restart"/>
                  <w:vAlign w:val="center"/>
                </w:tcPr>
                <w:p>
                  <w:pPr>
                    <w:pStyle w:val="47"/>
                    <w:rPr>
                      <w:szCs w:val="21"/>
                    </w:rPr>
                  </w:pPr>
                  <w:r>
                    <w:t>桐乡市城市污水处理有限责任公司崇福污水处理厂</w:t>
                  </w:r>
                </w:p>
              </w:tc>
              <w:tc>
                <w:tcPr>
                  <w:tcW w:w="388" w:type="pct"/>
                  <w:vAlign w:val="center"/>
                </w:tcPr>
                <w:p>
                  <w:pPr>
                    <w:pStyle w:val="47"/>
                  </w:pPr>
                  <w:r>
                    <w:t>COD</w:t>
                  </w:r>
                  <w:r>
                    <w:rPr>
                      <w:vertAlign w:val="subscript"/>
                    </w:rPr>
                    <w:t>Cr</w:t>
                  </w:r>
                </w:p>
              </w:tc>
              <w:tc>
                <w:tcPr>
                  <w:tcW w:w="1312" w:type="dxa"/>
                  <w:vMerge w:val="restart"/>
                  <w:vAlign w:val="center"/>
                </w:tcPr>
                <w:p>
                  <w:pPr>
                    <w:pStyle w:val="47"/>
                  </w:pPr>
                  <w:r>
                    <w:t>0.</w:t>
                  </w:r>
                  <w:r>
                    <w:rPr>
                      <w:rFonts w:hint="eastAsia"/>
                    </w:rPr>
                    <w:t>169</w:t>
                  </w:r>
                </w:p>
              </w:tc>
              <w:tc>
                <w:tcPr>
                  <w:tcW w:w="1159" w:type="dxa"/>
                  <w:vAlign w:val="center"/>
                </w:tcPr>
                <w:p>
                  <w:pPr>
                    <w:pStyle w:val="47"/>
                  </w:pPr>
                  <w:r>
                    <w:t>320</w:t>
                  </w:r>
                </w:p>
              </w:tc>
              <w:tc>
                <w:tcPr>
                  <w:tcW w:w="1331" w:type="dxa"/>
                  <w:vAlign w:val="center"/>
                </w:tcPr>
                <w:p>
                  <w:pPr>
                    <w:pStyle w:val="47"/>
                  </w:pPr>
                  <w:r>
                    <w:rPr>
                      <w:rFonts w:hint="eastAsia"/>
                    </w:rPr>
                    <w:t>0.054</w:t>
                  </w:r>
                </w:p>
              </w:tc>
              <w:tc>
                <w:tcPr>
                  <w:tcW w:w="368" w:type="pct"/>
                  <w:vMerge w:val="restart"/>
                  <w:vAlign w:val="center"/>
                </w:tcPr>
                <w:p>
                  <w:pPr>
                    <w:pStyle w:val="47"/>
                  </w:pPr>
                  <w:r>
                    <w:t>沉淀+生化等</w:t>
                  </w:r>
                </w:p>
              </w:tc>
              <w:tc>
                <w:tcPr>
                  <w:tcW w:w="431" w:type="pct"/>
                  <w:vAlign w:val="center"/>
                </w:tcPr>
                <w:p>
                  <w:pPr>
                    <w:pStyle w:val="47"/>
                  </w:pPr>
                  <w:r>
                    <w:t>84</w:t>
                  </w:r>
                </w:p>
              </w:tc>
              <w:tc>
                <w:tcPr>
                  <w:tcW w:w="386" w:type="pct"/>
                  <w:vMerge w:val="restart"/>
                  <w:vAlign w:val="center"/>
                </w:tcPr>
                <w:p>
                  <w:pPr>
                    <w:pStyle w:val="47"/>
                  </w:pPr>
                  <w:r>
                    <w:t>排污系数法</w:t>
                  </w:r>
                </w:p>
              </w:tc>
              <w:tc>
                <w:tcPr>
                  <w:tcW w:w="431" w:type="pct"/>
                  <w:vMerge w:val="restart"/>
                  <w:vAlign w:val="center"/>
                </w:tcPr>
                <w:p>
                  <w:pPr>
                    <w:pStyle w:val="47"/>
                  </w:pPr>
                  <w:r>
                    <w:t>0.</w:t>
                  </w:r>
                  <w:r>
                    <w:rPr>
                      <w:rFonts w:hint="eastAsia"/>
                    </w:rPr>
                    <w:t>169</w:t>
                  </w:r>
                </w:p>
              </w:tc>
              <w:tc>
                <w:tcPr>
                  <w:tcW w:w="431" w:type="pct"/>
                  <w:vAlign w:val="center"/>
                </w:tcPr>
                <w:p>
                  <w:pPr>
                    <w:pStyle w:val="47"/>
                  </w:pPr>
                  <w:r>
                    <w:t>50</w:t>
                  </w:r>
                </w:p>
              </w:tc>
              <w:tc>
                <w:tcPr>
                  <w:tcW w:w="433" w:type="pct"/>
                  <w:vAlign w:val="center"/>
                </w:tcPr>
                <w:p>
                  <w:pPr>
                    <w:pStyle w:val="47"/>
                  </w:pPr>
                  <w:r>
                    <w:rPr>
                      <w:rFonts w:hint="eastAsia"/>
                    </w:rPr>
                    <w:t>0.008</w:t>
                  </w:r>
                </w:p>
              </w:tc>
              <w:tc>
                <w:tcPr>
                  <w:tcW w:w="296" w:type="pct"/>
                  <w:vMerge w:val="restart"/>
                  <w:vAlign w:val="center"/>
                </w:tcPr>
                <w:p>
                  <w:pPr>
                    <w:pStyle w:val="47"/>
                  </w:pPr>
                  <w:r>
                    <w:rPr>
                      <w:rFonts w:hint="eastAsia"/>
                    </w:rPr>
                    <w:t>24</w:t>
                  </w:r>
                  <w: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4" w:type="pct"/>
                  <w:vMerge w:val="continue"/>
                  <w:vAlign w:val="center"/>
                </w:tcPr>
                <w:p>
                  <w:pPr>
                    <w:pStyle w:val="49"/>
                    <w:rPr>
                      <w:szCs w:val="21"/>
                    </w:rPr>
                  </w:pPr>
                </w:p>
              </w:tc>
              <w:tc>
                <w:tcPr>
                  <w:tcW w:w="388" w:type="pct"/>
                  <w:vAlign w:val="center"/>
                </w:tcPr>
                <w:p>
                  <w:pPr>
                    <w:pStyle w:val="47"/>
                  </w:pPr>
                  <w:r>
                    <w:t>NH</w:t>
                  </w:r>
                  <w:r>
                    <w:rPr>
                      <w:vertAlign w:val="subscript"/>
                    </w:rPr>
                    <w:t>3</w:t>
                  </w:r>
                  <w:r>
                    <w:t>-N</w:t>
                  </w:r>
                </w:p>
              </w:tc>
              <w:tc>
                <w:tcPr>
                  <w:tcW w:w="1312" w:type="dxa"/>
                  <w:vMerge w:val="continue"/>
                  <w:vAlign w:val="center"/>
                </w:tcPr>
                <w:p>
                  <w:pPr>
                    <w:pStyle w:val="47"/>
                  </w:pPr>
                </w:p>
              </w:tc>
              <w:tc>
                <w:tcPr>
                  <w:tcW w:w="1159" w:type="dxa"/>
                  <w:vAlign w:val="center"/>
                </w:tcPr>
                <w:p>
                  <w:pPr>
                    <w:pStyle w:val="47"/>
                  </w:pPr>
                  <w:r>
                    <w:t>35</w:t>
                  </w:r>
                </w:p>
              </w:tc>
              <w:tc>
                <w:tcPr>
                  <w:tcW w:w="1331" w:type="dxa"/>
                  <w:vAlign w:val="center"/>
                </w:tcPr>
                <w:p>
                  <w:pPr>
                    <w:pStyle w:val="47"/>
                  </w:pPr>
                  <w:r>
                    <w:rPr>
                      <w:rFonts w:hint="eastAsia"/>
                    </w:rPr>
                    <w:t>0.006</w:t>
                  </w:r>
                </w:p>
              </w:tc>
              <w:tc>
                <w:tcPr>
                  <w:tcW w:w="368" w:type="pct"/>
                  <w:vMerge w:val="continue"/>
                  <w:vAlign w:val="center"/>
                </w:tcPr>
                <w:p>
                  <w:pPr>
                    <w:pStyle w:val="47"/>
                  </w:pPr>
                </w:p>
              </w:tc>
              <w:tc>
                <w:tcPr>
                  <w:tcW w:w="431" w:type="pct"/>
                  <w:vAlign w:val="center"/>
                </w:tcPr>
                <w:p>
                  <w:pPr>
                    <w:pStyle w:val="47"/>
                  </w:pPr>
                  <w:r>
                    <w:t>86</w:t>
                  </w:r>
                </w:p>
              </w:tc>
              <w:tc>
                <w:tcPr>
                  <w:tcW w:w="386" w:type="pct"/>
                  <w:vMerge w:val="continue"/>
                  <w:vAlign w:val="center"/>
                </w:tcPr>
                <w:p>
                  <w:pPr>
                    <w:pStyle w:val="47"/>
                  </w:pPr>
                </w:p>
              </w:tc>
              <w:tc>
                <w:tcPr>
                  <w:tcW w:w="431" w:type="pct"/>
                  <w:vMerge w:val="continue"/>
                  <w:vAlign w:val="center"/>
                </w:tcPr>
                <w:p>
                  <w:pPr>
                    <w:pStyle w:val="47"/>
                  </w:pPr>
                </w:p>
              </w:tc>
              <w:tc>
                <w:tcPr>
                  <w:tcW w:w="431" w:type="pct"/>
                  <w:vAlign w:val="center"/>
                </w:tcPr>
                <w:p>
                  <w:pPr>
                    <w:pStyle w:val="47"/>
                  </w:pPr>
                  <w:r>
                    <w:t>5</w:t>
                  </w:r>
                </w:p>
              </w:tc>
              <w:tc>
                <w:tcPr>
                  <w:tcW w:w="433" w:type="pct"/>
                  <w:vAlign w:val="center"/>
                </w:tcPr>
                <w:p>
                  <w:pPr>
                    <w:pStyle w:val="47"/>
                  </w:pPr>
                  <w:r>
                    <w:rPr>
                      <w:rFonts w:hint="eastAsia"/>
                    </w:rPr>
                    <w:t>0.001</w:t>
                  </w:r>
                </w:p>
              </w:tc>
              <w:tc>
                <w:tcPr>
                  <w:tcW w:w="296" w:type="pct"/>
                  <w:vMerge w:val="continue"/>
                  <w:vAlign w:val="center"/>
                </w:tcPr>
                <w:p>
                  <w:pPr>
                    <w:pStyle w:val="47"/>
                  </w:pPr>
                </w:p>
              </w:tc>
            </w:tr>
          </w:tbl>
          <w:p>
            <w:pPr>
              <w:pStyle w:val="49"/>
              <w:jc w:val="both"/>
              <w:rPr>
                <w:szCs w:val="16"/>
              </w:rPr>
            </w:pPr>
            <w:r>
              <w:rPr>
                <w:szCs w:val="16"/>
              </w:rPr>
              <w:t>注：对于新（改、扩）建工程污染源源强核算，应为最大值。</w:t>
            </w:r>
          </w:p>
          <w:p>
            <w:pPr>
              <w:pStyle w:val="6"/>
              <w:rPr>
                <w:kern w:val="2"/>
              </w:rPr>
            </w:pPr>
            <w:bookmarkStart w:id="136" w:name="_Toc29388583"/>
            <w:bookmarkStart w:id="137" w:name="_Toc29380632"/>
          </w:p>
          <w:p>
            <w:pPr>
              <w:pStyle w:val="6"/>
              <w:rPr>
                <w:kern w:val="2"/>
              </w:rPr>
            </w:pPr>
          </w:p>
          <w:p>
            <w:pPr>
              <w:pStyle w:val="6"/>
              <w:rPr>
                <w:kern w:val="2"/>
              </w:rPr>
            </w:pPr>
          </w:p>
          <w:p>
            <w:pPr>
              <w:pStyle w:val="6"/>
              <w:rPr>
                <w:kern w:val="2"/>
              </w:rPr>
            </w:pPr>
            <w:r>
              <w:rPr>
                <w:kern w:val="2"/>
              </w:rPr>
              <w:t>5.4.2废气污染源强核算汇总</w:t>
            </w:r>
            <w:bookmarkEnd w:id="136"/>
            <w:bookmarkEnd w:id="137"/>
          </w:p>
          <w:p>
            <w:pPr>
              <w:ind w:firstLine="480"/>
              <w:rPr>
                <w:szCs w:val="22"/>
              </w:rPr>
            </w:pPr>
            <w:bookmarkStart w:id="138" w:name="_Toc29388584"/>
            <w:bookmarkStart w:id="139" w:name="_Toc29380633"/>
            <w:r>
              <w:rPr>
                <w:rFonts w:hint="eastAsia"/>
                <w:szCs w:val="22"/>
              </w:rPr>
              <w:t>本项目运营阶段废气污染源核算情况详见表5-18。</w:t>
            </w:r>
          </w:p>
          <w:p>
            <w:pPr>
              <w:pStyle w:val="46"/>
            </w:pPr>
            <w:r>
              <w:rPr>
                <w:rFonts w:hint="eastAsia"/>
              </w:rPr>
              <w:t>表5-18   废气污染源源强核算结果及相关参数一览表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904"/>
              <w:gridCol w:w="936"/>
              <w:gridCol w:w="797"/>
              <w:gridCol w:w="684"/>
              <w:gridCol w:w="872"/>
              <w:gridCol w:w="1097"/>
              <w:gridCol w:w="875"/>
              <w:gridCol w:w="1186"/>
              <w:gridCol w:w="722"/>
              <w:gridCol w:w="660"/>
              <w:gridCol w:w="993"/>
              <w:gridCol w:w="1129"/>
              <w:gridCol w:w="891"/>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8" w:type="pct"/>
                  <w:vMerge w:val="restart"/>
                  <w:vAlign w:val="center"/>
                </w:tcPr>
                <w:p>
                  <w:pPr>
                    <w:pStyle w:val="47"/>
                    <w:rPr>
                      <w:b/>
                      <w:bCs/>
                    </w:rPr>
                  </w:pPr>
                  <w:r>
                    <w:rPr>
                      <w:b/>
                      <w:bCs/>
                    </w:rPr>
                    <w:t>工序/生产线</w:t>
                  </w:r>
                </w:p>
              </w:tc>
              <w:tc>
                <w:tcPr>
                  <w:tcW w:w="337" w:type="pct"/>
                  <w:vMerge w:val="restart"/>
                  <w:vAlign w:val="center"/>
                </w:tcPr>
                <w:p>
                  <w:pPr>
                    <w:pStyle w:val="47"/>
                    <w:rPr>
                      <w:b/>
                      <w:bCs/>
                    </w:rPr>
                  </w:pPr>
                  <w:r>
                    <w:rPr>
                      <w:b/>
                      <w:bCs/>
                    </w:rPr>
                    <w:t>装置</w:t>
                  </w:r>
                </w:p>
              </w:tc>
              <w:tc>
                <w:tcPr>
                  <w:tcW w:w="349" w:type="pct"/>
                  <w:vMerge w:val="restart"/>
                  <w:vAlign w:val="center"/>
                </w:tcPr>
                <w:p>
                  <w:pPr>
                    <w:pStyle w:val="47"/>
                    <w:rPr>
                      <w:b/>
                      <w:bCs/>
                    </w:rPr>
                  </w:pPr>
                  <w:r>
                    <w:rPr>
                      <w:b/>
                      <w:bCs/>
                    </w:rPr>
                    <w:t>污染源</w:t>
                  </w:r>
                </w:p>
              </w:tc>
              <w:tc>
                <w:tcPr>
                  <w:tcW w:w="297" w:type="pct"/>
                  <w:vMerge w:val="restart"/>
                  <w:vAlign w:val="center"/>
                </w:tcPr>
                <w:p>
                  <w:pPr>
                    <w:pStyle w:val="47"/>
                    <w:rPr>
                      <w:b/>
                      <w:bCs/>
                    </w:rPr>
                  </w:pPr>
                  <w:r>
                    <w:rPr>
                      <w:b/>
                      <w:bCs/>
                    </w:rPr>
                    <w:t>污染物</w:t>
                  </w:r>
                </w:p>
              </w:tc>
              <w:tc>
                <w:tcPr>
                  <w:tcW w:w="1315" w:type="pct"/>
                  <w:gridSpan w:val="4"/>
                  <w:vAlign w:val="center"/>
                </w:tcPr>
                <w:p>
                  <w:pPr>
                    <w:pStyle w:val="47"/>
                    <w:rPr>
                      <w:b/>
                      <w:bCs/>
                    </w:rPr>
                  </w:pPr>
                  <w:r>
                    <w:rPr>
                      <w:b/>
                      <w:bCs/>
                    </w:rPr>
                    <w:t>污染物产生</w:t>
                  </w:r>
                </w:p>
              </w:tc>
              <w:tc>
                <w:tcPr>
                  <w:tcW w:w="711" w:type="pct"/>
                  <w:gridSpan w:val="2"/>
                  <w:vAlign w:val="center"/>
                </w:tcPr>
                <w:p>
                  <w:pPr>
                    <w:pStyle w:val="47"/>
                    <w:rPr>
                      <w:b/>
                      <w:bCs/>
                    </w:rPr>
                  </w:pPr>
                  <w:r>
                    <w:rPr>
                      <w:b/>
                      <w:bCs/>
                    </w:rPr>
                    <w:t>治理措施</w:t>
                  </w:r>
                </w:p>
              </w:tc>
              <w:tc>
                <w:tcPr>
                  <w:tcW w:w="1369" w:type="pct"/>
                  <w:gridSpan w:val="4"/>
                  <w:vAlign w:val="center"/>
                </w:tcPr>
                <w:p>
                  <w:pPr>
                    <w:pStyle w:val="47"/>
                    <w:rPr>
                      <w:b/>
                      <w:bCs/>
                    </w:rPr>
                  </w:pPr>
                  <w:r>
                    <w:rPr>
                      <w:b/>
                      <w:bCs/>
                    </w:rPr>
                    <w:t>污染物排放</w:t>
                  </w:r>
                </w:p>
              </w:tc>
              <w:tc>
                <w:tcPr>
                  <w:tcW w:w="289" w:type="pct"/>
                  <w:vMerge w:val="restart"/>
                  <w:vAlign w:val="center"/>
                </w:tcPr>
                <w:p>
                  <w:pPr>
                    <w:pStyle w:val="47"/>
                    <w:rPr>
                      <w:b/>
                      <w:bCs/>
                    </w:rPr>
                  </w:pPr>
                  <w:r>
                    <w:rPr>
                      <w:b/>
                      <w:bCs/>
                    </w:rPr>
                    <w:t>排放</w:t>
                  </w:r>
                </w:p>
                <w:p>
                  <w:pPr>
                    <w:pStyle w:val="47"/>
                  </w:pPr>
                  <w:r>
                    <w:rPr>
                      <w:b/>
                      <w:bCs/>
                    </w:rPr>
                    <w:t>时间</w:t>
                  </w:r>
                  <w:r>
                    <w:rPr>
                      <w:rFonts w:hint="eastAsia"/>
                      <w:b/>
                      <w:bCs/>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8" w:type="pct"/>
                  <w:vMerge w:val="continue"/>
                  <w:vAlign w:val="center"/>
                </w:tcPr>
                <w:p>
                  <w:pPr>
                    <w:pStyle w:val="47"/>
                    <w:rPr>
                      <w:b/>
                      <w:bCs/>
                    </w:rPr>
                  </w:pPr>
                </w:p>
              </w:tc>
              <w:tc>
                <w:tcPr>
                  <w:tcW w:w="337" w:type="pct"/>
                  <w:vMerge w:val="continue"/>
                  <w:vAlign w:val="center"/>
                </w:tcPr>
                <w:p>
                  <w:pPr>
                    <w:pStyle w:val="47"/>
                    <w:rPr>
                      <w:b/>
                      <w:bCs/>
                    </w:rPr>
                  </w:pPr>
                </w:p>
              </w:tc>
              <w:tc>
                <w:tcPr>
                  <w:tcW w:w="349" w:type="pct"/>
                  <w:vMerge w:val="continue"/>
                  <w:vAlign w:val="center"/>
                </w:tcPr>
                <w:p>
                  <w:pPr>
                    <w:pStyle w:val="47"/>
                    <w:rPr>
                      <w:b/>
                      <w:bCs/>
                    </w:rPr>
                  </w:pPr>
                </w:p>
              </w:tc>
              <w:tc>
                <w:tcPr>
                  <w:tcW w:w="297" w:type="pct"/>
                  <w:vMerge w:val="continue"/>
                  <w:vAlign w:val="center"/>
                </w:tcPr>
                <w:p>
                  <w:pPr>
                    <w:pStyle w:val="47"/>
                    <w:rPr>
                      <w:b/>
                      <w:bCs/>
                    </w:rPr>
                  </w:pPr>
                </w:p>
              </w:tc>
              <w:tc>
                <w:tcPr>
                  <w:tcW w:w="255" w:type="pct"/>
                  <w:vAlign w:val="center"/>
                </w:tcPr>
                <w:p>
                  <w:pPr>
                    <w:pStyle w:val="47"/>
                    <w:rPr>
                      <w:b/>
                      <w:bCs/>
                    </w:rPr>
                  </w:pPr>
                  <w:r>
                    <w:rPr>
                      <w:b/>
                      <w:bCs/>
                    </w:rPr>
                    <w:t>核算</w:t>
                  </w:r>
                </w:p>
                <w:p>
                  <w:pPr>
                    <w:pStyle w:val="47"/>
                    <w:rPr>
                      <w:b/>
                      <w:bCs/>
                    </w:rPr>
                  </w:pPr>
                  <w:r>
                    <w:rPr>
                      <w:b/>
                      <w:bCs/>
                    </w:rPr>
                    <w:t>方法</w:t>
                  </w:r>
                </w:p>
              </w:tc>
              <w:tc>
                <w:tcPr>
                  <w:tcW w:w="325" w:type="pct"/>
                  <w:vAlign w:val="center"/>
                </w:tcPr>
                <w:p>
                  <w:pPr>
                    <w:pStyle w:val="47"/>
                    <w:rPr>
                      <w:b/>
                      <w:bCs/>
                    </w:rPr>
                  </w:pPr>
                  <w:r>
                    <w:rPr>
                      <w:b/>
                      <w:bCs/>
                    </w:rPr>
                    <w:t>废气产生量(m</w:t>
                  </w:r>
                  <w:r>
                    <w:rPr>
                      <w:b/>
                      <w:bCs/>
                      <w:vertAlign w:val="superscript"/>
                    </w:rPr>
                    <w:t>3</w:t>
                  </w:r>
                  <w:r>
                    <w:rPr>
                      <w:b/>
                      <w:bCs/>
                    </w:rPr>
                    <w:t>/h)</w:t>
                  </w:r>
                </w:p>
              </w:tc>
              <w:tc>
                <w:tcPr>
                  <w:tcW w:w="409" w:type="pct"/>
                  <w:vAlign w:val="center"/>
                </w:tcPr>
                <w:p>
                  <w:pPr>
                    <w:pStyle w:val="47"/>
                    <w:rPr>
                      <w:b/>
                      <w:bCs/>
                    </w:rPr>
                  </w:pPr>
                  <w:r>
                    <w:rPr>
                      <w:b/>
                      <w:bCs/>
                    </w:rPr>
                    <w:t>产生浓度(mg/m</w:t>
                  </w:r>
                  <w:r>
                    <w:rPr>
                      <w:b/>
                      <w:bCs/>
                      <w:vertAlign w:val="superscript"/>
                    </w:rPr>
                    <w:t>3</w:t>
                  </w:r>
                  <w:r>
                    <w:rPr>
                      <w:b/>
                      <w:bCs/>
                    </w:rPr>
                    <w:t>)</w:t>
                  </w:r>
                </w:p>
              </w:tc>
              <w:tc>
                <w:tcPr>
                  <w:tcW w:w="326" w:type="pct"/>
                  <w:vAlign w:val="center"/>
                </w:tcPr>
                <w:p>
                  <w:pPr>
                    <w:pStyle w:val="47"/>
                    <w:rPr>
                      <w:b/>
                      <w:bCs/>
                    </w:rPr>
                  </w:pPr>
                  <w:r>
                    <w:rPr>
                      <w:b/>
                      <w:bCs/>
                    </w:rPr>
                    <w:t>产生量</w:t>
                  </w:r>
                </w:p>
                <w:p>
                  <w:pPr>
                    <w:pStyle w:val="47"/>
                    <w:rPr>
                      <w:b/>
                      <w:bCs/>
                    </w:rPr>
                  </w:pPr>
                  <w:r>
                    <w:rPr>
                      <w:b/>
                      <w:bCs/>
                    </w:rPr>
                    <w:t>(kg/h)</w:t>
                  </w:r>
                </w:p>
              </w:tc>
              <w:tc>
                <w:tcPr>
                  <w:tcW w:w="442" w:type="pct"/>
                  <w:vAlign w:val="center"/>
                </w:tcPr>
                <w:p>
                  <w:pPr>
                    <w:pStyle w:val="47"/>
                    <w:rPr>
                      <w:b/>
                      <w:bCs/>
                    </w:rPr>
                  </w:pPr>
                  <w:r>
                    <w:rPr>
                      <w:b/>
                      <w:bCs/>
                    </w:rPr>
                    <w:t>工艺</w:t>
                  </w:r>
                </w:p>
              </w:tc>
              <w:tc>
                <w:tcPr>
                  <w:tcW w:w="269" w:type="pct"/>
                  <w:vAlign w:val="center"/>
                </w:tcPr>
                <w:p>
                  <w:pPr>
                    <w:pStyle w:val="47"/>
                    <w:rPr>
                      <w:b/>
                      <w:bCs/>
                    </w:rPr>
                  </w:pPr>
                  <w:r>
                    <w:rPr>
                      <w:b/>
                      <w:bCs/>
                    </w:rPr>
                    <w:t>效率</w:t>
                  </w:r>
                </w:p>
                <w:p>
                  <w:pPr>
                    <w:pStyle w:val="47"/>
                    <w:rPr>
                      <w:b/>
                      <w:bCs/>
                    </w:rPr>
                  </w:pPr>
                  <w:r>
                    <w:rPr>
                      <w:b/>
                      <w:bCs/>
                    </w:rPr>
                    <w:t>%</w:t>
                  </w:r>
                </w:p>
              </w:tc>
              <w:tc>
                <w:tcPr>
                  <w:tcW w:w="246" w:type="pct"/>
                  <w:vAlign w:val="center"/>
                </w:tcPr>
                <w:p>
                  <w:pPr>
                    <w:pStyle w:val="47"/>
                    <w:rPr>
                      <w:b/>
                      <w:bCs/>
                    </w:rPr>
                  </w:pPr>
                  <w:r>
                    <w:rPr>
                      <w:b/>
                      <w:bCs/>
                    </w:rPr>
                    <w:t>核算</w:t>
                  </w:r>
                </w:p>
                <w:p>
                  <w:pPr>
                    <w:pStyle w:val="47"/>
                    <w:rPr>
                      <w:b/>
                      <w:bCs/>
                    </w:rPr>
                  </w:pPr>
                  <w:r>
                    <w:rPr>
                      <w:b/>
                      <w:bCs/>
                    </w:rPr>
                    <w:t>方法</w:t>
                  </w:r>
                </w:p>
              </w:tc>
              <w:tc>
                <w:tcPr>
                  <w:tcW w:w="370" w:type="pct"/>
                  <w:vAlign w:val="center"/>
                </w:tcPr>
                <w:p>
                  <w:pPr>
                    <w:pStyle w:val="47"/>
                    <w:rPr>
                      <w:b/>
                      <w:bCs/>
                    </w:rPr>
                  </w:pPr>
                  <w:r>
                    <w:rPr>
                      <w:b/>
                      <w:bCs/>
                    </w:rPr>
                    <w:t>废气排放量(m</w:t>
                  </w:r>
                  <w:r>
                    <w:rPr>
                      <w:b/>
                      <w:bCs/>
                      <w:vertAlign w:val="superscript"/>
                    </w:rPr>
                    <w:t>3</w:t>
                  </w:r>
                  <w:r>
                    <w:rPr>
                      <w:b/>
                      <w:bCs/>
                    </w:rPr>
                    <w:t>/h)</w:t>
                  </w:r>
                </w:p>
              </w:tc>
              <w:tc>
                <w:tcPr>
                  <w:tcW w:w="421" w:type="pct"/>
                  <w:vAlign w:val="center"/>
                </w:tcPr>
                <w:p>
                  <w:pPr>
                    <w:pStyle w:val="47"/>
                    <w:rPr>
                      <w:b/>
                      <w:bCs/>
                    </w:rPr>
                  </w:pPr>
                  <w:r>
                    <w:rPr>
                      <w:b/>
                      <w:bCs/>
                    </w:rPr>
                    <w:t>排放浓度</w:t>
                  </w:r>
                </w:p>
                <w:p>
                  <w:pPr>
                    <w:pStyle w:val="47"/>
                    <w:rPr>
                      <w:b/>
                      <w:bCs/>
                    </w:rPr>
                  </w:pPr>
                  <w:r>
                    <w:rPr>
                      <w:b/>
                      <w:bCs/>
                    </w:rPr>
                    <w:t>(mg/m</w:t>
                  </w:r>
                  <w:r>
                    <w:rPr>
                      <w:b/>
                      <w:bCs/>
                      <w:vertAlign w:val="superscript"/>
                    </w:rPr>
                    <w:t>3</w:t>
                  </w:r>
                  <w:r>
                    <w:rPr>
                      <w:b/>
                      <w:bCs/>
                    </w:rPr>
                    <w:t>)</w:t>
                  </w:r>
                </w:p>
              </w:tc>
              <w:tc>
                <w:tcPr>
                  <w:tcW w:w="332" w:type="pct"/>
                  <w:vAlign w:val="center"/>
                </w:tcPr>
                <w:p>
                  <w:pPr>
                    <w:pStyle w:val="47"/>
                    <w:rPr>
                      <w:b/>
                      <w:bCs/>
                    </w:rPr>
                  </w:pPr>
                  <w:r>
                    <w:rPr>
                      <w:b/>
                      <w:bCs/>
                    </w:rPr>
                    <w:t>排放量</w:t>
                  </w:r>
                </w:p>
                <w:p>
                  <w:pPr>
                    <w:pStyle w:val="47"/>
                    <w:rPr>
                      <w:b/>
                      <w:bCs/>
                    </w:rPr>
                  </w:pPr>
                  <w:r>
                    <w:rPr>
                      <w:b/>
                      <w:bCs/>
                    </w:rPr>
                    <w:t>(kg/h)</w:t>
                  </w:r>
                </w:p>
              </w:tc>
              <w:tc>
                <w:tcPr>
                  <w:tcW w:w="289" w:type="pct"/>
                  <w:vMerge w:val="continue"/>
                  <w:vAlign w:val="center"/>
                </w:tcPr>
                <w:p>
                  <w:pPr>
                    <w:pStyle w:val="4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8" w:type="pct"/>
                  <w:vAlign w:val="center"/>
                </w:tcPr>
                <w:p>
                  <w:pPr>
                    <w:pStyle w:val="47"/>
                  </w:pPr>
                  <w:r>
                    <w:rPr>
                      <w:rFonts w:hint="eastAsia"/>
                    </w:rPr>
                    <w:t>焊接</w:t>
                  </w:r>
                </w:p>
              </w:tc>
              <w:tc>
                <w:tcPr>
                  <w:tcW w:w="337" w:type="pct"/>
                  <w:vAlign w:val="center"/>
                </w:tcPr>
                <w:p>
                  <w:pPr>
                    <w:pStyle w:val="47"/>
                  </w:pPr>
                  <w:r>
                    <w:rPr>
                      <w:rFonts w:hint="eastAsia"/>
                    </w:rPr>
                    <w:t>MIG焊机、交流氩弧焊机、二保焊</w:t>
                  </w:r>
                </w:p>
              </w:tc>
              <w:tc>
                <w:tcPr>
                  <w:tcW w:w="349" w:type="pct"/>
                  <w:vAlign w:val="center"/>
                </w:tcPr>
                <w:p>
                  <w:pPr>
                    <w:pStyle w:val="47"/>
                  </w:pPr>
                  <w:r>
                    <w:rPr>
                      <w:rFonts w:hint="eastAsia"/>
                    </w:rPr>
                    <w:t>无组织排放</w:t>
                  </w:r>
                </w:p>
              </w:tc>
              <w:tc>
                <w:tcPr>
                  <w:tcW w:w="297" w:type="pct"/>
                  <w:vAlign w:val="center"/>
                </w:tcPr>
                <w:p>
                  <w:pPr>
                    <w:pStyle w:val="47"/>
                  </w:pPr>
                  <w:r>
                    <w:rPr>
                      <w:rFonts w:hint="eastAsia"/>
                    </w:rPr>
                    <w:t>烟尘</w:t>
                  </w:r>
                </w:p>
              </w:tc>
              <w:tc>
                <w:tcPr>
                  <w:tcW w:w="255" w:type="pct"/>
                  <w:vAlign w:val="center"/>
                </w:tcPr>
                <w:p>
                  <w:pPr>
                    <w:pStyle w:val="47"/>
                  </w:pPr>
                  <w:r>
                    <w:rPr>
                      <w:rFonts w:hint="eastAsia"/>
                    </w:rPr>
                    <w:t>/</w:t>
                  </w:r>
                </w:p>
              </w:tc>
              <w:tc>
                <w:tcPr>
                  <w:tcW w:w="325" w:type="pct"/>
                  <w:vAlign w:val="center"/>
                </w:tcPr>
                <w:p>
                  <w:pPr>
                    <w:pStyle w:val="47"/>
                  </w:pPr>
                  <w:r>
                    <w:rPr>
                      <w:rFonts w:hint="eastAsia"/>
                    </w:rPr>
                    <w:t>/</w:t>
                  </w:r>
                </w:p>
              </w:tc>
              <w:tc>
                <w:tcPr>
                  <w:tcW w:w="409" w:type="pct"/>
                  <w:vAlign w:val="center"/>
                </w:tcPr>
                <w:p>
                  <w:pPr>
                    <w:pStyle w:val="47"/>
                  </w:pPr>
                  <w:r>
                    <w:rPr>
                      <w:rFonts w:hint="eastAsia"/>
                    </w:rPr>
                    <w:t>/</w:t>
                  </w:r>
                </w:p>
              </w:tc>
              <w:tc>
                <w:tcPr>
                  <w:tcW w:w="326" w:type="pct"/>
                  <w:vAlign w:val="center"/>
                </w:tcPr>
                <w:p>
                  <w:pPr>
                    <w:pStyle w:val="47"/>
                  </w:pPr>
                  <w:r>
                    <w:rPr>
                      <w:rFonts w:hint="eastAsia"/>
                    </w:rPr>
                    <w:t>0.001</w:t>
                  </w:r>
                </w:p>
              </w:tc>
              <w:tc>
                <w:tcPr>
                  <w:tcW w:w="442" w:type="pct"/>
                  <w:vAlign w:val="center"/>
                </w:tcPr>
                <w:p>
                  <w:pPr>
                    <w:pStyle w:val="47"/>
                  </w:pPr>
                  <w:r>
                    <w:rPr>
                      <w:rFonts w:hint="eastAsia"/>
                    </w:rPr>
                    <w:t>滤芯除尘</w:t>
                  </w:r>
                </w:p>
              </w:tc>
              <w:tc>
                <w:tcPr>
                  <w:tcW w:w="269" w:type="pct"/>
                  <w:vAlign w:val="center"/>
                </w:tcPr>
                <w:p>
                  <w:pPr>
                    <w:pStyle w:val="47"/>
                  </w:pPr>
                  <w:r>
                    <w:rPr>
                      <w:rFonts w:hint="eastAsia"/>
                    </w:rPr>
                    <w:t>90</w:t>
                  </w:r>
                </w:p>
              </w:tc>
              <w:tc>
                <w:tcPr>
                  <w:tcW w:w="246" w:type="pct"/>
                  <w:vAlign w:val="center"/>
                </w:tcPr>
                <w:p>
                  <w:pPr>
                    <w:pStyle w:val="47"/>
                  </w:pPr>
                </w:p>
              </w:tc>
              <w:tc>
                <w:tcPr>
                  <w:tcW w:w="370" w:type="pct"/>
                  <w:vAlign w:val="center"/>
                </w:tcPr>
                <w:p>
                  <w:pPr>
                    <w:pStyle w:val="47"/>
                  </w:pPr>
                  <w:r>
                    <w:rPr>
                      <w:rFonts w:hint="eastAsia"/>
                    </w:rPr>
                    <w:t>/</w:t>
                  </w:r>
                </w:p>
              </w:tc>
              <w:tc>
                <w:tcPr>
                  <w:tcW w:w="421" w:type="pct"/>
                  <w:vAlign w:val="center"/>
                </w:tcPr>
                <w:p>
                  <w:pPr>
                    <w:pStyle w:val="47"/>
                  </w:pPr>
                  <w:r>
                    <w:rPr>
                      <w:rFonts w:hint="eastAsia"/>
                    </w:rPr>
                    <w:t>/</w:t>
                  </w:r>
                </w:p>
              </w:tc>
              <w:tc>
                <w:tcPr>
                  <w:tcW w:w="332" w:type="pct"/>
                  <w:vAlign w:val="center"/>
                </w:tcPr>
                <w:p>
                  <w:pPr>
                    <w:pStyle w:val="47"/>
                  </w:pPr>
                  <w:r>
                    <w:rPr>
                      <w:rFonts w:hint="eastAsia"/>
                    </w:rPr>
                    <w:t>0.0004</w:t>
                  </w:r>
                </w:p>
              </w:tc>
              <w:tc>
                <w:tcPr>
                  <w:tcW w:w="289" w:type="pct"/>
                  <w:vAlign w:val="center"/>
                </w:tcPr>
                <w:p>
                  <w:pPr>
                    <w:pStyle w:val="47"/>
                  </w:pPr>
                  <w:r>
                    <w:rPr>
                      <w:rFonts w:hint="eastAsia"/>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8" w:type="pct"/>
                  <w:vMerge w:val="restart"/>
                  <w:vAlign w:val="center"/>
                </w:tcPr>
                <w:p>
                  <w:pPr>
                    <w:pStyle w:val="47"/>
                  </w:pPr>
                  <w:r>
                    <w:rPr>
                      <w:rFonts w:hint="eastAsia"/>
                    </w:rPr>
                    <w:t>浸漆、烘干</w:t>
                  </w:r>
                </w:p>
              </w:tc>
              <w:tc>
                <w:tcPr>
                  <w:tcW w:w="337" w:type="pct"/>
                  <w:vMerge w:val="restart"/>
                  <w:vAlign w:val="center"/>
                </w:tcPr>
                <w:p>
                  <w:pPr>
                    <w:pStyle w:val="47"/>
                  </w:pPr>
                  <w:r>
                    <w:rPr>
                      <w:rFonts w:hint="eastAsia"/>
                    </w:rPr>
                    <w:t>真空含浸机、电热烘箱</w:t>
                  </w:r>
                </w:p>
              </w:tc>
              <w:tc>
                <w:tcPr>
                  <w:tcW w:w="349" w:type="pct"/>
                  <w:vAlign w:val="center"/>
                </w:tcPr>
                <w:p>
                  <w:pPr>
                    <w:pStyle w:val="47"/>
                  </w:pPr>
                  <w:r>
                    <w:rPr>
                      <w:rFonts w:hint="eastAsia"/>
                    </w:rPr>
                    <w:t>有组织排放</w:t>
                  </w:r>
                </w:p>
              </w:tc>
              <w:tc>
                <w:tcPr>
                  <w:tcW w:w="297" w:type="pct"/>
                  <w:vMerge w:val="restart"/>
                  <w:vAlign w:val="center"/>
                </w:tcPr>
                <w:p>
                  <w:pPr>
                    <w:pStyle w:val="47"/>
                  </w:pPr>
                  <w:r>
                    <w:rPr>
                      <w:rFonts w:hint="eastAsia"/>
                    </w:rPr>
                    <w:t>非甲烷总烃</w:t>
                  </w:r>
                </w:p>
              </w:tc>
              <w:tc>
                <w:tcPr>
                  <w:tcW w:w="255" w:type="pct"/>
                  <w:vMerge w:val="restart"/>
                  <w:vAlign w:val="center"/>
                </w:tcPr>
                <w:p>
                  <w:pPr>
                    <w:pStyle w:val="47"/>
                  </w:pPr>
                  <w:r>
                    <w:rPr>
                      <w:rFonts w:hint="eastAsia"/>
                    </w:rPr>
                    <w:t>产污系数法</w:t>
                  </w:r>
                </w:p>
              </w:tc>
              <w:tc>
                <w:tcPr>
                  <w:tcW w:w="325" w:type="pct"/>
                  <w:vAlign w:val="center"/>
                </w:tcPr>
                <w:p>
                  <w:pPr>
                    <w:pStyle w:val="47"/>
                  </w:pPr>
                  <w:r>
                    <w:rPr>
                      <w:rFonts w:hint="eastAsia"/>
                    </w:rPr>
                    <w:t>5000</w:t>
                  </w:r>
                </w:p>
              </w:tc>
              <w:tc>
                <w:tcPr>
                  <w:tcW w:w="409" w:type="pct"/>
                  <w:vAlign w:val="center"/>
                </w:tcPr>
                <w:p>
                  <w:pPr>
                    <w:pStyle w:val="47"/>
                  </w:pPr>
                  <w:r>
                    <w:rPr>
                      <w:rFonts w:hint="eastAsia"/>
                    </w:rPr>
                    <w:t>34.6</w:t>
                  </w:r>
                </w:p>
              </w:tc>
              <w:tc>
                <w:tcPr>
                  <w:tcW w:w="326" w:type="pct"/>
                  <w:vAlign w:val="center"/>
                </w:tcPr>
                <w:p>
                  <w:pPr>
                    <w:pStyle w:val="47"/>
                  </w:pPr>
                  <w:r>
                    <w:rPr>
                      <w:rFonts w:hint="eastAsia"/>
                    </w:rPr>
                    <w:t>0.173</w:t>
                  </w:r>
                </w:p>
              </w:tc>
              <w:tc>
                <w:tcPr>
                  <w:tcW w:w="442" w:type="pct"/>
                  <w:vAlign w:val="center"/>
                </w:tcPr>
                <w:p>
                  <w:pPr>
                    <w:pStyle w:val="47"/>
                  </w:pPr>
                  <w:r>
                    <w:rPr>
                      <w:rFonts w:hint="eastAsia"/>
                    </w:rPr>
                    <w:t>“一级活性炭+二级活性炭”吸附</w:t>
                  </w:r>
                </w:p>
              </w:tc>
              <w:tc>
                <w:tcPr>
                  <w:tcW w:w="269" w:type="pct"/>
                  <w:vAlign w:val="center"/>
                </w:tcPr>
                <w:p>
                  <w:pPr>
                    <w:pStyle w:val="47"/>
                  </w:pPr>
                  <w:r>
                    <w:rPr>
                      <w:rFonts w:hint="eastAsia"/>
                    </w:rPr>
                    <w:t>90</w:t>
                  </w:r>
                </w:p>
              </w:tc>
              <w:tc>
                <w:tcPr>
                  <w:tcW w:w="246" w:type="pct"/>
                  <w:vMerge w:val="restart"/>
                  <w:vAlign w:val="center"/>
                </w:tcPr>
                <w:p>
                  <w:pPr>
                    <w:pStyle w:val="47"/>
                  </w:pPr>
                  <w:r>
                    <w:rPr>
                      <w:rFonts w:hint="eastAsia"/>
                    </w:rPr>
                    <w:t>排污系数法</w:t>
                  </w:r>
                </w:p>
              </w:tc>
              <w:tc>
                <w:tcPr>
                  <w:tcW w:w="370" w:type="pct"/>
                  <w:vAlign w:val="center"/>
                </w:tcPr>
                <w:p>
                  <w:pPr>
                    <w:pStyle w:val="47"/>
                  </w:pPr>
                  <w:r>
                    <w:rPr>
                      <w:rFonts w:hint="eastAsia"/>
                    </w:rPr>
                    <w:t>5000</w:t>
                  </w:r>
                </w:p>
              </w:tc>
              <w:tc>
                <w:tcPr>
                  <w:tcW w:w="421" w:type="pct"/>
                  <w:vAlign w:val="center"/>
                </w:tcPr>
                <w:p>
                  <w:pPr>
                    <w:pStyle w:val="47"/>
                  </w:pPr>
                  <w:r>
                    <w:rPr>
                      <w:rFonts w:hint="eastAsia"/>
                    </w:rPr>
                    <w:t>3.4</w:t>
                  </w:r>
                </w:p>
              </w:tc>
              <w:tc>
                <w:tcPr>
                  <w:tcW w:w="332" w:type="pct"/>
                  <w:vAlign w:val="center"/>
                </w:tcPr>
                <w:p>
                  <w:pPr>
                    <w:pStyle w:val="47"/>
                  </w:pPr>
                  <w:r>
                    <w:rPr>
                      <w:rFonts w:hint="eastAsia"/>
                    </w:rPr>
                    <w:t>0.017</w:t>
                  </w:r>
                </w:p>
              </w:tc>
              <w:tc>
                <w:tcPr>
                  <w:tcW w:w="289" w:type="pct"/>
                  <w:vMerge w:val="restart"/>
                  <w:vAlign w:val="center"/>
                </w:tcPr>
                <w:p>
                  <w:pPr>
                    <w:pStyle w:val="47"/>
                  </w:pPr>
                  <w:r>
                    <w:rPr>
                      <w:rFonts w:hint="eastAsia"/>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8" w:type="pct"/>
                  <w:vMerge w:val="continue"/>
                  <w:vAlign w:val="center"/>
                </w:tcPr>
                <w:p>
                  <w:pPr>
                    <w:pStyle w:val="47"/>
                  </w:pPr>
                </w:p>
              </w:tc>
              <w:tc>
                <w:tcPr>
                  <w:tcW w:w="337" w:type="pct"/>
                  <w:vMerge w:val="continue"/>
                  <w:vAlign w:val="center"/>
                </w:tcPr>
                <w:p>
                  <w:pPr>
                    <w:pStyle w:val="47"/>
                  </w:pPr>
                </w:p>
              </w:tc>
              <w:tc>
                <w:tcPr>
                  <w:tcW w:w="349" w:type="pct"/>
                  <w:vAlign w:val="center"/>
                </w:tcPr>
                <w:p>
                  <w:pPr>
                    <w:pStyle w:val="47"/>
                  </w:pPr>
                  <w:r>
                    <w:rPr>
                      <w:rFonts w:hint="eastAsia"/>
                    </w:rPr>
                    <w:t>无组织排放</w:t>
                  </w:r>
                </w:p>
              </w:tc>
              <w:tc>
                <w:tcPr>
                  <w:tcW w:w="297" w:type="pct"/>
                  <w:vMerge w:val="continue"/>
                  <w:vAlign w:val="center"/>
                </w:tcPr>
                <w:p>
                  <w:pPr>
                    <w:pStyle w:val="47"/>
                  </w:pPr>
                </w:p>
              </w:tc>
              <w:tc>
                <w:tcPr>
                  <w:tcW w:w="255" w:type="pct"/>
                  <w:vMerge w:val="continue"/>
                  <w:vAlign w:val="center"/>
                </w:tcPr>
                <w:p>
                  <w:pPr>
                    <w:pStyle w:val="47"/>
                  </w:pPr>
                </w:p>
              </w:tc>
              <w:tc>
                <w:tcPr>
                  <w:tcW w:w="325" w:type="pct"/>
                  <w:vAlign w:val="center"/>
                </w:tcPr>
                <w:p>
                  <w:pPr>
                    <w:pStyle w:val="47"/>
                  </w:pPr>
                  <w:r>
                    <w:rPr>
                      <w:rFonts w:hint="eastAsia"/>
                    </w:rPr>
                    <w:t>/</w:t>
                  </w:r>
                </w:p>
              </w:tc>
              <w:tc>
                <w:tcPr>
                  <w:tcW w:w="409" w:type="pct"/>
                  <w:vAlign w:val="center"/>
                </w:tcPr>
                <w:p>
                  <w:pPr>
                    <w:pStyle w:val="47"/>
                  </w:pPr>
                  <w:r>
                    <w:rPr>
                      <w:rFonts w:hint="eastAsia"/>
                    </w:rPr>
                    <w:t>/</w:t>
                  </w:r>
                </w:p>
              </w:tc>
              <w:tc>
                <w:tcPr>
                  <w:tcW w:w="326" w:type="pct"/>
                  <w:vAlign w:val="center"/>
                </w:tcPr>
                <w:p>
                  <w:pPr>
                    <w:pStyle w:val="47"/>
                  </w:pPr>
                  <w:r>
                    <w:rPr>
                      <w:rFonts w:hint="eastAsia"/>
                    </w:rPr>
                    <w:t>0.019</w:t>
                  </w:r>
                </w:p>
              </w:tc>
              <w:tc>
                <w:tcPr>
                  <w:tcW w:w="442" w:type="pct"/>
                  <w:vAlign w:val="center"/>
                </w:tcPr>
                <w:p>
                  <w:pPr>
                    <w:pStyle w:val="47"/>
                  </w:pPr>
                  <w:r>
                    <w:rPr>
                      <w:rFonts w:hint="eastAsia"/>
                    </w:rPr>
                    <w:t>/</w:t>
                  </w:r>
                </w:p>
              </w:tc>
              <w:tc>
                <w:tcPr>
                  <w:tcW w:w="269" w:type="pct"/>
                  <w:vAlign w:val="center"/>
                </w:tcPr>
                <w:p>
                  <w:pPr>
                    <w:pStyle w:val="47"/>
                  </w:pPr>
                  <w:r>
                    <w:rPr>
                      <w:rFonts w:hint="eastAsia"/>
                    </w:rPr>
                    <w:t>/</w:t>
                  </w:r>
                </w:p>
              </w:tc>
              <w:tc>
                <w:tcPr>
                  <w:tcW w:w="246" w:type="pct"/>
                  <w:vMerge w:val="continue"/>
                  <w:vAlign w:val="center"/>
                </w:tcPr>
                <w:p>
                  <w:pPr>
                    <w:pStyle w:val="47"/>
                  </w:pPr>
                </w:p>
              </w:tc>
              <w:tc>
                <w:tcPr>
                  <w:tcW w:w="370" w:type="pct"/>
                  <w:vAlign w:val="center"/>
                </w:tcPr>
                <w:p>
                  <w:pPr>
                    <w:pStyle w:val="47"/>
                  </w:pPr>
                </w:p>
              </w:tc>
              <w:tc>
                <w:tcPr>
                  <w:tcW w:w="421" w:type="pct"/>
                  <w:vAlign w:val="center"/>
                </w:tcPr>
                <w:p>
                  <w:pPr>
                    <w:pStyle w:val="47"/>
                  </w:pPr>
                  <w:r>
                    <w:rPr>
                      <w:rFonts w:hint="eastAsia"/>
                    </w:rPr>
                    <w:t>/</w:t>
                  </w:r>
                </w:p>
              </w:tc>
              <w:tc>
                <w:tcPr>
                  <w:tcW w:w="332" w:type="pct"/>
                  <w:vAlign w:val="center"/>
                </w:tcPr>
                <w:p>
                  <w:pPr>
                    <w:pStyle w:val="47"/>
                  </w:pPr>
                  <w:r>
                    <w:rPr>
                      <w:rFonts w:hint="eastAsia"/>
                    </w:rPr>
                    <w:t>0.019</w:t>
                  </w:r>
                </w:p>
              </w:tc>
              <w:tc>
                <w:tcPr>
                  <w:tcW w:w="289" w:type="pct"/>
                  <w:vMerge w:val="continue"/>
                  <w:vAlign w:val="center"/>
                </w:tcPr>
                <w:p>
                  <w:pPr>
                    <w:pStyle w:val="47"/>
                  </w:pPr>
                </w:p>
              </w:tc>
            </w:tr>
          </w:tbl>
          <w:p>
            <w:pPr>
              <w:pStyle w:val="6"/>
              <w:spacing w:before="120" w:beforeLines="50"/>
              <w:rPr>
                <w:kern w:val="2"/>
              </w:rPr>
            </w:pPr>
            <w:r>
              <w:rPr>
                <w:kern w:val="2"/>
              </w:rPr>
              <w:t>5.4.3噪声污染源汇总</w:t>
            </w:r>
            <w:bookmarkEnd w:id="138"/>
            <w:bookmarkEnd w:id="139"/>
          </w:p>
          <w:p>
            <w:pPr>
              <w:ind w:firstLine="480"/>
            </w:pPr>
            <w:r>
              <w:t>项目营运过程中主要设备噪声污染源强核算情况见表5-</w:t>
            </w:r>
            <w:r>
              <w:rPr>
                <w:rFonts w:hint="eastAsia"/>
              </w:rPr>
              <w:t>19</w:t>
            </w:r>
            <w:r>
              <w:t>。</w:t>
            </w:r>
          </w:p>
          <w:p>
            <w:pPr>
              <w:pStyle w:val="46"/>
            </w:pPr>
          </w:p>
          <w:p>
            <w:pPr>
              <w:pStyle w:val="46"/>
            </w:pPr>
          </w:p>
          <w:p>
            <w:pPr>
              <w:pStyle w:val="46"/>
            </w:pPr>
          </w:p>
          <w:p>
            <w:pPr>
              <w:pStyle w:val="46"/>
            </w:pPr>
          </w:p>
          <w:p>
            <w:pPr>
              <w:pStyle w:val="46"/>
            </w:pPr>
          </w:p>
          <w:p>
            <w:pPr>
              <w:pStyle w:val="46"/>
            </w:pPr>
          </w:p>
          <w:p>
            <w:pPr>
              <w:pStyle w:val="46"/>
            </w:pPr>
          </w:p>
          <w:p>
            <w:pPr>
              <w:pStyle w:val="46"/>
            </w:pPr>
          </w:p>
          <w:p>
            <w:pPr>
              <w:pStyle w:val="46"/>
            </w:pPr>
          </w:p>
          <w:p>
            <w:pPr>
              <w:pStyle w:val="46"/>
            </w:pPr>
          </w:p>
          <w:p>
            <w:pPr>
              <w:pStyle w:val="46"/>
            </w:pPr>
            <w:r>
              <w:t>表5-</w:t>
            </w:r>
            <w:r>
              <w:rPr>
                <w:rFonts w:hint="eastAsia"/>
              </w:rPr>
              <w:t xml:space="preserve">19 </w:t>
            </w:r>
            <w:r>
              <w:t xml:space="preserve"> 噪声污染源源强核算结果及相关参数一览表</w:t>
            </w:r>
          </w:p>
          <w:tbl>
            <w:tblPr>
              <w:tblStyle w:val="34"/>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1"/>
              <w:gridCol w:w="1553"/>
              <w:gridCol w:w="1545"/>
              <w:gridCol w:w="1666"/>
              <w:gridCol w:w="1156"/>
              <w:gridCol w:w="1212"/>
              <w:gridCol w:w="864"/>
              <w:gridCol w:w="1153"/>
              <w:gridCol w:w="1102"/>
              <w:gridCol w:w="1250"/>
              <w:gridCol w:w="9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6" w:type="pct"/>
                  <w:vMerge w:val="restart"/>
                  <w:vAlign w:val="center"/>
                </w:tcPr>
                <w:p>
                  <w:pPr>
                    <w:pStyle w:val="46"/>
                  </w:pPr>
                  <w:r>
                    <w:t>工序/生产线</w:t>
                  </w:r>
                </w:p>
              </w:tc>
              <w:tc>
                <w:tcPr>
                  <w:tcW w:w="579" w:type="pct"/>
                  <w:vMerge w:val="restart"/>
                  <w:vAlign w:val="center"/>
                </w:tcPr>
                <w:p>
                  <w:pPr>
                    <w:pStyle w:val="46"/>
                  </w:pPr>
                  <w:r>
                    <w:t>装置</w:t>
                  </w:r>
                </w:p>
              </w:tc>
              <w:tc>
                <w:tcPr>
                  <w:tcW w:w="576" w:type="pct"/>
                  <w:vMerge w:val="restart"/>
                  <w:vAlign w:val="center"/>
                </w:tcPr>
                <w:p>
                  <w:pPr>
                    <w:pStyle w:val="46"/>
                  </w:pPr>
                  <w:r>
                    <w:t>噪声源</w:t>
                  </w:r>
                </w:p>
              </w:tc>
              <w:tc>
                <w:tcPr>
                  <w:tcW w:w="621" w:type="pct"/>
                  <w:vMerge w:val="restart"/>
                  <w:vAlign w:val="center"/>
                </w:tcPr>
                <w:p>
                  <w:pPr>
                    <w:pStyle w:val="46"/>
                  </w:pPr>
                  <w:r>
                    <w:t>声源类型</w:t>
                  </w:r>
                </w:p>
                <w:p>
                  <w:pPr>
                    <w:pStyle w:val="46"/>
                  </w:pPr>
                  <w:r>
                    <w:t>(频发、偶发等)</w:t>
                  </w:r>
                </w:p>
              </w:tc>
              <w:tc>
                <w:tcPr>
                  <w:tcW w:w="883" w:type="pct"/>
                  <w:gridSpan w:val="2"/>
                  <w:vAlign w:val="center"/>
                </w:tcPr>
                <w:p>
                  <w:pPr>
                    <w:pStyle w:val="46"/>
                  </w:pPr>
                  <w:r>
                    <w:t>噪声源强</w:t>
                  </w:r>
                </w:p>
              </w:tc>
              <w:tc>
                <w:tcPr>
                  <w:tcW w:w="752" w:type="pct"/>
                  <w:gridSpan w:val="2"/>
                  <w:vAlign w:val="center"/>
                </w:tcPr>
                <w:p>
                  <w:pPr>
                    <w:pStyle w:val="46"/>
                  </w:pPr>
                  <w:r>
                    <w:t>降噪措施</w:t>
                  </w:r>
                </w:p>
              </w:tc>
              <w:tc>
                <w:tcPr>
                  <w:tcW w:w="877" w:type="pct"/>
                  <w:gridSpan w:val="2"/>
                  <w:vAlign w:val="center"/>
                </w:tcPr>
                <w:p>
                  <w:pPr>
                    <w:pStyle w:val="46"/>
                  </w:pPr>
                  <w:r>
                    <w:t>噪声排放值</w:t>
                  </w:r>
                </w:p>
              </w:tc>
              <w:tc>
                <w:tcPr>
                  <w:tcW w:w="372" w:type="pct"/>
                  <w:vMerge w:val="restart"/>
                  <w:vAlign w:val="center"/>
                </w:tcPr>
                <w:p>
                  <w:pPr>
                    <w:pStyle w:val="46"/>
                  </w:pPr>
                  <w:r>
                    <w:t>持续</w:t>
                  </w:r>
                </w:p>
                <w:p>
                  <w:pPr>
                    <w:pStyle w:val="46"/>
                    <w:rPr>
                      <w:b w:val="0"/>
                    </w:rPr>
                  </w:pPr>
                  <w:r>
                    <w:t>时间</w:t>
                  </w:r>
                  <w:r>
                    <w:rPr>
                      <w:rFonts w:hint="eastAsia"/>
                    </w:rPr>
                    <w: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6" w:type="pct"/>
                  <w:vMerge w:val="continue"/>
                  <w:vAlign w:val="center"/>
                </w:tcPr>
                <w:p>
                  <w:pPr>
                    <w:pStyle w:val="46"/>
                  </w:pPr>
                </w:p>
              </w:tc>
              <w:tc>
                <w:tcPr>
                  <w:tcW w:w="579" w:type="pct"/>
                  <w:vMerge w:val="continue"/>
                  <w:vAlign w:val="center"/>
                </w:tcPr>
                <w:p>
                  <w:pPr>
                    <w:pStyle w:val="46"/>
                  </w:pPr>
                </w:p>
              </w:tc>
              <w:tc>
                <w:tcPr>
                  <w:tcW w:w="576" w:type="pct"/>
                  <w:vMerge w:val="continue"/>
                  <w:vAlign w:val="center"/>
                </w:tcPr>
                <w:p>
                  <w:pPr>
                    <w:pStyle w:val="46"/>
                  </w:pPr>
                </w:p>
              </w:tc>
              <w:tc>
                <w:tcPr>
                  <w:tcW w:w="621" w:type="pct"/>
                  <w:vMerge w:val="continue"/>
                  <w:vAlign w:val="center"/>
                </w:tcPr>
                <w:p>
                  <w:pPr>
                    <w:pStyle w:val="46"/>
                  </w:pPr>
                </w:p>
              </w:tc>
              <w:tc>
                <w:tcPr>
                  <w:tcW w:w="431" w:type="pct"/>
                  <w:vAlign w:val="center"/>
                </w:tcPr>
                <w:p>
                  <w:pPr>
                    <w:pStyle w:val="46"/>
                  </w:pPr>
                  <w:r>
                    <w:t>核算方法</w:t>
                  </w:r>
                </w:p>
              </w:tc>
              <w:tc>
                <w:tcPr>
                  <w:tcW w:w="452" w:type="pct"/>
                  <w:vAlign w:val="center"/>
                </w:tcPr>
                <w:p>
                  <w:pPr>
                    <w:pStyle w:val="46"/>
                  </w:pPr>
                  <w:r>
                    <w:t>噪声值</w:t>
                  </w:r>
                </w:p>
                <w:p>
                  <w:pPr>
                    <w:pStyle w:val="46"/>
                  </w:pPr>
                  <w:r>
                    <w:t>/dB（A）</w:t>
                  </w:r>
                </w:p>
              </w:tc>
              <w:tc>
                <w:tcPr>
                  <w:tcW w:w="322" w:type="pct"/>
                  <w:vAlign w:val="center"/>
                </w:tcPr>
                <w:p>
                  <w:pPr>
                    <w:pStyle w:val="46"/>
                  </w:pPr>
                  <w:r>
                    <w:t>工艺</w:t>
                  </w:r>
                </w:p>
              </w:tc>
              <w:tc>
                <w:tcPr>
                  <w:tcW w:w="430" w:type="pct"/>
                  <w:vAlign w:val="center"/>
                </w:tcPr>
                <w:p>
                  <w:pPr>
                    <w:pStyle w:val="46"/>
                  </w:pPr>
                  <w:r>
                    <w:t>降噪效果</w:t>
                  </w:r>
                </w:p>
              </w:tc>
              <w:tc>
                <w:tcPr>
                  <w:tcW w:w="411" w:type="pct"/>
                  <w:vAlign w:val="center"/>
                </w:tcPr>
                <w:p>
                  <w:pPr>
                    <w:pStyle w:val="46"/>
                  </w:pPr>
                  <w:r>
                    <w:t>核算方法</w:t>
                  </w:r>
                </w:p>
              </w:tc>
              <w:tc>
                <w:tcPr>
                  <w:tcW w:w="466" w:type="pct"/>
                  <w:vAlign w:val="center"/>
                </w:tcPr>
                <w:p>
                  <w:pPr>
                    <w:pStyle w:val="46"/>
                  </w:pPr>
                  <w:r>
                    <w:t>噪声值</w:t>
                  </w:r>
                </w:p>
              </w:tc>
              <w:tc>
                <w:tcPr>
                  <w:tcW w:w="372" w:type="pct"/>
                  <w:vMerge w:val="continue"/>
                  <w:vAlign w:val="center"/>
                </w:tcPr>
                <w:p>
                  <w:pPr>
                    <w:pStyle w:val="49"/>
                    <w:rPr>
                      <w: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6" w:type="pct"/>
                  <w:vMerge w:val="restart"/>
                  <w:vAlign w:val="center"/>
                </w:tcPr>
                <w:p>
                  <w:pPr>
                    <w:pStyle w:val="47"/>
                  </w:pPr>
                  <w:r>
                    <w:t>生产</w:t>
                  </w:r>
                </w:p>
                <w:p>
                  <w:pPr>
                    <w:pStyle w:val="47"/>
                  </w:pPr>
                  <w:r>
                    <w:t>车间</w:t>
                  </w:r>
                </w:p>
              </w:tc>
              <w:tc>
                <w:tcPr>
                  <w:tcW w:w="579" w:type="pct"/>
                  <w:vAlign w:val="center"/>
                </w:tcPr>
                <w:p>
                  <w:pPr>
                    <w:pStyle w:val="47"/>
                  </w:pPr>
                  <w:r>
                    <w:t>加工中心</w:t>
                  </w:r>
                </w:p>
              </w:tc>
              <w:tc>
                <w:tcPr>
                  <w:tcW w:w="576" w:type="pct"/>
                  <w:vAlign w:val="center"/>
                </w:tcPr>
                <w:p>
                  <w:pPr>
                    <w:pStyle w:val="47"/>
                  </w:pPr>
                  <w:r>
                    <w:t>加工中心</w:t>
                  </w:r>
                </w:p>
              </w:tc>
              <w:tc>
                <w:tcPr>
                  <w:tcW w:w="621" w:type="pct"/>
                  <w:vAlign w:val="center"/>
                </w:tcPr>
                <w:p>
                  <w:pPr>
                    <w:pStyle w:val="47"/>
                  </w:pPr>
                  <w:r>
                    <w:t>频发</w:t>
                  </w:r>
                </w:p>
              </w:tc>
              <w:tc>
                <w:tcPr>
                  <w:tcW w:w="431" w:type="pct"/>
                  <w:vAlign w:val="center"/>
                </w:tcPr>
                <w:p>
                  <w:pPr>
                    <w:pStyle w:val="47"/>
                  </w:pPr>
                  <w:r>
                    <w:t>类比法</w:t>
                  </w:r>
                </w:p>
              </w:tc>
              <w:tc>
                <w:tcPr>
                  <w:tcW w:w="1212" w:type="dxa"/>
                  <w:vAlign w:val="center"/>
                </w:tcPr>
                <w:p>
                  <w:pPr>
                    <w:pStyle w:val="47"/>
                  </w:pPr>
                  <w:r>
                    <w:t>75~80</w:t>
                  </w:r>
                </w:p>
              </w:tc>
              <w:tc>
                <w:tcPr>
                  <w:tcW w:w="322" w:type="pct"/>
                  <w:vMerge w:val="restart"/>
                  <w:vAlign w:val="center"/>
                </w:tcPr>
                <w:p>
                  <w:pPr>
                    <w:pStyle w:val="47"/>
                  </w:pPr>
                  <w:r>
                    <w:t>加强车间管理</w:t>
                  </w:r>
                </w:p>
              </w:tc>
              <w:tc>
                <w:tcPr>
                  <w:tcW w:w="430" w:type="pct"/>
                  <w:vMerge w:val="restart"/>
                  <w:vAlign w:val="center"/>
                </w:tcPr>
                <w:p>
                  <w:pPr>
                    <w:pStyle w:val="47"/>
                  </w:pPr>
                  <w:r>
                    <w:t>/</w:t>
                  </w:r>
                </w:p>
              </w:tc>
              <w:tc>
                <w:tcPr>
                  <w:tcW w:w="411" w:type="pct"/>
                  <w:vAlign w:val="center"/>
                </w:tcPr>
                <w:p>
                  <w:pPr>
                    <w:pStyle w:val="47"/>
                  </w:pPr>
                  <w:r>
                    <w:t>类比法</w:t>
                  </w:r>
                </w:p>
              </w:tc>
              <w:tc>
                <w:tcPr>
                  <w:tcW w:w="1250" w:type="dxa"/>
                  <w:vAlign w:val="center"/>
                </w:tcPr>
                <w:p>
                  <w:pPr>
                    <w:pStyle w:val="47"/>
                  </w:pPr>
                  <w:r>
                    <w:t>75~80</w:t>
                  </w:r>
                </w:p>
              </w:tc>
              <w:tc>
                <w:tcPr>
                  <w:tcW w:w="372" w:type="pct"/>
                  <w:vAlign w:val="center"/>
                </w:tcPr>
                <w:p>
                  <w:pPr>
                    <w:pStyle w:val="47"/>
                  </w:pPr>
                  <w:r>
                    <w:rPr>
                      <w:rFonts w:hint="eastAsia"/>
                    </w:rPr>
                    <w:t>2400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6" w:type="pct"/>
                  <w:vMerge w:val="continue"/>
                  <w:vAlign w:val="center"/>
                </w:tcPr>
                <w:p>
                  <w:pPr>
                    <w:pStyle w:val="47"/>
                  </w:pPr>
                </w:p>
              </w:tc>
              <w:tc>
                <w:tcPr>
                  <w:tcW w:w="579" w:type="pct"/>
                  <w:vAlign w:val="center"/>
                </w:tcPr>
                <w:p>
                  <w:pPr>
                    <w:pStyle w:val="47"/>
                  </w:pPr>
                  <w:r>
                    <w:t>炮塔铣床</w:t>
                  </w:r>
                </w:p>
              </w:tc>
              <w:tc>
                <w:tcPr>
                  <w:tcW w:w="576" w:type="pct"/>
                  <w:vAlign w:val="center"/>
                </w:tcPr>
                <w:p>
                  <w:pPr>
                    <w:pStyle w:val="47"/>
                  </w:pPr>
                  <w:r>
                    <w:t>炮塔铣床</w:t>
                  </w:r>
                </w:p>
              </w:tc>
              <w:tc>
                <w:tcPr>
                  <w:tcW w:w="621" w:type="pct"/>
                  <w:vAlign w:val="center"/>
                </w:tcPr>
                <w:p>
                  <w:pPr>
                    <w:pStyle w:val="47"/>
                  </w:pPr>
                  <w:r>
                    <w:t>频发</w:t>
                  </w:r>
                </w:p>
              </w:tc>
              <w:tc>
                <w:tcPr>
                  <w:tcW w:w="431" w:type="pct"/>
                  <w:vAlign w:val="center"/>
                </w:tcPr>
                <w:p>
                  <w:pPr>
                    <w:pStyle w:val="47"/>
                  </w:pPr>
                  <w:r>
                    <w:t>类比法</w:t>
                  </w:r>
                </w:p>
              </w:tc>
              <w:tc>
                <w:tcPr>
                  <w:tcW w:w="1212" w:type="dxa"/>
                  <w:vAlign w:val="center"/>
                </w:tcPr>
                <w:p>
                  <w:pPr>
                    <w:pStyle w:val="47"/>
                  </w:pPr>
                  <w:r>
                    <w:t>80~85</w:t>
                  </w:r>
                </w:p>
              </w:tc>
              <w:tc>
                <w:tcPr>
                  <w:tcW w:w="322" w:type="pct"/>
                  <w:vMerge w:val="continue"/>
                  <w:vAlign w:val="center"/>
                </w:tcPr>
                <w:p>
                  <w:pPr>
                    <w:pStyle w:val="47"/>
                  </w:pPr>
                </w:p>
              </w:tc>
              <w:tc>
                <w:tcPr>
                  <w:tcW w:w="430" w:type="pct"/>
                  <w:vMerge w:val="continue"/>
                  <w:vAlign w:val="center"/>
                </w:tcPr>
                <w:p>
                  <w:pPr>
                    <w:pStyle w:val="47"/>
                  </w:pPr>
                </w:p>
              </w:tc>
              <w:tc>
                <w:tcPr>
                  <w:tcW w:w="411" w:type="pct"/>
                  <w:vAlign w:val="center"/>
                </w:tcPr>
                <w:p>
                  <w:pPr>
                    <w:pStyle w:val="47"/>
                  </w:pPr>
                  <w:r>
                    <w:t>类比法</w:t>
                  </w:r>
                </w:p>
              </w:tc>
              <w:tc>
                <w:tcPr>
                  <w:tcW w:w="1250" w:type="dxa"/>
                  <w:vAlign w:val="center"/>
                </w:tcPr>
                <w:p>
                  <w:pPr>
                    <w:pStyle w:val="47"/>
                  </w:pPr>
                  <w:r>
                    <w:t>80~85</w:t>
                  </w:r>
                </w:p>
              </w:tc>
              <w:tc>
                <w:tcPr>
                  <w:tcW w:w="372" w:type="pct"/>
                  <w:vAlign w:val="center"/>
                </w:tcPr>
                <w:p>
                  <w:pPr>
                    <w:pStyle w:val="47"/>
                  </w:pPr>
                  <w:r>
                    <w:rPr>
                      <w:rFonts w:hint="eastAsia"/>
                    </w:rPr>
                    <w:t>2400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6" w:type="pct"/>
                  <w:vMerge w:val="continue"/>
                  <w:vAlign w:val="center"/>
                </w:tcPr>
                <w:p>
                  <w:pPr>
                    <w:pStyle w:val="47"/>
                  </w:pPr>
                </w:p>
              </w:tc>
              <w:tc>
                <w:tcPr>
                  <w:tcW w:w="579" w:type="pct"/>
                  <w:vAlign w:val="center"/>
                </w:tcPr>
                <w:p>
                  <w:pPr>
                    <w:pStyle w:val="47"/>
                  </w:pPr>
                  <w:r>
                    <w:t>6140车床</w:t>
                  </w:r>
                </w:p>
              </w:tc>
              <w:tc>
                <w:tcPr>
                  <w:tcW w:w="576" w:type="pct"/>
                  <w:vAlign w:val="center"/>
                </w:tcPr>
                <w:p>
                  <w:pPr>
                    <w:pStyle w:val="47"/>
                  </w:pPr>
                  <w:r>
                    <w:t>6140车床</w:t>
                  </w:r>
                </w:p>
              </w:tc>
              <w:tc>
                <w:tcPr>
                  <w:tcW w:w="621" w:type="pct"/>
                  <w:vAlign w:val="center"/>
                </w:tcPr>
                <w:p>
                  <w:pPr>
                    <w:pStyle w:val="47"/>
                  </w:pPr>
                  <w:r>
                    <w:t>频发</w:t>
                  </w:r>
                </w:p>
              </w:tc>
              <w:tc>
                <w:tcPr>
                  <w:tcW w:w="431" w:type="pct"/>
                  <w:vAlign w:val="center"/>
                </w:tcPr>
                <w:p>
                  <w:pPr>
                    <w:pStyle w:val="47"/>
                  </w:pPr>
                  <w:r>
                    <w:t>类比法</w:t>
                  </w:r>
                </w:p>
              </w:tc>
              <w:tc>
                <w:tcPr>
                  <w:tcW w:w="1212" w:type="dxa"/>
                  <w:vAlign w:val="center"/>
                </w:tcPr>
                <w:p>
                  <w:pPr>
                    <w:pStyle w:val="47"/>
                  </w:pPr>
                  <w:r>
                    <w:t>80~85</w:t>
                  </w:r>
                </w:p>
              </w:tc>
              <w:tc>
                <w:tcPr>
                  <w:tcW w:w="322" w:type="pct"/>
                  <w:vMerge w:val="continue"/>
                  <w:vAlign w:val="center"/>
                </w:tcPr>
                <w:p>
                  <w:pPr>
                    <w:pStyle w:val="47"/>
                  </w:pPr>
                </w:p>
              </w:tc>
              <w:tc>
                <w:tcPr>
                  <w:tcW w:w="430" w:type="pct"/>
                  <w:vMerge w:val="continue"/>
                  <w:vAlign w:val="center"/>
                </w:tcPr>
                <w:p>
                  <w:pPr>
                    <w:pStyle w:val="47"/>
                  </w:pPr>
                </w:p>
              </w:tc>
              <w:tc>
                <w:tcPr>
                  <w:tcW w:w="411" w:type="pct"/>
                  <w:vAlign w:val="center"/>
                </w:tcPr>
                <w:p>
                  <w:pPr>
                    <w:pStyle w:val="47"/>
                  </w:pPr>
                  <w:r>
                    <w:t>类比法</w:t>
                  </w:r>
                </w:p>
              </w:tc>
              <w:tc>
                <w:tcPr>
                  <w:tcW w:w="1250" w:type="dxa"/>
                  <w:vAlign w:val="center"/>
                </w:tcPr>
                <w:p>
                  <w:pPr>
                    <w:pStyle w:val="47"/>
                  </w:pPr>
                  <w:r>
                    <w:t>80~85</w:t>
                  </w:r>
                </w:p>
              </w:tc>
              <w:tc>
                <w:tcPr>
                  <w:tcW w:w="372" w:type="pct"/>
                  <w:vAlign w:val="center"/>
                </w:tcPr>
                <w:p>
                  <w:pPr>
                    <w:pStyle w:val="47"/>
                  </w:pPr>
                  <w:r>
                    <w:rPr>
                      <w:rFonts w:hint="eastAsia"/>
                    </w:rPr>
                    <w:t>2400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6" w:type="pct"/>
                  <w:vMerge w:val="continue"/>
                  <w:vAlign w:val="center"/>
                </w:tcPr>
                <w:p>
                  <w:pPr>
                    <w:pStyle w:val="47"/>
                  </w:pPr>
                </w:p>
              </w:tc>
              <w:tc>
                <w:tcPr>
                  <w:tcW w:w="579" w:type="pct"/>
                  <w:vAlign w:val="center"/>
                </w:tcPr>
                <w:p>
                  <w:pPr>
                    <w:pStyle w:val="47"/>
                  </w:pPr>
                  <w:r>
                    <w:t>平面</w:t>
                  </w:r>
                  <w:r>
                    <w:rPr>
                      <w:rFonts w:hint="eastAsia"/>
                    </w:rPr>
                    <w:t>磨床</w:t>
                  </w:r>
                </w:p>
              </w:tc>
              <w:tc>
                <w:tcPr>
                  <w:tcW w:w="576" w:type="pct"/>
                  <w:vAlign w:val="center"/>
                </w:tcPr>
                <w:p>
                  <w:pPr>
                    <w:pStyle w:val="47"/>
                  </w:pPr>
                  <w:r>
                    <w:t>平面</w:t>
                  </w:r>
                  <w:r>
                    <w:rPr>
                      <w:rFonts w:hint="eastAsia"/>
                    </w:rPr>
                    <w:t>磨床</w:t>
                  </w:r>
                </w:p>
              </w:tc>
              <w:tc>
                <w:tcPr>
                  <w:tcW w:w="621" w:type="pct"/>
                  <w:vAlign w:val="center"/>
                </w:tcPr>
                <w:p>
                  <w:pPr>
                    <w:pStyle w:val="47"/>
                  </w:pPr>
                  <w:r>
                    <w:t>频发</w:t>
                  </w:r>
                </w:p>
              </w:tc>
              <w:tc>
                <w:tcPr>
                  <w:tcW w:w="431" w:type="pct"/>
                  <w:vAlign w:val="center"/>
                </w:tcPr>
                <w:p>
                  <w:pPr>
                    <w:pStyle w:val="47"/>
                  </w:pPr>
                  <w:r>
                    <w:t>类比法</w:t>
                  </w:r>
                </w:p>
              </w:tc>
              <w:tc>
                <w:tcPr>
                  <w:tcW w:w="1212" w:type="dxa"/>
                  <w:vAlign w:val="center"/>
                </w:tcPr>
                <w:p>
                  <w:pPr>
                    <w:pStyle w:val="47"/>
                  </w:pPr>
                  <w:r>
                    <w:t>80~85</w:t>
                  </w:r>
                </w:p>
              </w:tc>
              <w:tc>
                <w:tcPr>
                  <w:tcW w:w="322" w:type="pct"/>
                  <w:vMerge w:val="continue"/>
                  <w:vAlign w:val="center"/>
                </w:tcPr>
                <w:p>
                  <w:pPr>
                    <w:pStyle w:val="47"/>
                  </w:pPr>
                </w:p>
              </w:tc>
              <w:tc>
                <w:tcPr>
                  <w:tcW w:w="430" w:type="pct"/>
                  <w:vMerge w:val="continue"/>
                  <w:vAlign w:val="center"/>
                </w:tcPr>
                <w:p>
                  <w:pPr>
                    <w:pStyle w:val="47"/>
                  </w:pPr>
                </w:p>
              </w:tc>
              <w:tc>
                <w:tcPr>
                  <w:tcW w:w="411" w:type="pct"/>
                  <w:vAlign w:val="center"/>
                </w:tcPr>
                <w:p>
                  <w:pPr>
                    <w:pStyle w:val="47"/>
                  </w:pPr>
                  <w:r>
                    <w:t>类比法</w:t>
                  </w:r>
                </w:p>
              </w:tc>
              <w:tc>
                <w:tcPr>
                  <w:tcW w:w="1250" w:type="dxa"/>
                  <w:vAlign w:val="center"/>
                </w:tcPr>
                <w:p>
                  <w:pPr>
                    <w:pStyle w:val="47"/>
                  </w:pPr>
                  <w:r>
                    <w:t>80~85</w:t>
                  </w:r>
                </w:p>
              </w:tc>
              <w:tc>
                <w:tcPr>
                  <w:tcW w:w="372" w:type="pct"/>
                  <w:vAlign w:val="center"/>
                </w:tcPr>
                <w:p>
                  <w:pPr>
                    <w:pStyle w:val="47"/>
                  </w:pPr>
                  <w:r>
                    <w:rPr>
                      <w:rFonts w:hint="eastAsia"/>
                    </w:rPr>
                    <w:t>2400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6" w:type="pct"/>
                  <w:vMerge w:val="continue"/>
                  <w:vAlign w:val="center"/>
                </w:tcPr>
                <w:p>
                  <w:pPr>
                    <w:pStyle w:val="47"/>
                  </w:pPr>
                </w:p>
              </w:tc>
              <w:tc>
                <w:tcPr>
                  <w:tcW w:w="579" w:type="pct"/>
                  <w:vAlign w:val="center"/>
                </w:tcPr>
                <w:p>
                  <w:pPr>
                    <w:pStyle w:val="47"/>
                  </w:pPr>
                  <w:r>
                    <w:t>数控车床</w:t>
                  </w:r>
                </w:p>
              </w:tc>
              <w:tc>
                <w:tcPr>
                  <w:tcW w:w="576" w:type="pct"/>
                  <w:vAlign w:val="center"/>
                </w:tcPr>
                <w:p>
                  <w:pPr>
                    <w:pStyle w:val="47"/>
                  </w:pPr>
                  <w:r>
                    <w:t>数控车床</w:t>
                  </w:r>
                </w:p>
              </w:tc>
              <w:tc>
                <w:tcPr>
                  <w:tcW w:w="621" w:type="pct"/>
                  <w:vAlign w:val="center"/>
                </w:tcPr>
                <w:p>
                  <w:pPr>
                    <w:pStyle w:val="47"/>
                  </w:pPr>
                  <w:r>
                    <w:t>频发</w:t>
                  </w:r>
                </w:p>
              </w:tc>
              <w:tc>
                <w:tcPr>
                  <w:tcW w:w="431" w:type="pct"/>
                  <w:vAlign w:val="center"/>
                </w:tcPr>
                <w:p>
                  <w:pPr>
                    <w:pStyle w:val="47"/>
                  </w:pPr>
                  <w:r>
                    <w:t>类比法</w:t>
                  </w:r>
                </w:p>
              </w:tc>
              <w:tc>
                <w:tcPr>
                  <w:tcW w:w="1212" w:type="dxa"/>
                  <w:vAlign w:val="center"/>
                </w:tcPr>
                <w:p>
                  <w:pPr>
                    <w:pStyle w:val="47"/>
                  </w:pPr>
                  <w:r>
                    <w:t>80~85</w:t>
                  </w:r>
                </w:p>
              </w:tc>
              <w:tc>
                <w:tcPr>
                  <w:tcW w:w="322" w:type="pct"/>
                  <w:vMerge w:val="continue"/>
                  <w:vAlign w:val="center"/>
                </w:tcPr>
                <w:p>
                  <w:pPr>
                    <w:pStyle w:val="47"/>
                  </w:pPr>
                </w:p>
              </w:tc>
              <w:tc>
                <w:tcPr>
                  <w:tcW w:w="430" w:type="pct"/>
                  <w:vMerge w:val="continue"/>
                  <w:vAlign w:val="center"/>
                </w:tcPr>
                <w:p>
                  <w:pPr>
                    <w:pStyle w:val="47"/>
                  </w:pPr>
                </w:p>
              </w:tc>
              <w:tc>
                <w:tcPr>
                  <w:tcW w:w="411" w:type="pct"/>
                  <w:vAlign w:val="center"/>
                </w:tcPr>
                <w:p>
                  <w:pPr>
                    <w:pStyle w:val="47"/>
                  </w:pPr>
                  <w:r>
                    <w:t>类比法</w:t>
                  </w:r>
                </w:p>
              </w:tc>
              <w:tc>
                <w:tcPr>
                  <w:tcW w:w="1250" w:type="dxa"/>
                  <w:vAlign w:val="center"/>
                </w:tcPr>
                <w:p>
                  <w:pPr>
                    <w:pStyle w:val="47"/>
                  </w:pPr>
                  <w:r>
                    <w:t>80~85</w:t>
                  </w:r>
                </w:p>
              </w:tc>
              <w:tc>
                <w:tcPr>
                  <w:tcW w:w="372" w:type="pct"/>
                  <w:vAlign w:val="center"/>
                </w:tcPr>
                <w:p>
                  <w:pPr>
                    <w:pStyle w:val="47"/>
                  </w:pPr>
                  <w:r>
                    <w:rPr>
                      <w:rFonts w:hint="eastAsia"/>
                    </w:rPr>
                    <w:t>2400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6" w:type="pct"/>
                  <w:vMerge w:val="continue"/>
                  <w:vAlign w:val="center"/>
                </w:tcPr>
                <w:p>
                  <w:pPr>
                    <w:pStyle w:val="47"/>
                  </w:pPr>
                </w:p>
              </w:tc>
              <w:tc>
                <w:tcPr>
                  <w:tcW w:w="579" w:type="pct"/>
                  <w:vAlign w:val="center"/>
                </w:tcPr>
                <w:p>
                  <w:pPr>
                    <w:pStyle w:val="47"/>
                  </w:pPr>
                  <w:r>
                    <w:t>平面</w:t>
                  </w:r>
                  <w:r>
                    <w:rPr>
                      <w:rFonts w:hint="eastAsia"/>
                    </w:rPr>
                    <w:t>组合铣床</w:t>
                  </w:r>
                </w:p>
              </w:tc>
              <w:tc>
                <w:tcPr>
                  <w:tcW w:w="576" w:type="pct"/>
                  <w:vAlign w:val="center"/>
                </w:tcPr>
                <w:p>
                  <w:pPr>
                    <w:pStyle w:val="47"/>
                  </w:pPr>
                  <w:r>
                    <w:t>平面</w:t>
                  </w:r>
                  <w:r>
                    <w:rPr>
                      <w:rFonts w:hint="eastAsia"/>
                    </w:rPr>
                    <w:t>组合铣床</w:t>
                  </w:r>
                </w:p>
              </w:tc>
              <w:tc>
                <w:tcPr>
                  <w:tcW w:w="621" w:type="pct"/>
                  <w:vAlign w:val="center"/>
                </w:tcPr>
                <w:p>
                  <w:pPr>
                    <w:pStyle w:val="47"/>
                  </w:pPr>
                  <w:r>
                    <w:t>频发</w:t>
                  </w:r>
                </w:p>
              </w:tc>
              <w:tc>
                <w:tcPr>
                  <w:tcW w:w="431" w:type="pct"/>
                  <w:vAlign w:val="center"/>
                </w:tcPr>
                <w:p>
                  <w:pPr>
                    <w:pStyle w:val="47"/>
                  </w:pPr>
                  <w:r>
                    <w:t>类比法</w:t>
                  </w:r>
                </w:p>
              </w:tc>
              <w:tc>
                <w:tcPr>
                  <w:tcW w:w="1212" w:type="dxa"/>
                  <w:vAlign w:val="center"/>
                </w:tcPr>
                <w:p>
                  <w:pPr>
                    <w:pStyle w:val="47"/>
                  </w:pPr>
                  <w:r>
                    <w:t>80~85</w:t>
                  </w:r>
                </w:p>
              </w:tc>
              <w:tc>
                <w:tcPr>
                  <w:tcW w:w="322" w:type="pct"/>
                  <w:vMerge w:val="continue"/>
                  <w:vAlign w:val="center"/>
                </w:tcPr>
                <w:p>
                  <w:pPr>
                    <w:pStyle w:val="47"/>
                  </w:pPr>
                </w:p>
              </w:tc>
              <w:tc>
                <w:tcPr>
                  <w:tcW w:w="430" w:type="pct"/>
                  <w:vMerge w:val="continue"/>
                  <w:vAlign w:val="center"/>
                </w:tcPr>
                <w:p>
                  <w:pPr>
                    <w:pStyle w:val="47"/>
                  </w:pPr>
                </w:p>
              </w:tc>
              <w:tc>
                <w:tcPr>
                  <w:tcW w:w="411" w:type="pct"/>
                  <w:vAlign w:val="center"/>
                </w:tcPr>
                <w:p>
                  <w:pPr>
                    <w:pStyle w:val="47"/>
                  </w:pPr>
                  <w:r>
                    <w:t>类比法</w:t>
                  </w:r>
                </w:p>
              </w:tc>
              <w:tc>
                <w:tcPr>
                  <w:tcW w:w="1250" w:type="dxa"/>
                  <w:vAlign w:val="center"/>
                </w:tcPr>
                <w:p>
                  <w:pPr>
                    <w:pStyle w:val="47"/>
                  </w:pPr>
                  <w:r>
                    <w:t>80~85</w:t>
                  </w:r>
                </w:p>
              </w:tc>
              <w:tc>
                <w:tcPr>
                  <w:tcW w:w="372" w:type="pct"/>
                  <w:vAlign w:val="center"/>
                </w:tcPr>
                <w:p>
                  <w:pPr>
                    <w:pStyle w:val="47"/>
                  </w:pPr>
                  <w:r>
                    <w:rPr>
                      <w:rFonts w:hint="eastAsia"/>
                    </w:rPr>
                    <w:t>2400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6" w:type="pct"/>
                  <w:vMerge w:val="continue"/>
                  <w:vAlign w:val="center"/>
                </w:tcPr>
                <w:p>
                  <w:pPr>
                    <w:pStyle w:val="47"/>
                  </w:pPr>
                </w:p>
              </w:tc>
              <w:tc>
                <w:tcPr>
                  <w:tcW w:w="579" w:type="pct"/>
                  <w:vAlign w:val="center"/>
                </w:tcPr>
                <w:p>
                  <w:pPr>
                    <w:pStyle w:val="47"/>
                  </w:pPr>
                  <w:r>
                    <w:rPr>
                      <w:rFonts w:hint="eastAsia"/>
                    </w:rPr>
                    <w:t>摇臂钻床</w:t>
                  </w:r>
                </w:p>
              </w:tc>
              <w:tc>
                <w:tcPr>
                  <w:tcW w:w="576" w:type="pct"/>
                  <w:vAlign w:val="center"/>
                </w:tcPr>
                <w:p>
                  <w:pPr>
                    <w:pStyle w:val="47"/>
                  </w:pPr>
                  <w:r>
                    <w:rPr>
                      <w:rFonts w:hint="eastAsia"/>
                    </w:rPr>
                    <w:t>摇臂钻床</w:t>
                  </w:r>
                </w:p>
              </w:tc>
              <w:tc>
                <w:tcPr>
                  <w:tcW w:w="621" w:type="pct"/>
                  <w:vAlign w:val="center"/>
                </w:tcPr>
                <w:p>
                  <w:pPr>
                    <w:pStyle w:val="47"/>
                  </w:pPr>
                  <w:r>
                    <w:t>频发</w:t>
                  </w:r>
                </w:p>
              </w:tc>
              <w:tc>
                <w:tcPr>
                  <w:tcW w:w="431" w:type="pct"/>
                  <w:vAlign w:val="center"/>
                </w:tcPr>
                <w:p>
                  <w:pPr>
                    <w:pStyle w:val="47"/>
                  </w:pPr>
                  <w:r>
                    <w:t>类比法</w:t>
                  </w:r>
                </w:p>
              </w:tc>
              <w:tc>
                <w:tcPr>
                  <w:tcW w:w="1212" w:type="dxa"/>
                  <w:vAlign w:val="center"/>
                </w:tcPr>
                <w:p>
                  <w:pPr>
                    <w:pStyle w:val="47"/>
                  </w:pPr>
                  <w:r>
                    <w:t>80~85</w:t>
                  </w:r>
                </w:p>
              </w:tc>
              <w:tc>
                <w:tcPr>
                  <w:tcW w:w="322" w:type="pct"/>
                  <w:vMerge w:val="continue"/>
                  <w:vAlign w:val="center"/>
                </w:tcPr>
                <w:p>
                  <w:pPr>
                    <w:pStyle w:val="47"/>
                  </w:pPr>
                </w:p>
              </w:tc>
              <w:tc>
                <w:tcPr>
                  <w:tcW w:w="430" w:type="pct"/>
                  <w:vMerge w:val="continue"/>
                  <w:vAlign w:val="center"/>
                </w:tcPr>
                <w:p>
                  <w:pPr>
                    <w:pStyle w:val="47"/>
                  </w:pPr>
                </w:p>
              </w:tc>
              <w:tc>
                <w:tcPr>
                  <w:tcW w:w="411" w:type="pct"/>
                  <w:vAlign w:val="center"/>
                </w:tcPr>
                <w:p>
                  <w:pPr>
                    <w:pStyle w:val="47"/>
                  </w:pPr>
                  <w:r>
                    <w:t>类比法</w:t>
                  </w:r>
                </w:p>
              </w:tc>
              <w:tc>
                <w:tcPr>
                  <w:tcW w:w="1250" w:type="dxa"/>
                  <w:vAlign w:val="center"/>
                </w:tcPr>
                <w:p>
                  <w:pPr>
                    <w:pStyle w:val="47"/>
                  </w:pPr>
                  <w:r>
                    <w:t>80~85</w:t>
                  </w:r>
                </w:p>
              </w:tc>
              <w:tc>
                <w:tcPr>
                  <w:tcW w:w="372" w:type="pct"/>
                  <w:vAlign w:val="center"/>
                </w:tcPr>
                <w:p>
                  <w:pPr>
                    <w:pStyle w:val="47"/>
                  </w:pPr>
                  <w:r>
                    <w:rPr>
                      <w:rFonts w:hint="eastAsia"/>
                    </w:rPr>
                    <w:t>2400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6" w:type="pct"/>
                  <w:vMerge w:val="continue"/>
                  <w:vAlign w:val="center"/>
                </w:tcPr>
                <w:p>
                  <w:pPr>
                    <w:pStyle w:val="47"/>
                  </w:pPr>
                </w:p>
              </w:tc>
              <w:tc>
                <w:tcPr>
                  <w:tcW w:w="579" w:type="pct"/>
                  <w:vAlign w:val="center"/>
                </w:tcPr>
                <w:p>
                  <w:pPr>
                    <w:pStyle w:val="47"/>
                  </w:pPr>
                  <w:r>
                    <w:t>MIG焊机</w:t>
                  </w:r>
                </w:p>
              </w:tc>
              <w:tc>
                <w:tcPr>
                  <w:tcW w:w="576" w:type="pct"/>
                  <w:vAlign w:val="center"/>
                </w:tcPr>
                <w:p>
                  <w:pPr>
                    <w:pStyle w:val="47"/>
                  </w:pPr>
                  <w:r>
                    <w:t>MIG焊机</w:t>
                  </w:r>
                </w:p>
              </w:tc>
              <w:tc>
                <w:tcPr>
                  <w:tcW w:w="621" w:type="pct"/>
                  <w:vAlign w:val="center"/>
                </w:tcPr>
                <w:p>
                  <w:pPr>
                    <w:pStyle w:val="47"/>
                  </w:pPr>
                  <w:r>
                    <w:t>频发</w:t>
                  </w:r>
                </w:p>
              </w:tc>
              <w:tc>
                <w:tcPr>
                  <w:tcW w:w="431" w:type="pct"/>
                  <w:vAlign w:val="center"/>
                </w:tcPr>
                <w:p>
                  <w:pPr>
                    <w:pStyle w:val="47"/>
                  </w:pPr>
                  <w:r>
                    <w:t>类比法</w:t>
                  </w:r>
                </w:p>
              </w:tc>
              <w:tc>
                <w:tcPr>
                  <w:tcW w:w="1212" w:type="dxa"/>
                  <w:vAlign w:val="center"/>
                </w:tcPr>
                <w:p>
                  <w:pPr>
                    <w:pStyle w:val="47"/>
                  </w:pPr>
                  <w:r>
                    <w:t>75~80</w:t>
                  </w:r>
                </w:p>
              </w:tc>
              <w:tc>
                <w:tcPr>
                  <w:tcW w:w="322" w:type="pct"/>
                  <w:vMerge w:val="continue"/>
                  <w:vAlign w:val="center"/>
                </w:tcPr>
                <w:p>
                  <w:pPr>
                    <w:pStyle w:val="47"/>
                  </w:pPr>
                </w:p>
              </w:tc>
              <w:tc>
                <w:tcPr>
                  <w:tcW w:w="430" w:type="pct"/>
                  <w:vMerge w:val="continue"/>
                  <w:vAlign w:val="center"/>
                </w:tcPr>
                <w:p>
                  <w:pPr>
                    <w:pStyle w:val="47"/>
                  </w:pPr>
                </w:p>
              </w:tc>
              <w:tc>
                <w:tcPr>
                  <w:tcW w:w="411" w:type="pct"/>
                  <w:vAlign w:val="center"/>
                </w:tcPr>
                <w:p>
                  <w:pPr>
                    <w:pStyle w:val="47"/>
                  </w:pPr>
                  <w:r>
                    <w:t>类比法</w:t>
                  </w:r>
                </w:p>
              </w:tc>
              <w:tc>
                <w:tcPr>
                  <w:tcW w:w="1250" w:type="dxa"/>
                  <w:vAlign w:val="center"/>
                </w:tcPr>
                <w:p>
                  <w:pPr>
                    <w:pStyle w:val="47"/>
                  </w:pPr>
                  <w:r>
                    <w:t>75~80</w:t>
                  </w:r>
                </w:p>
              </w:tc>
              <w:tc>
                <w:tcPr>
                  <w:tcW w:w="372" w:type="pct"/>
                  <w:vAlign w:val="center"/>
                </w:tcPr>
                <w:p>
                  <w:pPr>
                    <w:pStyle w:val="47"/>
                  </w:pPr>
                  <w:r>
                    <w:rPr>
                      <w:rFonts w:hint="eastAsia"/>
                    </w:rPr>
                    <w:t>2400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6" w:type="pct"/>
                  <w:vMerge w:val="continue"/>
                  <w:vAlign w:val="center"/>
                </w:tcPr>
                <w:p>
                  <w:pPr>
                    <w:pStyle w:val="47"/>
                  </w:pPr>
                </w:p>
              </w:tc>
              <w:tc>
                <w:tcPr>
                  <w:tcW w:w="579" w:type="pct"/>
                  <w:vAlign w:val="center"/>
                </w:tcPr>
                <w:p>
                  <w:pPr>
                    <w:pStyle w:val="47"/>
                  </w:pPr>
                  <w:r>
                    <w:rPr>
                      <w:rFonts w:hint="eastAsia"/>
                    </w:rPr>
                    <w:t>攻丝机</w:t>
                  </w:r>
                </w:p>
              </w:tc>
              <w:tc>
                <w:tcPr>
                  <w:tcW w:w="576" w:type="pct"/>
                  <w:vAlign w:val="center"/>
                </w:tcPr>
                <w:p>
                  <w:pPr>
                    <w:pStyle w:val="47"/>
                  </w:pPr>
                  <w:r>
                    <w:rPr>
                      <w:rFonts w:hint="eastAsia"/>
                    </w:rPr>
                    <w:t>攻丝机</w:t>
                  </w:r>
                </w:p>
              </w:tc>
              <w:tc>
                <w:tcPr>
                  <w:tcW w:w="621" w:type="pct"/>
                  <w:vAlign w:val="center"/>
                </w:tcPr>
                <w:p>
                  <w:pPr>
                    <w:pStyle w:val="47"/>
                  </w:pPr>
                  <w:r>
                    <w:t>频发</w:t>
                  </w:r>
                </w:p>
              </w:tc>
              <w:tc>
                <w:tcPr>
                  <w:tcW w:w="431" w:type="pct"/>
                  <w:vAlign w:val="center"/>
                </w:tcPr>
                <w:p>
                  <w:pPr>
                    <w:pStyle w:val="47"/>
                  </w:pPr>
                  <w:r>
                    <w:t>类比法</w:t>
                  </w:r>
                </w:p>
              </w:tc>
              <w:tc>
                <w:tcPr>
                  <w:tcW w:w="1212" w:type="dxa"/>
                  <w:vAlign w:val="center"/>
                </w:tcPr>
                <w:p>
                  <w:pPr>
                    <w:pStyle w:val="47"/>
                  </w:pPr>
                  <w:r>
                    <w:t>80~85</w:t>
                  </w:r>
                </w:p>
              </w:tc>
              <w:tc>
                <w:tcPr>
                  <w:tcW w:w="322" w:type="pct"/>
                  <w:vMerge w:val="continue"/>
                  <w:vAlign w:val="center"/>
                </w:tcPr>
                <w:p>
                  <w:pPr>
                    <w:pStyle w:val="47"/>
                  </w:pPr>
                </w:p>
              </w:tc>
              <w:tc>
                <w:tcPr>
                  <w:tcW w:w="430" w:type="pct"/>
                  <w:vMerge w:val="continue"/>
                  <w:vAlign w:val="center"/>
                </w:tcPr>
                <w:p>
                  <w:pPr>
                    <w:pStyle w:val="47"/>
                  </w:pPr>
                </w:p>
              </w:tc>
              <w:tc>
                <w:tcPr>
                  <w:tcW w:w="411" w:type="pct"/>
                  <w:vAlign w:val="center"/>
                </w:tcPr>
                <w:p>
                  <w:pPr>
                    <w:pStyle w:val="47"/>
                  </w:pPr>
                  <w:r>
                    <w:t>类比法</w:t>
                  </w:r>
                </w:p>
              </w:tc>
              <w:tc>
                <w:tcPr>
                  <w:tcW w:w="1250" w:type="dxa"/>
                  <w:vAlign w:val="center"/>
                </w:tcPr>
                <w:p>
                  <w:pPr>
                    <w:pStyle w:val="47"/>
                  </w:pPr>
                  <w:r>
                    <w:t>80~85</w:t>
                  </w:r>
                </w:p>
              </w:tc>
              <w:tc>
                <w:tcPr>
                  <w:tcW w:w="372" w:type="pct"/>
                  <w:vAlign w:val="center"/>
                </w:tcPr>
                <w:p>
                  <w:pPr>
                    <w:pStyle w:val="47"/>
                  </w:pPr>
                  <w:r>
                    <w:rPr>
                      <w:rFonts w:hint="eastAsia"/>
                    </w:rPr>
                    <w:t>2400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6" w:type="pct"/>
                  <w:vMerge w:val="continue"/>
                  <w:vAlign w:val="center"/>
                </w:tcPr>
                <w:p>
                  <w:pPr>
                    <w:pStyle w:val="47"/>
                  </w:pPr>
                </w:p>
              </w:tc>
              <w:tc>
                <w:tcPr>
                  <w:tcW w:w="579" w:type="pct"/>
                  <w:vAlign w:val="center"/>
                </w:tcPr>
                <w:p>
                  <w:pPr>
                    <w:pStyle w:val="47"/>
                  </w:pPr>
                  <w:r>
                    <w:rPr>
                      <w:rFonts w:hint="eastAsia"/>
                    </w:rPr>
                    <w:t>锯床</w:t>
                  </w:r>
                </w:p>
              </w:tc>
              <w:tc>
                <w:tcPr>
                  <w:tcW w:w="576" w:type="pct"/>
                  <w:vAlign w:val="center"/>
                </w:tcPr>
                <w:p>
                  <w:pPr>
                    <w:pStyle w:val="47"/>
                  </w:pPr>
                  <w:r>
                    <w:rPr>
                      <w:rFonts w:hint="eastAsia"/>
                    </w:rPr>
                    <w:t>锯床</w:t>
                  </w:r>
                </w:p>
              </w:tc>
              <w:tc>
                <w:tcPr>
                  <w:tcW w:w="621" w:type="pct"/>
                  <w:vAlign w:val="center"/>
                </w:tcPr>
                <w:p>
                  <w:pPr>
                    <w:pStyle w:val="47"/>
                  </w:pPr>
                  <w:r>
                    <w:t>频发</w:t>
                  </w:r>
                </w:p>
              </w:tc>
              <w:tc>
                <w:tcPr>
                  <w:tcW w:w="431" w:type="pct"/>
                  <w:vAlign w:val="center"/>
                </w:tcPr>
                <w:p>
                  <w:pPr>
                    <w:pStyle w:val="47"/>
                  </w:pPr>
                  <w:r>
                    <w:t>类比法</w:t>
                  </w:r>
                </w:p>
              </w:tc>
              <w:tc>
                <w:tcPr>
                  <w:tcW w:w="1212" w:type="dxa"/>
                  <w:vAlign w:val="center"/>
                </w:tcPr>
                <w:p>
                  <w:pPr>
                    <w:pStyle w:val="47"/>
                  </w:pPr>
                  <w:r>
                    <w:t>80~85</w:t>
                  </w:r>
                </w:p>
              </w:tc>
              <w:tc>
                <w:tcPr>
                  <w:tcW w:w="322" w:type="pct"/>
                  <w:vMerge w:val="continue"/>
                  <w:vAlign w:val="center"/>
                </w:tcPr>
                <w:p>
                  <w:pPr>
                    <w:pStyle w:val="47"/>
                  </w:pPr>
                </w:p>
              </w:tc>
              <w:tc>
                <w:tcPr>
                  <w:tcW w:w="430" w:type="pct"/>
                  <w:vMerge w:val="continue"/>
                  <w:vAlign w:val="center"/>
                </w:tcPr>
                <w:p>
                  <w:pPr>
                    <w:pStyle w:val="47"/>
                  </w:pPr>
                </w:p>
              </w:tc>
              <w:tc>
                <w:tcPr>
                  <w:tcW w:w="411" w:type="pct"/>
                  <w:vAlign w:val="center"/>
                </w:tcPr>
                <w:p>
                  <w:pPr>
                    <w:pStyle w:val="47"/>
                  </w:pPr>
                  <w:r>
                    <w:t>类比法</w:t>
                  </w:r>
                </w:p>
              </w:tc>
              <w:tc>
                <w:tcPr>
                  <w:tcW w:w="1250" w:type="dxa"/>
                  <w:vAlign w:val="center"/>
                </w:tcPr>
                <w:p>
                  <w:pPr>
                    <w:pStyle w:val="47"/>
                  </w:pPr>
                  <w:r>
                    <w:t>80~85</w:t>
                  </w:r>
                </w:p>
              </w:tc>
              <w:tc>
                <w:tcPr>
                  <w:tcW w:w="372" w:type="pct"/>
                  <w:vAlign w:val="center"/>
                </w:tcPr>
                <w:p>
                  <w:pPr>
                    <w:pStyle w:val="47"/>
                  </w:pPr>
                  <w:r>
                    <w:rPr>
                      <w:rFonts w:hint="eastAsia"/>
                    </w:rPr>
                    <w:t>2400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6" w:type="pct"/>
                  <w:vMerge w:val="continue"/>
                  <w:vAlign w:val="center"/>
                </w:tcPr>
                <w:p>
                  <w:pPr>
                    <w:pStyle w:val="47"/>
                  </w:pPr>
                </w:p>
              </w:tc>
              <w:tc>
                <w:tcPr>
                  <w:tcW w:w="579" w:type="pct"/>
                  <w:vAlign w:val="center"/>
                </w:tcPr>
                <w:p>
                  <w:pPr>
                    <w:pStyle w:val="47"/>
                  </w:pPr>
                  <w:r>
                    <w:rPr>
                      <w:rFonts w:hint="eastAsia"/>
                    </w:rPr>
                    <w:t>100T油压机</w:t>
                  </w:r>
                </w:p>
              </w:tc>
              <w:tc>
                <w:tcPr>
                  <w:tcW w:w="576" w:type="pct"/>
                  <w:vAlign w:val="center"/>
                </w:tcPr>
                <w:p>
                  <w:pPr>
                    <w:pStyle w:val="47"/>
                  </w:pPr>
                  <w:r>
                    <w:rPr>
                      <w:rFonts w:hint="eastAsia"/>
                    </w:rPr>
                    <w:t>100T油压机</w:t>
                  </w:r>
                </w:p>
              </w:tc>
              <w:tc>
                <w:tcPr>
                  <w:tcW w:w="621" w:type="pct"/>
                  <w:vAlign w:val="center"/>
                </w:tcPr>
                <w:p>
                  <w:pPr>
                    <w:pStyle w:val="47"/>
                  </w:pPr>
                  <w:r>
                    <w:t>频发</w:t>
                  </w:r>
                </w:p>
              </w:tc>
              <w:tc>
                <w:tcPr>
                  <w:tcW w:w="431" w:type="pct"/>
                  <w:vAlign w:val="center"/>
                </w:tcPr>
                <w:p>
                  <w:pPr>
                    <w:pStyle w:val="47"/>
                  </w:pPr>
                  <w:r>
                    <w:t>类比法</w:t>
                  </w:r>
                </w:p>
              </w:tc>
              <w:tc>
                <w:tcPr>
                  <w:tcW w:w="1212" w:type="dxa"/>
                  <w:vAlign w:val="center"/>
                </w:tcPr>
                <w:p>
                  <w:pPr>
                    <w:pStyle w:val="47"/>
                  </w:pPr>
                  <w:r>
                    <w:rPr>
                      <w:rFonts w:hint="eastAsia"/>
                    </w:rPr>
                    <w:t>70~75</w:t>
                  </w:r>
                </w:p>
              </w:tc>
              <w:tc>
                <w:tcPr>
                  <w:tcW w:w="322" w:type="pct"/>
                  <w:vMerge w:val="continue"/>
                  <w:vAlign w:val="center"/>
                </w:tcPr>
                <w:p>
                  <w:pPr>
                    <w:pStyle w:val="47"/>
                  </w:pPr>
                </w:p>
              </w:tc>
              <w:tc>
                <w:tcPr>
                  <w:tcW w:w="430" w:type="pct"/>
                  <w:vMerge w:val="continue"/>
                  <w:vAlign w:val="center"/>
                </w:tcPr>
                <w:p>
                  <w:pPr>
                    <w:pStyle w:val="47"/>
                  </w:pPr>
                </w:p>
              </w:tc>
              <w:tc>
                <w:tcPr>
                  <w:tcW w:w="411" w:type="pct"/>
                  <w:vAlign w:val="center"/>
                </w:tcPr>
                <w:p>
                  <w:pPr>
                    <w:pStyle w:val="47"/>
                  </w:pPr>
                  <w:r>
                    <w:t>类比法</w:t>
                  </w:r>
                </w:p>
              </w:tc>
              <w:tc>
                <w:tcPr>
                  <w:tcW w:w="1250" w:type="dxa"/>
                  <w:vAlign w:val="center"/>
                </w:tcPr>
                <w:p>
                  <w:pPr>
                    <w:pStyle w:val="47"/>
                  </w:pPr>
                  <w:r>
                    <w:rPr>
                      <w:rFonts w:hint="eastAsia"/>
                    </w:rPr>
                    <w:t>70~75</w:t>
                  </w:r>
                </w:p>
              </w:tc>
              <w:tc>
                <w:tcPr>
                  <w:tcW w:w="372" w:type="pct"/>
                  <w:vAlign w:val="center"/>
                </w:tcPr>
                <w:p>
                  <w:pPr>
                    <w:pStyle w:val="47"/>
                  </w:pPr>
                  <w:r>
                    <w:rPr>
                      <w:rFonts w:hint="eastAsia"/>
                    </w:rPr>
                    <w:t>2400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6" w:type="pct"/>
                  <w:vMerge w:val="continue"/>
                  <w:vAlign w:val="center"/>
                </w:tcPr>
                <w:p>
                  <w:pPr>
                    <w:pStyle w:val="47"/>
                  </w:pPr>
                </w:p>
              </w:tc>
              <w:tc>
                <w:tcPr>
                  <w:tcW w:w="579" w:type="pct"/>
                  <w:vAlign w:val="center"/>
                </w:tcPr>
                <w:p>
                  <w:pPr>
                    <w:pStyle w:val="47"/>
                  </w:pPr>
                  <w:r>
                    <w:rPr>
                      <w:rFonts w:hint="eastAsia"/>
                    </w:rPr>
                    <w:t>真空含浸机</w:t>
                  </w:r>
                </w:p>
              </w:tc>
              <w:tc>
                <w:tcPr>
                  <w:tcW w:w="576" w:type="pct"/>
                  <w:vAlign w:val="center"/>
                </w:tcPr>
                <w:p>
                  <w:pPr>
                    <w:pStyle w:val="47"/>
                  </w:pPr>
                  <w:r>
                    <w:rPr>
                      <w:rFonts w:hint="eastAsia"/>
                    </w:rPr>
                    <w:t>真空含浸机</w:t>
                  </w:r>
                </w:p>
              </w:tc>
              <w:tc>
                <w:tcPr>
                  <w:tcW w:w="621" w:type="pct"/>
                  <w:vAlign w:val="center"/>
                </w:tcPr>
                <w:p>
                  <w:pPr>
                    <w:pStyle w:val="47"/>
                  </w:pPr>
                  <w:r>
                    <w:t>频发</w:t>
                  </w:r>
                </w:p>
              </w:tc>
              <w:tc>
                <w:tcPr>
                  <w:tcW w:w="431" w:type="pct"/>
                  <w:vAlign w:val="center"/>
                </w:tcPr>
                <w:p>
                  <w:pPr>
                    <w:pStyle w:val="47"/>
                  </w:pPr>
                  <w:r>
                    <w:t>类比法</w:t>
                  </w:r>
                </w:p>
              </w:tc>
              <w:tc>
                <w:tcPr>
                  <w:tcW w:w="1212" w:type="dxa"/>
                  <w:vAlign w:val="center"/>
                </w:tcPr>
                <w:p>
                  <w:pPr>
                    <w:pStyle w:val="47"/>
                  </w:pPr>
                  <w:r>
                    <w:rPr>
                      <w:rFonts w:hint="eastAsia"/>
                    </w:rPr>
                    <w:t>60~65</w:t>
                  </w:r>
                </w:p>
              </w:tc>
              <w:tc>
                <w:tcPr>
                  <w:tcW w:w="322" w:type="pct"/>
                  <w:vMerge w:val="continue"/>
                  <w:vAlign w:val="center"/>
                </w:tcPr>
                <w:p>
                  <w:pPr>
                    <w:pStyle w:val="47"/>
                  </w:pPr>
                </w:p>
              </w:tc>
              <w:tc>
                <w:tcPr>
                  <w:tcW w:w="430" w:type="pct"/>
                  <w:vMerge w:val="continue"/>
                  <w:vAlign w:val="center"/>
                </w:tcPr>
                <w:p>
                  <w:pPr>
                    <w:pStyle w:val="47"/>
                  </w:pPr>
                </w:p>
              </w:tc>
              <w:tc>
                <w:tcPr>
                  <w:tcW w:w="411" w:type="pct"/>
                  <w:vAlign w:val="center"/>
                </w:tcPr>
                <w:p>
                  <w:pPr>
                    <w:pStyle w:val="47"/>
                  </w:pPr>
                  <w:r>
                    <w:t>类比法</w:t>
                  </w:r>
                </w:p>
              </w:tc>
              <w:tc>
                <w:tcPr>
                  <w:tcW w:w="1250" w:type="dxa"/>
                  <w:vAlign w:val="center"/>
                </w:tcPr>
                <w:p>
                  <w:pPr>
                    <w:pStyle w:val="47"/>
                  </w:pPr>
                  <w:r>
                    <w:rPr>
                      <w:rFonts w:hint="eastAsia"/>
                    </w:rPr>
                    <w:t>60~65</w:t>
                  </w:r>
                </w:p>
              </w:tc>
              <w:tc>
                <w:tcPr>
                  <w:tcW w:w="372" w:type="pct"/>
                  <w:vAlign w:val="center"/>
                </w:tcPr>
                <w:p>
                  <w:pPr>
                    <w:pStyle w:val="47"/>
                  </w:pPr>
                  <w:r>
                    <w:rPr>
                      <w:rFonts w:hint="eastAsia"/>
                    </w:rPr>
                    <w:t>2400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6" w:type="pct"/>
                  <w:vMerge w:val="continue"/>
                  <w:vAlign w:val="center"/>
                </w:tcPr>
                <w:p>
                  <w:pPr>
                    <w:pStyle w:val="47"/>
                  </w:pPr>
                </w:p>
              </w:tc>
              <w:tc>
                <w:tcPr>
                  <w:tcW w:w="579" w:type="pct"/>
                  <w:vAlign w:val="center"/>
                </w:tcPr>
                <w:p>
                  <w:pPr>
                    <w:pStyle w:val="47"/>
                  </w:pPr>
                  <w:r>
                    <w:rPr>
                      <w:rFonts w:hint="eastAsia"/>
                    </w:rPr>
                    <w:t>电热烘箱</w:t>
                  </w:r>
                </w:p>
              </w:tc>
              <w:tc>
                <w:tcPr>
                  <w:tcW w:w="576" w:type="pct"/>
                  <w:vAlign w:val="center"/>
                </w:tcPr>
                <w:p>
                  <w:pPr>
                    <w:pStyle w:val="47"/>
                  </w:pPr>
                  <w:r>
                    <w:rPr>
                      <w:rFonts w:hint="eastAsia"/>
                    </w:rPr>
                    <w:t>电热烘箱</w:t>
                  </w:r>
                </w:p>
              </w:tc>
              <w:tc>
                <w:tcPr>
                  <w:tcW w:w="621" w:type="pct"/>
                  <w:vAlign w:val="center"/>
                </w:tcPr>
                <w:p>
                  <w:pPr>
                    <w:pStyle w:val="47"/>
                  </w:pPr>
                  <w:r>
                    <w:t>频发</w:t>
                  </w:r>
                </w:p>
              </w:tc>
              <w:tc>
                <w:tcPr>
                  <w:tcW w:w="431" w:type="pct"/>
                  <w:vAlign w:val="center"/>
                </w:tcPr>
                <w:p>
                  <w:pPr>
                    <w:pStyle w:val="47"/>
                  </w:pPr>
                  <w:r>
                    <w:t>类比法</w:t>
                  </w:r>
                </w:p>
              </w:tc>
              <w:tc>
                <w:tcPr>
                  <w:tcW w:w="1212" w:type="dxa"/>
                  <w:vAlign w:val="center"/>
                </w:tcPr>
                <w:p>
                  <w:pPr>
                    <w:pStyle w:val="47"/>
                  </w:pPr>
                  <w:r>
                    <w:rPr>
                      <w:rFonts w:hint="eastAsia"/>
                    </w:rPr>
                    <w:t>70~75</w:t>
                  </w:r>
                </w:p>
              </w:tc>
              <w:tc>
                <w:tcPr>
                  <w:tcW w:w="322" w:type="pct"/>
                  <w:vMerge w:val="continue"/>
                  <w:vAlign w:val="center"/>
                </w:tcPr>
                <w:p>
                  <w:pPr>
                    <w:pStyle w:val="47"/>
                  </w:pPr>
                </w:p>
              </w:tc>
              <w:tc>
                <w:tcPr>
                  <w:tcW w:w="430" w:type="pct"/>
                  <w:vMerge w:val="continue"/>
                  <w:vAlign w:val="center"/>
                </w:tcPr>
                <w:p>
                  <w:pPr>
                    <w:pStyle w:val="47"/>
                  </w:pPr>
                </w:p>
              </w:tc>
              <w:tc>
                <w:tcPr>
                  <w:tcW w:w="411" w:type="pct"/>
                  <w:vAlign w:val="center"/>
                </w:tcPr>
                <w:p>
                  <w:pPr>
                    <w:pStyle w:val="47"/>
                  </w:pPr>
                  <w:r>
                    <w:t>类比法</w:t>
                  </w:r>
                </w:p>
              </w:tc>
              <w:tc>
                <w:tcPr>
                  <w:tcW w:w="1250" w:type="dxa"/>
                  <w:vAlign w:val="center"/>
                </w:tcPr>
                <w:p>
                  <w:pPr>
                    <w:pStyle w:val="47"/>
                  </w:pPr>
                  <w:r>
                    <w:rPr>
                      <w:rFonts w:hint="eastAsia"/>
                    </w:rPr>
                    <w:t>70~75</w:t>
                  </w:r>
                </w:p>
              </w:tc>
              <w:tc>
                <w:tcPr>
                  <w:tcW w:w="372" w:type="pct"/>
                  <w:vAlign w:val="center"/>
                </w:tcPr>
                <w:p>
                  <w:pPr>
                    <w:pStyle w:val="47"/>
                  </w:pPr>
                  <w:r>
                    <w:rPr>
                      <w:rFonts w:hint="eastAsia"/>
                    </w:rPr>
                    <w:t>2400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6" w:type="pct"/>
                  <w:vMerge w:val="continue"/>
                  <w:vAlign w:val="center"/>
                </w:tcPr>
                <w:p>
                  <w:pPr>
                    <w:pStyle w:val="47"/>
                  </w:pPr>
                </w:p>
              </w:tc>
              <w:tc>
                <w:tcPr>
                  <w:tcW w:w="579" w:type="pct"/>
                  <w:vAlign w:val="center"/>
                </w:tcPr>
                <w:p>
                  <w:pPr>
                    <w:pStyle w:val="47"/>
                  </w:pPr>
                  <w:r>
                    <w:rPr>
                      <w:rFonts w:hint="eastAsia"/>
                    </w:rPr>
                    <w:t>10T油压机</w:t>
                  </w:r>
                </w:p>
              </w:tc>
              <w:tc>
                <w:tcPr>
                  <w:tcW w:w="576" w:type="pct"/>
                  <w:vAlign w:val="center"/>
                </w:tcPr>
                <w:p>
                  <w:pPr>
                    <w:pStyle w:val="47"/>
                  </w:pPr>
                  <w:r>
                    <w:rPr>
                      <w:rFonts w:hint="eastAsia"/>
                    </w:rPr>
                    <w:t>10T油压机</w:t>
                  </w:r>
                </w:p>
              </w:tc>
              <w:tc>
                <w:tcPr>
                  <w:tcW w:w="621" w:type="pct"/>
                  <w:vAlign w:val="center"/>
                </w:tcPr>
                <w:p>
                  <w:pPr>
                    <w:pStyle w:val="47"/>
                  </w:pPr>
                  <w:r>
                    <w:t>频发</w:t>
                  </w:r>
                </w:p>
              </w:tc>
              <w:tc>
                <w:tcPr>
                  <w:tcW w:w="431" w:type="pct"/>
                  <w:vAlign w:val="center"/>
                </w:tcPr>
                <w:p>
                  <w:pPr>
                    <w:pStyle w:val="47"/>
                  </w:pPr>
                  <w:r>
                    <w:t>类比法</w:t>
                  </w:r>
                </w:p>
              </w:tc>
              <w:tc>
                <w:tcPr>
                  <w:tcW w:w="1212" w:type="dxa"/>
                  <w:vAlign w:val="center"/>
                </w:tcPr>
                <w:p>
                  <w:pPr>
                    <w:pStyle w:val="47"/>
                  </w:pPr>
                  <w:r>
                    <w:rPr>
                      <w:rFonts w:hint="eastAsia"/>
                    </w:rPr>
                    <w:t>70~75</w:t>
                  </w:r>
                </w:p>
              </w:tc>
              <w:tc>
                <w:tcPr>
                  <w:tcW w:w="322" w:type="pct"/>
                  <w:vMerge w:val="continue"/>
                  <w:vAlign w:val="center"/>
                </w:tcPr>
                <w:p>
                  <w:pPr>
                    <w:pStyle w:val="47"/>
                  </w:pPr>
                </w:p>
              </w:tc>
              <w:tc>
                <w:tcPr>
                  <w:tcW w:w="430" w:type="pct"/>
                  <w:vMerge w:val="continue"/>
                  <w:vAlign w:val="center"/>
                </w:tcPr>
                <w:p>
                  <w:pPr>
                    <w:pStyle w:val="47"/>
                  </w:pPr>
                </w:p>
              </w:tc>
              <w:tc>
                <w:tcPr>
                  <w:tcW w:w="411" w:type="pct"/>
                  <w:vAlign w:val="center"/>
                </w:tcPr>
                <w:p>
                  <w:pPr>
                    <w:pStyle w:val="47"/>
                  </w:pPr>
                  <w:r>
                    <w:t>类比法</w:t>
                  </w:r>
                </w:p>
              </w:tc>
              <w:tc>
                <w:tcPr>
                  <w:tcW w:w="1250" w:type="dxa"/>
                  <w:vAlign w:val="center"/>
                </w:tcPr>
                <w:p>
                  <w:pPr>
                    <w:pStyle w:val="47"/>
                  </w:pPr>
                  <w:r>
                    <w:rPr>
                      <w:rFonts w:hint="eastAsia"/>
                    </w:rPr>
                    <w:t>70~75</w:t>
                  </w:r>
                </w:p>
              </w:tc>
              <w:tc>
                <w:tcPr>
                  <w:tcW w:w="372" w:type="pct"/>
                  <w:vAlign w:val="center"/>
                </w:tcPr>
                <w:p>
                  <w:pPr>
                    <w:pStyle w:val="47"/>
                  </w:pPr>
                  <w:r>
                    <w:rPr>
                      <w:rFonts w:hint="eastAsia"/>
                    </w:rPr>
                    <w:t>2400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6" w:type="pct"/>
                  <w:vMerge w:val="continue"/>
                  <w:vAlign w:val="center"/>
                </w:tcPr>
                <w:p>
                  <w:pPr>
                    <w:pStyle w:val="47"/>
                  </w:pPr>
                </w:p>
              </w:tc>
              <w:tc>
                <w:tcPr>
                  <w:tcW w:w="579" w:type="pct"/>
                  <w:vAlign w:val="center"/>
                </w:tcPr>
                <w:p>
                  <w:pPr>
                    <w:pStyle w:val="47"/>
                  </w:pPr>
                  <w:r>
                    <w:rPr>
                      <w:rFonts w:hint="eastAsia"/>
                    </w:rPr>
                    <w:t>定子绕线机</w:t>
                  </w:r>
                </w:p>
              </w:tc>
              <w:tc>
                <w:tcPr>
                  <w:tcW w:w="576" w:type="pct"/>
                  <w:vAlign w:val="center"/>
                </w:tcPr>
                <w:p>
                  <w:pPr>
                    <w:pStyle w:val="47"/>
                  </w:pPr>
                  <w:r>
                    <w:rPr>
                      <w:rFonts w:hint="eastAsia"/>
                    </w:rPr>
                    <w:t>定子绕线机</w:t>
                  </w:r>
                </w:p>
              </w:tc>
              <w:tc>
                <w:tcPr>
                  <w:tcW w:w="621" w:type="pct"/>
                  <w:vAlign w:val="center"/>
                </w:tcPr>
                <w:p>
                  <w:pPr>
                    <w:pStyle w:val="47"/>
                  </w:pPr>
                  <w:r>
                    <w:t>频发</w:t>
                  </w:r>
                </w:p>
              </w:tc>
              <w:tc>
                <w:tcPr>
                  <w:tcW w:w="431" w:type="pct"/>
                  <w:vAlign w:val="center"/>
                </w:tcPr>
                <w:p>
                  <w:pPr>
                    <w:pStyle w:val="47"/>
                  </w:pPr>
                  <w:r>
                    <w:t>类比法</w:t>
                  </w:r>
                </w:p>
              </w:tc>
              <w:tc>
                <w:tcPr>
                  <w:tcW w:w="1212" w:type="dxa"/>
                  <w:vAlign w:val="center"/>
                </w:tcPr>
                <w:p>
                  <w:pPr>
                    <w:pStyle w:val="47"/>
                  </w:pPr>
                  <w:r>
                    <w:rPr>
                      <w:rFonts w:hint="eastAsia"/>
                    </w:rPr>
                    <w:t>65~70</w:t>
                  </w:r>
                </w:p>
              </w:tc>
              <w:tc>
                <w:tcPr>
                  <w:tcW w:w="322" w:type="pct"/>
                  <w:vMerge w:val="continue"/>
                  <w:vAlign w:val="center"/>
                </w:tcPr>
                <w:p>
                  <w:pPr>
                    <w:pStyle w:val="47"/>
                  </w:pPr>
                </w:p>
              </w:tc>
              <w:tc>
                <w:tcPr>
                  <w:tcW w:w="430" w:type="pct"/>
                  <w:vMerge w:val="continue"/>
                  <w:vAlign w:val="center"/>
                </w:tcPr>
                <w:p>
                  <w:pPr>
                    <w:pStyle w:val="47"/>
                  </w:pPr>
                </w:p>
              </w:tc>
              <w:tc>
                <w:tcPr>
                  <w:tcW w:w="411" w:type="pct"/>
                  <w:vAlign w:val="center"/>
                </w:tcPr>
                <w:p>
                  <w:pPr>
                    <w:pStyle w:val="47"/>
                  </w:pPr>
                  <w:r>
                    <w:t>类比法</w:t>
                  </w:r>
                </w:p>
              </w:tc>
              <w:tc>
                <w:tcPr>
                  <w:tcW w:w="1250" w:type="dxa"/>
                  <w:vAlign w:val="center"/>
                </w:tcPr>
                <w:p>
                  <w:pPr>
                    <w:pStyle w:val="47"/>
                  </w:pPr>
                  <w:r>
                    <w:rPr>
                      <w:rFonts w:hint="eastAsia"/>
                    </w:rPr>
                    <w:t>65~70</w:t>
                  </w:r>
                </w:p>
              </w:tc>
              <w:tc>
                <w:tcPr>
                  <w:tcW w:w="372" w:type="pct"/>
                  <w:vAlign w:val="center"/>
                </w:tcPr>
                <w:p>
                  <w:pPr>
                    <w:pStyle w:val="47"/>
                  </w:pPr>
                  <w:r>
                    <w:rPr>
                      <w:rFonts w:hint="eastAsia"/>
                    </w:rPr>
                    <w:t>2400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6" w:type="pct"/>
                  <w:vMerge w:val="continue"/>
                  <w:vAlign w:val="center"/>
                </w:tcPr>
                <w:p>
                  <w:pPr>
                    <w:pStyle w:val="47"/>
                  </w:pPr>
                </w:p>
              </w:tc>
              <w:tc>
                <w:tcPr>
                  <w:tcW w:w="579" w:type="pct"/>
                  <w:vAlign w:val="center"/>
                </w:tcPr>
                <w:p>
                  <w:pPr>
                    <w:pStyle w:val="47"/>
                  </w:pPr>
                  <w:r>
                    <w:t>交流氩弧焊机</w:t>
                  </w:r>
                </w:p>
              </w:tc>
              <w:tc>
                <w:tcPr>
                  <w:tcW w:w="576" w:type="pct"/>
                  <w:vAlign w:val="center"/>
                </w:tcPr>
                <w:p>
                  <w:pPr>
                    <w:pStyle w:val="47"/>
                  </w:pPr>
                  <w:r>
                    <w:t>交流氩弧焊机</w:t>
                  </w:r>
                </w:p>
              </w:tc>
              <w:tc>
                <w:tcPr>
                  <w:tcW w:w="621" w:type="pct"/>
                  <w:vAlign w:val="center"/>
                </w:tcPr>
                <w:p>
                  <w:pPr>
                    <w:pStyle w:val="47"/>
                  </w:pPr>
                  <w:r>
                    <w:t>频发</w:t>
                  </w:r>
                </w:p>
              </w:tc>
              <w:tc>
                <w:tcPr>
                  <w:tcW w:w="431" w:type="pct"/>
                  <w:vAlign w:val="center"/>
                </w:tcPr>
                <w:p>
                  <w:pPr>
                    <w:pStyle w:val="47"/>
                  </w:pPr>
                  <w:r>
                    <w:t>类比法</w:t>
                  </w:r>
                </w:p>
              </w:tc>
              <w:tc>
                <w:tcPr>
                  <w:tcW w:w="1212" w:type="dxa"/>
                  <w:vAlign w:val="center"/>
                </w:tcPr>
                <w:p>
                  <w:pPr>
                    <w:pStyle w:val="47"/>
                  </w:pPr>
                  <w:r>
                    <w:t>75~80</w:t>
                  </w:r>
                </w:p>
              </w:tc>
              <w:tc>
                <w:tcPr>
                  <w:tcW w:w="322" w:type="pct"/>
                  <w:vMerge w:val="continue"/>
                  <w:vAlign w:val="center"/>
                </w:tcPr>
                <w:p>
                  <w:pPr>
                    <w:pStyle w:val="47"/>
                  </w:pPr>
                </w:p>
              </w:tc>
              <w:tc>
                <w:tcPr>
                  <w:tcW w:w="430" w:type="pct"/>
                  <w:vMerge w:val="continue"/>
                  <w:vAlign w:val="center"/>
                </w:tcPr>
                <w:p>
                  <w:pPr>
                    <w:pStyle w:val="47"/>
                  </w:pPr>
                </w:p>
              </w:tc>
              <w:tc>
                <w:tcPr>
                  <w:tcW w:w="411" w:type="pct"/>
                  <w:vAlign w:val="center"/>
                </w:tcPr>
                <w:p>
                  <w:pPr>
                    <w:pStyle w:val="47"/>
                  </w:pPr>
                  <w:r>
                    <w:t>类比法</w:t>
                  </w:r>
                </w:p>
              </w:tc>
              <w:tc>
                <w:tcPr>
                  <w:tcW w:w="1250" w:type="dxa"/>
                  <w:vAlign w:val="center"/>
                </w:tcPr>
                <w:p>
                  <w:pPr>
                    <w:pStyle w:val="47"/>
                  </w:pPr>
                  <w:r>
                    <w:t>75~80</w:t>
                  </w:r>
                </w:p>
              </w:tc>
              <w:tc>
                <w:tcPr>
                  <w:tcW w:w="372" w:type="pct"/>
                  <w:vAlign w:val="center"/>
                </w:tcPr>
                <w:p>
                  <w:pPr>
                    <w:pStyle w:val="47"/>
                  </w:pPr>
                  <w:r>
                    <w:rPr>
                      <w:rFonts w:hint="eastAsia"/>
                    </w:rPr>
                    <w:t>2400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6" w:type="pct"/>
                  <w:vMerge w:val="continue"/>
                  <w:vAlign w:val="center"/>
                </w:tcPr>
                <w:p>
                  <w:pPr>
                    <w:pStyle w:val="47"/>
                  </w:pPr>
                </w:p>
              </w:tc>
              <w:tc>
                <w:tcPr>
                  <w:tcW w:w="579" w:type="pct"/>
                  <w:vAlign w:val="center"/>
                </w:tcPr>
                <w:p>
                  <w:pPr>
                    <w:pStyle w:val="47"/>
                  </w:pPr>
                  <w:r>
                    <w:rPr>
                      <w:rFonts w:hint="eastAsia"/>
                    </w:rPr>
                    <w:t>二保焊</w:t>
                  </w:r>
                </w:p>
              </w:tc>
              <w:tc>
                <w:tcPr>
                  <w:tcW w:w="576" w:type="pct"/>
                  <w:vAlign w:val="center"/>
                </w:tcPr>
                <w:p>
                  <w:pPr>
                    <w:pStyle w:val="47"/>
                  </w:pPr>
                  <w:r>
                    <w:rPr>
                      <w:rFonts w:hint="eastAsia"/>
                    </w:rPr>
                    <w:t>二保焊</w:t>
                  </w:r>
                </w:p>
              </w:tc>
              <w:tc>
                <w:tcPr>
                  <w:tcW w:w="621" w:type="pct"/>
                  <w:vAlign w:val="center"/>
                </w:tcPr>
                <w:p>
                  <w:pPr>
                    <w:pStyle w:val="47"/>
                  </w:pPr>
                  <w:r>
                    <w:t>频发</w:t>
                  </w:r>
                </w:p>
              </w:tc>
              <w:tc>
                <w:tcPr>
                  <w:tcW w:w="431" w:type="pct"/>
                  <w:vAlign w:val="center"/>
                </w:tcPr>
                <w:p>
                  <w:pPr>
                    <w:pStyle w:val="47"/>
                  </w:pPr>
                  <w:r>
                    <w:t>类比法</w:t>
                  </w:r>
                </w:p>
              </w:tc>
              <w:tc>
                <w:tcPr>
                  <w:tcW w:w="1212" w:type="dxa"/>
                  <w:vAlign w:val="center"/>
                </w:tcPr>
                <w:p>
                  <w:pPr>
                    <w:pStyle w:val="47"/>
                  </w:pPr>
                  <w:r>
                    <w:t>75~80</w:t>
                  </w:r>
                </w:p>
              </w:tc>
              <w:tc>
                <w:tcPr>
                  <w:tcW w:w="322" w:type="pct"/>
                  <w:vMerge w:val="continue"/>
                  <w:vAlign w:val="center"/>
                </w:tcPr>
                <w:p>
                  <w:pPr>
                    <w:pStyle w:val="47"/>
                  </w:pPr>
                </w:p>
              </w:tc>
              <w:tc>
                <w:tcPr>
                  <w:tcW w:w="430" w:type="pct"/>
                  <w:vMerge w:val="continue"/>
                  <w:vAlign w:val="center"/>
                </w:tcPr>
                <w:p>
                  <w:pPr>
                    <w:pStyle w:val="47"/>
                  </w:pPr>
                </w:p>
              </w:tc>
              <w:tc>
                <w:tcPr>
                  <w:tcW w:w="411" w:type="pct"/>
                  <w:vAlign w:val="center"/>
                </w:tcPr>
                <w:p>
                  <w:pPr>
                    <w:pStyle w:val="47"/>
                  </w:pPr>
                  <w:r>
                    <w:t>类比法</w:t>
                  </w:r>
                </w:p>
              </w:tc>
              <w:tc>
                <w:tcPr>
                  <w:tcW w:w="1250" w:type="dxa"/>
                  <w:vAlign w:val="center"/>
                </w:tcPr>
                <w:p>
                  <w:pPr>
                    <w:pStyle w:val="47"/>
                  </w:pPr>
                  <w:r>
                    <w:t>75~80</w:t>
                  </w:r>
                </w:p>
              </w:tc>
              <w:tc>
                <w:tcPr>
                  <w:tcW w:w="372" w:type="pct"/>
                  <w:vAlign w:val="center"/>
                </w:tcPr>
                <w:p>
                  <w:pPr>
                    <w:pStyle w:val="47"/>
                  </w:pPr>
                  <w:r>
                    <w:rPr>
                      <w:rFonts w:hint="eastAsia"/>
                    </w:rPr>
                    <w:t>2400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6" w:type="pct"/>
                  <w:vMerge w:val="continue"/>
                  <w:vAlign w:val="center"/>
                </w:tcPr>
                <w:p>
                  <w:pPr>
                    <w:pStyle w:val="47"/>
                  </w:pPr>
                </w:p>
              </w:tc>
              <w:tc>
                <w:tcPr>
                  <w:tcW w:w="579" w:type="pct"/>
                  <w:vAlign w:val="center"/>
                </w:tcPr>
                <w:p>
                  <w:pPr>
                    <w:pStyle w:val="47"/>
                  </w:pPr>
                  <w:r>
                    <w:rPr>
                      <w:rFonts w:hint="eastAsia"/>
                    </w:rPr>
                    <w:t>立式机械式插纸机</w:t>
                  </w:r>
                </w:p>
              </w:tc>
              <w:tc>
                <w:tcPr>
                  <w:tcW w:w="576" w:type="pct"/>
                  <w:vAlign w:val="center"/>
                </w:tcPr>
                <w:p>
                  <w:pPr>
                    <w:pStyle w:val="47"/>
                  </w:pPr>
                  <w:r>
                    <w:rPr>
                      <w:rFonts w:hint="eastAsia"/>
                    </w:rPr>
                    <w:t>立式机械式插纸机</w:t>
                  </w:r>
                </w:p>
              </w:tc>
              <w:tc>
                <w:tcPr>
                  <w:tcW w:w="621" w:type="pct"/>
                  <w:vAlign w:val="center"/>
                </w:tcPr>
                <w:p>
                  <w:pPr>
                    <w:pStyle w:val="47"/>
                  </w:pPr>
                  <w:r>
                    <w:t>频发</w:t>
                  </w:r>
                </w:p>
              </w:tc>
              <w:tc>
                <w:tcPr>
                  <w:tcW w:w="431" w:type="pct"/>
                  <w:vAlign w:val="center"/>
                </w:tcPr>
                <w:p>
                  <w:pPr>
                    <w:pStyle w:val="47"/>
                  </w:pPr>
                  <w:r>
                    <w:t>类比法</w:t>
                  </w:r>
                </w:p>
              </w:tc>
              <w:tc>
                <w:tcPr>
                  <w:tcW w:w="1212" w:type="dxa"/>
                  <w:vAlign w:val="center"/>
                </w:tcPr>
                <w:p>
                  <w:pPr>
                    <w:pStyle w:val="47"/>
                  </w:pPr>
                  <w:r>
                    <w:t>75~80</w:t>
                  </w:r>
                </w:p>
              </w:tc>
              <w:tc>
                <w:tcPr>
                  <w:tcW w:w="322" w:type="pct"/>
                  <w:vMerge w:val="continue"/>
                  <w:vAlign w:val="center"/>
                </w:tcPr>
                <w:p>
                  <w:pPr>
                    <w:pStyle w:val="47"/>
                  </w:pPr>
                </w:p>
              </w:tc>
              <w:tc>
                <w:tcPr>
                  <w:tcW w:w="430" w:type="pct"/>
                  <w:vMerge w:val="continue"/>
                  <w:vAlign w:val="center"/>
                </w:tcPr>
                <w:p>
                  <w:pPr>
                    <w:pStyle w:val="47"/>
                  </w:pPr>
                </w:p>
              </w:tc>
              <w:tc>
                <w:tcPr>
                  <w:tcW w:w="411" w:type="pct"/>
                  <w:vAlign w:val="center"/>
                </w:tcPr>
                <w:p>
                  <w:pPr>
                    <w:pStyle w:val="47"/>
                  </w:pPr>
                  <w:r>
                    <w:t>类比法</w:t>
                  </w:r>
                </w:p>
              </w:tc>
              <w:tc>
                <w:tcPr>
                  <w:tcW w:w="1250" w:type="dxa"/>
                  <w:vAlign w:val="center"/>
                </w:tcPr>
                <w:p>
                  <w:pPr>
                    <w:pStyle w:val="47"/>
                  </w:pPr>
                  <w:r>
                    <w:t>75~80</w:t>
                  </w:r>
                </w:p>
              </w:tc>
              <w:tc>
                <w:tcPr>
                  <w:tcW w:w="372" w:type="pct"/>
                  <w:vAlign w:val="center"/>
                </w:tcPr>
                <w:p>
                  <w:pPr>
                    <w:pStyle w:val="47"/>
                  </w:pPr>
                  <w:r>
                    <w:rPr>
                      <w:rFonts w:hint="eastAsia"/>
                    </w:rPr>
                    <w:t>2400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6" w:type="pct"/>
                  <w:vMerge w:val="continue"/>
                  <w:vAlign w:val="center"/>
                </w:tcPr>
                <w:p>
                  <w:pPr>
                    <w:pStyle w:val="47"/>
                  </w:pPr>
                </w:p>
              </w:tc>
              <w:tc>
                <w:tcPr>
                  <w:tcW w:w="579" w:type="pct"/>
                  <w:vAlign w:val="center"/>
                </w:tcPr>
                <w:p>
                  <w:pPr>
                    <w:pStyle w:val="47"/>
                  </w:pPr>
                  <w:r>
                    <w:t>喷油螺杆空压机</w:t>
                  </w:r>
                </w:p>
              </w:tc>
              <w:tc>
                <w:tcPr>
                  <w:tcW w:w="576" w:type="pct"/>
                  <w:vAlign w:val="center"/>
                </w:tcPr>
                <w:p>
                  <w:pPr>
                    <w:pStyle w:val="47"/>
                  </w:pPr>
                  <w:r>
                    <w:t>喷油螺杆空压机</w:t>
                  </w:r>
                </w:p>
              </w:tc>
              <w:tc>
                <w:tcPr>
                  <w:tcW w:w="621" w:type="pct"/>
                  <w:vAlign w:val="center"/>
                </w:tcPr>
                <w:p>
                  <w:pPr>
                    <w:pStyle w:val="47"/>
                  </w:pPr>
                  <w:r>
                    <w:t>频发</w:t>
                  </w:r>
                </w:p>
              </w:tc>
              <w:tc>
                <w:tcPr>
                  <w:tcW w:w="431" w:type="pct"/>
                  <w:vAlign w:val="center"/>
                </w:tcPr>
                <w:p>
                  <w:pPr>
                    <w:pStyle w:val="47"/>
                  </w:pPr>
                  <w:r>
                    <w:t>类比法</w:t>
                  </w:r>
                </w:p>
              </w:tc>
              <w:tc>
                <w:tcPr>
                  <w:tcW w:w="1212" w:type="dxa"/>
                  <w:vAlign w:val="center"/>
                </w:tcPr>
                <w:p>
                  <w:pPr>
                    <w:pStyle w:val="47"/>
                  </w:pPr>
                  <w:r>
                    <w:t>80~85</w:t>
                  </w:r>
                </w:p>
              </w:tc>
              <w:tc>
                <w:tcPr>
                  <w:tcW w:w="322" w:type="pct"/>
                  <w:vMerge w:val="continue"/>
                  <w:vAlign w:val="center"/>
                </w:tcPr>
                <w:p>
                  <w:pPr>
                    <w:pStyle w:val="47"/>
                  </w:pPr>
                </w:p>
              </w:tc>
              <w:tc>
                <w:tcPr>
                  <w:tcW w:w="430" w:type="pct"/>
                  <w:vMerge w:val="continue"/>
                  <w:vAlign w:val="center"/>
                </w:tcPr>
                <w:p>
                  <w:pPr>
                    <w:pStyle w:val="47"/>
                  </w:pPr>
                </w:p>
              </w:tc>
              <w:tc>
                <w:tcPr>
                  <w:tcW w:w="411" w:type="pct"/>
                  <w:vAlign w:val="center"/>
                </w:tcPr>
                <w:p>
                  <w:pPr>
                    <w:pStyle w:val="47"/>
                  </w:pPr>
                  <w:r>
                    <w:t>类比法</w:t>
                  </w:r>
                </w:p>
              </w:tc>
              <w:tc>
                <w:tcPr>
                  <w:tcW w:w="1250" w:type="dxa"/>
                  <w:vAlign w:val="center"/>
                </w:tcPr>
                <w:p>
                  <w:pPr>
                    <w:pStyle w:val="47"/>
                  </w:pPr>
                  <w:r>
                    <w:t>80~85</w:t>
                  </w:r>
                </w:p>
              </w:tc>
              <w:tc>
                <w:tcPr>
                  <w:tcW w:w="372" w:type="pct"/>
                  <w:vAlign w:val="center"/>
                </w:tcPr>
                <w:p>
                  <w:pPr>
                    <w:pStyle w:val="47"/>
                  </w:pPr>
                  <w:r>
                    <w:rPr>
                      <w:rFonts w:hint="eastAsia"/>
                    </w:rPr>
                    <w:t>2400</w:t>
                  </w:r>
                </w:p>
              </w:tc>
            </w:tr>
          </w:tbl>
          <w:p>
            <w:pPr>
              <w:pStyle w:val="6"/>
              <w:rPr>
                <w:kern w:val="2"/>
              </w:rPr>
            </w:pPr>
            <w:bookmarkStart w:id="140" w:name="_Toc29388585"/>
            <w:bookmarkStart w:id="141" w:name="_Toc29380634"/>
          </w:p>
          <w:p>
            <w:pPr>
              <w:pStyle w:val="6"/>
              <w:rPr>
                <w:kern w:val="2"/>
              </w:rPr>
            </w:pPr>
            <w:r>
              <w:rPr>
                <w:kern w:val="2"/>
              </w:rPr>
              <w:t>5.4.4固废污染源汇总</w:t>
            </w:r>
            <w:bookmarkEnd w:id="140"/>
            <w:bookmarkEnd w:id="141"/>
          </w:p>
          <w:p>
            <w:pPr>
              <w:ind w:firstLine="480"/>
            </w:pPr>
            <w:r>
              <w:t>项目营运过程中固废污染源强核算情况见表5-</w:t>
            </w:r>
            <w:r>
              <w:rPr>
                <w:rFonts w:hint="eastAsia"/>
              </w:rPr>
              <w:t>20</w:t>
            </w:r>
            <w:r>
              <w:t>。</w:t>
            </w:r>
          </w:p>
          <w:p>
            <w:pPr>
              <w:pStyle w:val="46"/>
            </w:pPr>
            <w:r>
              <w:t>表5-</w:t>
            </w:r>
            <w:r>
              <w:rPr>
                <w:rFonts w:hint="eastAsia"/>
              </w:rPr>
              <w:t>20</w:t>
            </w:r>
            <w:r>
              <w:t xml:space="preserve">  固体废物污染源源强核算结果及相关参数一览表   （单位：t/a）</w:t>
            </w:r>
          </w:p>
          <w:tbl>
            <w:tblPr>
              <w:tblStyle w:val="34"/>
              <w:tblW w:w="490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27"/>
              <w:gridCol w:w="2074"/>
              <w:gridCol w:w="2121"/>
              <w:gridCol w:w="1392"/>
              <w:gridCol w:w="1503"/>
              <w:gridCol w:w="1037"/>
              <w:gridCol w:w="1640"/>
              <w:gridCol w:w="1071"/>
              <w:gridCol w:w="8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542" w:type="pct"/>
                  <w:vMerge w:val="restart"/>
                  <w:vAlign w:val="center"/>
                </w:tcPr>
                <w:p>
                  <w:pPr>
                    <w:pStyle w:val="46"/>
                  </w:pPr>
                  <w:r>
                    <w:t>工序/生产线</w:t>
                  </w:r>
                </w:p>
              </w:tc>
              <w:tc>
                <w:tcPr>
                  <w:tcW w:w="788" w:type="pct"/>
                  <w:vMerge w:val="restart"/>
                  <w:vAlign w:val="center"/>
                </w:tcPr>
                <w:p>
                  <w:pPr>
                    <w:pStyle w:val="46"/>
                  </w:pPr>
                  <w:r>
                    <w:t>装置</w:t>
                  </w:r>
                </w:p>
              </w:tc>
              <w:tc>
                <w:tcPr>
                  <w:tcW w:w="806" w:type="pct"/>
                  <w:vMerge w:val="restart"/>
                  <w:vAlign w:val="center"/>
                </w:tcPr>
                <w:p>
                  <w:pPr>
                    <w:pStyle w:val="46"/>
                  </w:pPr>
                  <w:r>
                    <w:t>固体废物名称</w:t>
                  </w:r>
                </w:p>
              </w:tc>
              <w:tc>
                <w:tcPr>
                  <w:tcW w:w="529" w:type="pct"/>
                  <w:vMerge w:val="restart"/>
                  <w:vAlign w:val="center"/>
                </w:tcPr>
                <w:p>
                  <w:pPr>
                    <w:pStyle w:val="46"/>
                  </w:pPr>
                  <w:r>
                    <w:t>固废属性</w:t>
                  </w:r>
                </w:p>
              </w:tc>
              <w:tc>
                <w:tcPr>
                  <w:tcW w:w="965" w:type="pct"/>
                  <w:gridSpan w:val="2"/>
                  <w:vAlign w:val="center"/>
                </w:tcPr>
                <w:p>
                  <w:pPr>
                    <w:pStyle w:val="46"/>
                  </w:pPr>
                  <w:r>
                    <w:t>产生情况</w:t>
                  </w:r>
                </w:p>
              </w:tc>
              <w:tc>
                <w:tcPr>
                  <w:tcW w:w="1030" w:type="pct"/>
                  <w:gridSpan w:val="2"/>
                  <w:vAlign w:val="center"/>
                </w:tcPr>
                <w:p>
                  <w:pPr>
                    <w:pStyle w:val="46"/>
                  </w:pPr>
                  <w:r>
                    <w:t>处置措施</w:t>
                  </w:r>
                </w:p>
              </w:tc>
              <w:tc>
                <w:tcPr>
                  <w:tcW w:w="336" w:type="pct"/>
                  <w:vMerge w:val="restart"/>
                  <w:vAlign w:val="center"/>
                </w:tcPr>
                <w:p>
                  <w:pPr>
                    <w:pStyle w:val="46"/>
                    <w:rPr>
                      <w:b w:val="0"/>
                    </w:rPr>
                  </w:pPr>
                  <w:r>
                    <w:t>最终去向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542" w:type="pct"/>
                  <w:vMerge w:val="continue"/>
                  <w:vAlign w:val="center"/>
                </w:tcPr>
                <w:p>
                  <w:pPr>
                    <w:pStyle w:val="46"/>
                  </w:pPr>
                </w:p>
              </w:tc>
              <w:tc>
                <w:tcPr>
                  <w:tcW w:w="788" w:type="pct"/>
                  <w:vMerge w:val="continue"/>
                  <w:vAlign w:val="center"/>
                </w:tcPr>
                <w:p>
                  <w:pPr>
                    <w:pStyle w:val="46"/>
                  </w:pPr>
                </w:p>
              </w:tc>
              <w:tc>
                <w:tcPr>
                  <w:tcW w:w="806" w:type="pct"/>
                  <w:vMerge w:val="continue"/>
                  <w:vAlign w:val="center"/>
                </w:tcPr>
                <w:p>
                  <w:pPr>
                    <w:pStyle w:val="46"/>
                  </w:pPr>
                </w:p>
              </w:tc>
              <w:tc>
                <w:tcPr>
                  <w:tcW w:w="529" w:type="pct"/>
                  <w:vMerge w:val="continue"/>
                  <w:vAlign w:val="center"/>
                </w:tcPr>
                <w:p>
                  <w:pPr>
                    <w:pStyle w:val="46"/>
                  </w:pPr>
                </w:p>
              </w:tc>
              <w:tc>
                <w:tcPr>
                  <w:tcW w:w="571" w:type="pct"/>
                  <w:vAlign w:val="center"/>
                </w:tcPr>
                <w:p>
                  <w:pPr>
                    <w:pStyle w:val="46"/>
                  </w:pPr>
                  <w:r>
                    <w:t>核算方法</w:t>
                  </w:r>
                </w:p>
              </w:tc>
              <w:tc>
                <w:tcPr>
                  <w:tcW w:w="393" w:type="pct"/>
                  <w:vAlign w:val="center"/>
                </w:tcPr>
                <w:p>
                  <w:pPr>
                    <w:pStyle w:val="46"/>
                  </w:pPr>
                  <w:r>
                    <w:t>产生量</w:t>
                  </w:r>
                </w:p>
              </w:tc>
              <w:tc>
                <w:tcPr>
                  <w:tcW w:w="623" w:type="pct"/>
                  <w:vAlign w:val="center"/>
                </w:tcPr>
                <w:p>
                  <w:pPr>
                    <w:pStyle w:val="46"/>
                  </w:pPr>
                  <w:r>
                    <w:t>处理工艺</w:t>
                  </w:r>
                </w:p>
              </w:tc>
              <w:tc>
                <w:tcPr>
                  <w:tcW w:w="407" w:type="pct"/>
                  <w:vAlign w:val="center"/>
                </w:tcPr>
                <w:p>
                  <w:pPr>
                    <w:pStyle w:val="46"/>
                  </w:pPr>
                  <w:r>
                    <w:t>处置量</w:t>
                  </w:r>
                </w:p>
              </w:tc>
              <w:tc>
                <w:tcPr>
                  <w:tcW w:w="336" w:type="pct"/>
                  <w:vMerge w:val="continue"/>
                  <w:vAlign w:val="center"/>
                </w:tcPr>
                <w:p>
                  <w:pPr>
                    <w:pStyle w:val="49"/>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42" w:type="pct"/>
                  <w:vAlign w:val="center"/>
                </w:tcPr>
                <w:p>
                  <w:pPr>
                    <w:pStyle w:val="47"/>
                    <w:rPr>
                      <w:szCs w:val="21"/>
                    </w:rPr>
                  </w:pPr>
                  <w:r>
                    <w:rPr>
                      <w:szCs w:val="21"/>
                    </w:rPr>
                    <w:t>原料使用</w:t>
                  </w:r>
                </w:p>
              </w:tc>
              <w:tc>
                <w:tcPr>
                  <w:tcW w:w="788" w:type="pct"/>
                  <w:vAlign w:val="center"/>
                </w:tcPr>
                <w:p>
                  <w:pPr>
                    <w:pStyle w:val="47"/>
                    <w:rPr>
                      <w:szCs w:val="21"/>
                    </w:rPr>
                  </w:pPr>
                  <w:r>
                    <w:rPr>
                      <w:szCs w:val="21"/>
                    </w:rPr>
                    <w:t>原料使用</w:t>
                  </w:r>
                </w:p>
              </w:tc>
              <w:tc>
                <w:tcPr>
                  <w:tcW w:w="806" w:type="pct"/>
                  <w:vAlign w:val="center"/>
                </w:tcPr>
                <w:p>
                  <w:pPr>
                    <w:pStyle w:val="47"/>
                    <w:rPr>
                      <w:szCs w:val="21"/>
                    </w:rPr>
                  </w:pPr>
                  <w:r>
                    <w:rPr>
                      <w:szCs w:val="21"/>
                    </w:rPr>
                    <w:t>一般包装材料</w:t>
                  </w:r>
                </w:p>
              </w:tc>
              <w:tc>
                <w:tcPr>
                  <w:tcW w:w="529" w:type="pct"/>
                  <w:vAlign w:val="center"/>
                </w:tcPr>
                <w:p>
                  <w:pPr>
                    <w:pStyle w:val="47"/>
                    <w:rPr>
                      <w:szCs w:val="21"/>
                    </w:rPr>
                  </w:pPr>
                  <w:r>
                    <w:rPr>
                      <w:szCs w:val="21"/>
                    </w:rPr>
                    <w:t>一般固废</w:t>
                  </w:r>
                </w:p>
              </w:tc>
              <w:tc>
                <w:tcPr>
                  <w:tcW w:w="571" w:type="pct"/>
                  <w:vAlign w:val="center"/>
                </w:tcPr>
                <w:p>
                  <w:pPr>
                    <w:pStyle w:val="47"/>
                    <w:rPr>
                      <w:szCs w:val="21"/>
                    </w:rPr>
                  </w:pPr>
                  <w:r>
                    <w:rPr>
                      <w:szCs w:val="21"/>
                    </w:rPr>
                    <w:t>类比法</w:t>
                  </w:r>
                </w:p>
              </w:tc>
              <w:tc>
                <w:tcPr>
                  <w:tcW w:w="393" w:type="pct"/>
                  <w:vAlign w:val="center"/>
                </w:tcPr>
                <w:p>
                  <w:pPr>
                    <w:pStyle w:val="47"/>
                    <w:rPr>
                      <w:szCs w:val="21"/>
                    </w:rPr>
                  </w:pPr>
                  <w:r>
                    <w:rPr>
                      <w:szCs w:val="21"/>
                    </w:rPr>
                    <w:t>4.0</w:t>
                  </w:r>
                </w:p>
              </w:tc>
              <w:tc>
                <w:tcPr>
                  <w:tcW w:w="623" w:type="pct"/>
                  <w:vMerge w:val="restart"/>
                  <w:vAlign w:val="center"/>
                </w:tcPr>
                <w:p>
                  <w:pPr>
                    <w:pStyle w:val="47"/>
                    <w:rPr>
                      <w:szCs w:val="21"/>
                    </w:rPr>
                  </w:pPr>
                  <w:r>
                    <w:rPr>
                      <w:szCs w:val="21"/>
                    </w:rPr>
                    <w:t>收集后外售综合利用</w:t>
                  </w:r>
                </w:p>
              </w:tc>
              <w:tc>
                <w:tcPr>
                  <w:tcW w:w="407" w:type="pct"/>
                  <w:vAlign w:val="center"/>
                </w:tcPr>
                <w:p>
                  <w:pPr>
                    <w:pStyle w:val="47"/>
                    <w:rPr>
                      <w:szCs w:val="21"/>
                    </w:rPr>
                  </w:pPr>
                  <w:r>
                    <w:rPr>
                      <w:szCs w:val="21"/>
                    </w:rPr>
                    <w:t>4.0</w:t>
                  </w:r>
                </w:p>
              </w:tc>
              <w:tc>
                <w:tcPr>
                  <w:tcW w:w="336" w:type="pct"/>
                  <w:vMerge w:val="restart"/>
                  <w:vAlign w:val="center"/>
                </w:tcPr>
                <w:p>
                  <w:pPr>
                    <w:pStyle w:val="47"/>
                    <w:rPr>
                      <w:szCs w:val="21"/>
                    </w:rPr>
                  </w:pPr>
                  <w:r>
                    <w:rPr>
                      <w:szCs w:val="21"/>
                    </w:rPr>
                    <w:t>外卖单位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42" w:type="pct"/>
                  <w:vAlign w:val="center"/>
                </w:tcPr>
                <w:p>
                  <w:pPr>
                    <w:pStyle w:val="47"/>
                    <w:rPr>
                      <w:szCs w:val="21"/>
                    </w:rPr>
                  </w:pPr>
                  <w:r>
                    <w:rPr>
                      <w:rFonts w:hint="eastAsia"/>
                      <w:szCs w:val="21"/>
                    </w:rPr>
                    <w:t>下料、粗车、普铣、精车、打孔、攻丝</w:t>
                  </w:r>
                </w:p>
              </w:tc>
              <w:tc>
                <w:tcPr>
                  <w:tcW w:w="788" w:type="pct"/>
                  <w:vAlign w:val="center"/>
                </w:tcPr>
                <w:p>
                  <w:pPr>
                    <w:pStyle w:val="47"/>
                    <w:rPr>
                      <w:szCs w:val="21"/>
                    </w:rPr>
                  </w:pPr>
                  <w:r>
                    <w:rPr>
                      <w:szCs w:val="21"/>
                    </w:rPr>
                    <w:t>加工中心、炮塔铣床、6140车床、</w:t>
                  </w:r>
                  <w:r>
                    <w:rPr>
                      <w:rFonts w:hint="eastAsia"/>
                      <w:szCs w:val="21"/>
                    </w:rPr>
                    <w:t>平面组合铣床</w:t>
                  </w:r>
                  <w:r>
                    <w:rPr>
                      <w:szCs w:val="21"/>
                    </w:rPr>
                    <w:t>、数控车床</w:t>
                  </w:r>
                </w:p>
              </w:tc>
              <w:tc>
                <w:tcPr>
                  <w:tcW w:w="806" w:type="pct"/>
                  <w:vAlign w:val="center"/>
                </w:tcPr>
                <w:p>
                  <w:pPr>
                    <w:pStyle w:val="47"/>
                    <w:rPr>
                      <w:szCs w:val="21"/>
                    </w:rPr>
                  </w:pPr>
                  <w:r>
                    <w:rPr>
                      <w:rFonts w:hint="eastAsia"/>
                      <w:szCs w:val="21"/>
                    </w:rPr>
                    <w:t>金属边角料</w:t>
                  </w:r>
                </w:p>
              </w:tc>
              <w:tc>
                <w:tcPr>
                  <w:tcW w:w="529" w:type="pct"/>
                  <w:vAlign w:val="center"/>
                </w:tcPr>
                <w:p>
                  <w:pPr>
                    <w:pStyle w:val="47"/>
                    <w:rPr>
                      <w:szCs w:val="21"/>
                    </w:rPr>
                  </w:pPr>
                  <w:r>
                    <w:rPr>
                      <w:szCs w:val="21"/>
                    </w:rPr>
                    <w:t>一般固废</w:t>
                  </w:r>
                </w:p>
              </w:tc>
              <w:tc>
                <w:tcPr>
                  <w:tcW w:w="571" w:type="pct"/>
                  <w:vAlign w:val="center"/>
                </w:tcPr>
                <w:p>
                  <w:pPr>
                    <w:pStyle w:val="47"/>
                    <w:rPr>
                      <w:szCs w:val="21"/>
                    </w:rPr>
                  </w:pPr>
                  <w:r>
                    <w:rPr>
                      <w:szCs w:val="21"/>
                    </w:rPr>
                    <w:t>类比法</w:t>
                  </w:r>
                </w:p>
              </w:tc>
              <w:tc>
                <w:tcPr>
                  <w:tcW w:w="393" w:type="pct"/>
                  <w:vAlign w:val="center"/>
                </w:tcPr>
                <w:p>
                  <w:pPr>
                    <w:pStyle w:val="47"/>
                    <w:rPr>
                      <w:szCs w:val="21"/>
                    </w:rPr>
                  </w:pPr>
                  <w:r>
                    <w:rPr>
                      <w:szCs w:val="21"/>
                    </w:rPr>
                    <w:t>5.0</w:t>
                  </w:r>
                </w:p>
              </w:tc>
              <w:tc>
                <w:tcPr>
                  <w:tcW w:w="623" w:type="pct"/>
                  <w:vMerge w:val="continue"/>
                  <w:vAlign w:val="center"/>
                </w:tcPr>
                <w:p>
                  <w:pPr>
                    <w:pStyle w:val="47"/>
                    <w:rPr>
                      <w:szCs w:val="21"/>
                    </w:rPr>
                  </w:pPr>
                </w:p>
              </w:tc>
              <w:tc>
                <w:tcPr>
                  <w:tcW w:w="407" w:type="pct"/>
                  <w:vAlign w:val="center"/>
                </w:tcPr>
                <w:p>
                  <w:pPr>
                    <w:pStyle w:val="47"/>
                    <w:rPr>
                      <w:szCs w:val="21"/>
                    </w:rPr>
                  </w:pPr>
                  <w:r>
                    <w:rPr>
                      <w:szCs w:val="21"/>
                    </w:rPr>
                    <w:t>5.0</w:t>
                  </w:r>
                </w:p>
              </w:tc>
              <w:tc>
                <w:tcPr>
                  <w:tcW w:w="336" w:type="pct"/>
                  <w:vMerge w:val="continue"/>
                  <w:vAlign w:val="center"/>
                </w:tcPr>
                <w:p>
                  <w:pPr>
                    <w:pStyle w:val="47"/>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42" w:type="pct"/>
                  <w:vAlign w:val="center"/>
                </w:tcPr>
                <w:p>
                  <w:pPr>
                    <w:pStyle w:val="47"/>
                    <w:rPr>
                      <w:szCs w:val="21"/>
                    </w:rPr>
                  </w:pPr>
                  <w:r>
                    <w:rPr>
                      <w:szCs w:val="21"/>
                    </w:rPr>
                    <w:t>检测</w:t>
                  </w:r>
                </w:p>
              </w:tc>
              <w:tc>
                <w:tcPr>
                  <w:tcW w:w="788" w:type="pct"/>
                  <w:vAlign w:val="center"/>
                </w:tcPr>
                <w:p>
                  <w:pPr>
                    <w:pStyle w:val="47"/>
                    <w:rPr>
                      <w:szCs w:val="21"/>
                    </w:rPr>
                  </w:pPr>
                  <w:r>
                    <w:rPr>
                      <w:rFonts w:hint="eastAsia"/>
                      <w:szCs w:val="21"/>
                    </w:rPr>
                    <w:t>综合测试平台</w:t>
                  </w:r>
                </w:p>
              </w:tc>
              <w:tc>
                <w:tcPr>
                  <w:tcW w:w="806" w:type="pct"/>
                  <w:vAlign w:val="center"/>
                </w:tcPr>
                <w:p>
                  <w:pPr>
                    <w:pStyle w:val="47"/>
                    <w:rPr>
                      <w:szCs w:val="21"/>
                    </w:rPr>
                  </w:pPr>
                  <w:r>
                    <w:rPr>
                      <w:szCs w:val="21"/>
                    </w:rPr>
                    <w:t>次品</w:t>
                  </w:r>
                </w:p>
              </w:tc>
              <w:tc>
                <w:tcPr>
                  <w:tcW w:w="529" w:type="pct"/>
                  <w:vAlign w:val="center"/>
                </w:tcPr>
                <w:p>
                  <w:pPr>
                    <w:pStyle w:val="47"/>
                    <w:rPr>
                      <w:szCs w:val="21"/>
                    </w:rPr>
                  </w:pPr>
                  <w:r>
                    <w:rPr>
                      <w:szCs w:val="21"/>
                    </w:rPr>
                    <w:t>一般固废</w:t>
                  </w:r>
                </w:p>
              </w:tc>
              <w:tc>
                <w:tcPr>
                  <w:tcW w:w="571" w:type="pct"/>
                  <w:vAlign w:val="center"/>
                </w:tcPr>
                <w:p>
                  <w:pPr>
                    <w:pStyle w:val="47"/>
                    <w:rPr>
                      <w:szCs w:val="21"/>
                    </w:rPr>
                  </w:pPr>
                  <w:r>
                    <w:rPr>
                      <w:szCs w:val="21"/>
                    </w:rPr>
                    <w:t>类比法</w:t>
                  </w:r>
                </w:p>
              </w:tc>
              <w:tc>
                <w:tcPr>
                  <w:tcW w:w="393" w:type="pct"/>
                  <w:vAlign w:val="center"/>
                </w:tcPr>
                <w:p>
                  <w:pPr>
                    <w:pStyle w:val="47"/>
                    <w:rPr>
                      <w:szCs w:val="21"/>
                    </w:rPr>
                  </w:pPr>
                  <w:r>
                    <w:rPr>
                      <w:szCs w:val="21"/>
                    </w:rPr>
                    <w:t>1.0</w:t>
                  </w:r>
                </w:p>
              </w:tc>
              <w:tc>
                <w:tcPr>
                  <w:tcW w:w="623" w:type="pct"/>
                  <w:vMerge w:val="continue"/>
                  <w:vAlign w:val="center"/>
                </w:tcPr>
                <w:p>
                  <w:pPr>
                    <w:pStyle w:val="47"/>
                    <w:rPr>
                      <w:szCs w:val="21"/>
                    </w:rPr>
                  </w:pPr>
                </w:p>
              </w:tc>
              <w:tc>
                <w:tcPr>
                  <w:tcW w:w="407" w:type="pct"/>
                  <w:vAlign w:val="center"/>
                </w:tcPr>
                <w:p>
                  <w:pPr>
                    <w:pStyle w:val="47"/>
                    <w:rPr>
                      <w:szCs w:val="21"/>
                    </w:rPr>
                  </w:pPr>
                  <w:r>
                    <w:rPr>
                      <w:szCs w:val="21"/>
                    </w:rPr>
                    <w:t>1.0</w:t>
                  </w:r>
                </w:p>
              </w:tc>
              <w:tc>
                <w:tcPr>
                  <w:tcW w:w="336" w:type="pct"/>
                  <w:vMerge w:val="continue"/>
                  <w:vAlign w:val="center"/>
                </w:tcPr>
                <w:p>
                  <w:pPr>
                    <w:pStyle w:val="47"/>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42" w:type="pct"/>
                  <w:vAlign w:val="center"/>
                </w:tcPr>
                <w:p>
                  <w:pPr>
                    <w:pStyle w:val="47"/>
                    <w:rPr>
                      <w:szCs w:val="21"/>
                    </w:rPr>
                  </w:pPr>
                  <w:r>
                    <w:rPr>
                      <w:rFonts w:hint="eastAsia"/>
                      <w:szCs w:val="21"/>
                    </w:rPr>
                    <w:t>废水处理</w:t>
                  </w:r>
                </w:p>
              </w:tc>
              <w:tc>
                <w:tcPr>
                  <w:tcW w:w="788" w:type="pct"/>
                  <w:vAlign w:val="center"/>
                </w:tcPr>
                <w:p>
                  <w:pPr>
                    <w:pStyle w:val="47"/>
                    <w:rPr>
                      <w:szCs w:val="21"/>
                    </w:rPr>
                  </w:pPr>
                  <w:r>
                    <w:rPr>
                      <w:szCs w:val="21"/>
                    </w:rPr>
                    <w:t>平面磨床</w:t>
                  </w:r>
                </w:p>
              </w:tc>
              <w:tc>
                <w:tcPr>
                  <w:tcW w:w="806" w:type="pct"/>
                  <w:vAlign w:val="center"/>
                </w:tcPr>
                <w:p>
                  <w:pPr>
                    <w:pStyle w:val="47"/>
                    <w:rPr>
                      <w:szCs w:val="21"/>
                    </w:rPr>
                  </w:pPr>
                  <w:r>
                    <w:rPr>
                      <w:rFonts w:hint="eastAsia"/>
                      <w:szCs w:val="21"/>
                    </w:rPr>
                    <w:t>金属沉渣</w:t>
                  </w:r>
                </w:p>
              </w:tc>
              <w:tc>
                <w:tcPr>
                  <w:tcW w:w="529" w:type="pct"/>
                  <w:vAlign w:val="center"/>
                </w:tcPr>
                <w:p>
                  <w:pPr>
                    <w:pStyle w:val="47"/>
                    <w:rPr>
                      <w:szCs w:val="21"/>
                    </w:rPr>
                  </w:pPr>
                  <w:r>
                    <w:rPr>
                      <w:szCs w:val="21"/>
                    </w:rPr>
                    <w:t>一般固废</w:t>
                  </w:r>
                </w:p>
              </w:tc>
              <w:tc>
                <w:tcPr>
                  <w:tcW w:w="571" w:type="pct"/>
                  <w:vAlign w:val="center"/>
                </w:tcPr>
                <w:p>
                  <w:pPr>
                    <w:pStyle w:val="47"/>
                    <w:rPr>
                      <w:szCs w:val="21"/>
                    </w:rPr>
                  </w:pPr>
                  <w:r>
                    <w:rPr>
                      <w:szCs w:val="21"/>
                    </w:rPr>
                    <w:t>类比法</w:t>
                  </w:r>
                </w:p>
              </w:tc>
              <w:tc>
                <w:tcPr>
                  <w:tcW w:w="393" w:type="pct"/>
                  <w:vAlign w:val="center"/>
                </w:tcPr>
                <w:p>
                  <w:pPr>
                    <w:pStyle w:val="47"/>
                    <w:rPr>
                      <w:szCs w:val="21"/>
                    </w:rPr>
                  </w:pPr>
                  <w:r>
                    <w:rPr>
                      <w:rFonts w:hint="eastAsia"/>
                      <w:szCs w:val="21"/>
                    </w:rPr>
                    <w:t>0.1</w:t>
                  </w:r>
                </w:p>
              </w:tc>
              <w:tc>
                <w:tcPr>
                  <w:tcW w:w="623" w:type="pct"/>
                  <w:vMerge w:val="continue"/>
                  <w:vAlign w:val="center"/>
                </w:tcPr>
                <w:p>
                  <w:pPr>
                    <w:pStyle w:val="47"/>
                    <w:rPr>
                      <w:szCs w:val="21"/>
                    </w:rPr>
                  </w:pPr>
                </w:p>
              </w:tc>
              <w:tc>
                <w:tcPr>
                  <w:tcW w:w="407" w:type="pct"/>
                  <w:vAlign w:val="center"/>
                </w:tcPr>
                <w:p>
                  <w:pPr>
                    <w:pStyle w:val="47"/>
                    <w:rPr>
                      <w:szCs w:val="21"/>
                    </w:rPr>
                  </w:pPr>
                  <w:r>
                    <w:rPr>
                      <w:rFonts w:hint="eastAsia"/>
                      <w:szCs w:val="21"/>
                    </w:rPr>
                    <w:t>0.1</w:t>
                  </w:r>
                </w:p>
              </w:tc>
              <w:tc>
                <w:tcPr>
                  <w:tcW w:w="336" w:type="pct"/>
                  <w:vMerge w:val="continue"/>
                  <w:vAlign w:val="center"/>
                </w:tcPr>
                <w:p>
                  <w:pPr>
                    <w:pStyle w:val="47"/>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42" w:type="pct"/>
                  <w:vAlign w:val="center"/>
                </w:tcPr>
                <w:p>
                  <w:pPr>
                    <w:pStyle w:val="47"/>
                    <w:rPr>
                      <w:szCs w:val="21"/>
                    </w:rPr>
                  </w:pPr>
                  <w:r>
                    <w:rPr>
                      <w:rFonts w:hint="eastAsia"/>
                      <w:szCs w:val="21"/>
                    </w:rPr>
                    <w:t>废气处理</w:t>
                  </w:r>
                </w:p>
              </w:tc>
              <w:tc>
                <w:tcPr>
                  <w:tcW w:w="788" w:type="pct"/>
                  <w:vAlign w:val="center"/>
                </w:tcPr>
                <w:p>
                  <w:pPr>
                    <w:pStyle w:val="47"/>
                    <w:rPr>
                      <w:szCs w:val="21"/>
                    </w:rPr>
                  </w:pPr>
                  <w:r>
                    <w:rPr>
                      <w:rFonts w:hint="eastAsia"/>
                      <w:szCs w:val="21"/>
                    </w:rPr>
                    <w:t>移动式焊接烟尘净化器处理</w:t>
                  </w:r>
                </w:p>
              </w:tc>
              <w:tc>
                <w:tcPr>
                  <w:tcW w:w="806" w:type="pct"/>
                  <w:vAlign w:val="center"/>
                </w:tcPr>
                <w:p>
                  <w:pPr>
                    <w:pStyle w:val="47"/>
                    <w:rPr>
                      <w:szCs w:val="21"/>
                    </w:rPr>
                  </w:pPr>
                  <w:r>
                    <w:rPr>
                      <w:rFonts w:hint="eastAsia"/>
                      <w:szCs w:val="21"/>
                    </w:rPr>
                    <w:t>废滤芯</w:t>
                  </w:r>
                </w:p>
              </w:tc>
              <w:tc>
                <w:tcPr>
                  <w:tcW w:w="529" w:type="pct"/>
                  <w:vAlign w:val="center"/>
                </w:tcPr>
                <w:p>
                  <w:pPr>
                    <w:pStyle w:val="47"/>
                    <w:rPr>
                      <w:szCs w:val="21"/>
                    </w:rPr>
                  </w:pPr>
                  <w:r>
                    <w:rPr>
                      <w:szCs w:val="21"/>
                    </w:rPr>
                    <w:t>一般固废</w:t>
                  </w:r>
                </w:p>
              </w:tc>
              <w:tc>
                <w:tcPr>
                  <w:tcW w:w="571" w:type="pct"/>
                  <w:vAlign w:val="center"/>
                </w:tcPr>
                <w:p>
                  <w:pPr>
                    <w:pStyle w:val="47"/>
                    <w:rPr>
                      <w:szCs w:val="21"/>
                    </w:rPr>
                  </w:pPr>
                  <w:r>
                    <w:rPr>
                      <w:szCs w:val="21"/>
                    </w:rPr>
                    <w:t>类比法</w:t>
                  </w:r>
                </w:p>
              </w:tc>
              <w:tc>
                <w:tcPr>
                  <w:tcW w:w="393" w:type="pct"/>
                  <w:vAlign w:val="center"/>
                </w:tcPr>
                <w:p>
                  <w:pPr>
                    <w:pStyle w:val="47"/>
                    <w:rPr>
                      <w:szCs w:val="21"/>
                    </w:rPr>
                  </w:pPr>
                  <w:r>
                    <w:rPr>
                      <w:rFonts w:hint="eastAsia"/>
                      <w:szCs w:val="21"/>
                    </w:rPr>
                    <w:t>0.01</w:t>
                  </w:r>
                </w:p>
              </w:tc>
              <w:tc>
                <w:tcPr>
                  <w:tcW w:w="623" w:type="pct"/>
                  <w:vMerge w:val="continue"/>
                  <w:vAlign w:val="center"/>
                </w:tcPr>
                <w:p>
                  <w:pPr>
                    <w:pStyle w:val="47"/>
                    <w:rPr>
                      <w:szCs w:val="21"/>
                    </w:rPr>
                  </w:pPr>
                </w:p>
              </w:tc>
              <w:tc>
                <w:tcPr>
                  <w:tcW w:w="407" w:type="pct"/>
                  <w:vAlign w:val="center"/>
                </w:tcPr>
                <w:p>
                  <w:pPr>
                    <w:pStyle w:val="47"/>
                    <w:rPr>
                      <w:szCs w:val="21"/>
                    </w:rPr>
                  </w:pPr>
                  <w:r>
                    <w:rPr>
                      <w:rFonts w:hint="eastAsia"/>
                      <w:szCs w:val="21"/>
                    </w:rPr>
                    <w:t>0.01</w:t>
                  </w:r>
                </w:p>
              </w:tc>
              <w:tc>
                <w:tcPr>
                  <w:tcW w:w="336" w:type="pct"/>
                  <w:vMerge w:val="continue"/>
                  <w:vAlign w:val="center"/>
                </w:tcPr>
                <w:p>
                  <w:pPr>
                    <w:pStyle w:val="47"/>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42" w:type="pct"/>
                  <w:vAlign w:val="center"/>
                </w:tcPr>
                <w:p>
                  <w:pPr>
                    <w:pStyle w:val="47"/>
                    <w:rPr>
                      <w:szCs w:val="21"/>
                    </w:rPr>
                  </w:pPr>
                  <w:r>
                    <w:rPr>
                      <w:szCs w:val="21"/>
                    </w:rPr>
                    <w:t>粗车、普铣、精车</w:t>
                  </w:r>
                </w:p>
              </w:tc>
              <w:tc>
                <w:tcPr>
                  <w:tcW w:w="788" w:type="pct"/>
                  <w:vAlign w:val="center"/>
                </w:tcPr>
                <w:p>
                  <w:pPr>
                    <w:pStyle w:val="47"/>
                    <w:rPr>
                      <w:szCs w:val="21"/>
                    </w:rPr>
                  </w:pPr>
                  <w:r>
                    <w:rPr>
                      <w:szCs w:val="21"/>
                    </w:rPr>
                    <w:t>炮塔铣床、6140车床、</w:t>
                  </w:r>
                  <w:r>
                    <w:rPr>
                      <w:rFonts w:hint="eastAsia"/>
                      <w:szCs w:val="21"/>
                    </w:rPr>
                    <w:t>平面组合铣床</w:t>
                  </w:r>
                  <w:r>
                    <w:rPr>
                      <w:szCs w:val="21"/>
                    </w:rPr>
                    <w:t>、数控车床</w:t>
                  </w:r>
                </w:p>
              </w:tc>
              <w:tc>
                <w:tcPr>
                  <w:tcW w:w="806" w:type="pct"/>
                  <w:vAlign w:val="center"/>
                </w:tcPr>
                <w:p>
                  <w:pPr>
                    <w:pStyle w:val="47"/>
                    <w:rPr>
                      <w:szCs w:val="21"/>
                    </w:rPr>
                  </w:pPr>
                  <w:r>
                    <w:rPr>
                      <w:szCs w:val="21"/>
                    </w:rPr>
                    <w:t>废乳化液</w:t>
                  </w:r>
                </w:p>
              </w:tc>
              <w:tc>
                <w:tcPr>
                  <w:tcW w:w="529" w:type="pct"/>
                  <w:vAlign w:val="center"/>
                </w:tcPr>
                <w:p>
                  <w:pPr>
                    <w:pStyle w:val="47"/>
                    <w:rPr>
                      <w:szCs w:val="21"/>
                    </w:rPr>
                  </w:pPr>
                  <w:r>
                    <w:rPr>
                      <w:szCs w:val="21"/>
                    </w:rPr>
                    <w:t>危险废物</w:t>
                  </w:r>
                </w:p>
              </w:tc>
              <w:tc>
                <w:tcPr>
                  <w:tcW w:w="571" w:type="pct"/>
                  <w:vAlign w:val="center"/>
                </w:tcPr>
                <w:p>
                  <w:pPr>
                    <w:pStyle w:val="47"/>
                    <w:rPr>
                      <w:szCs w:val="21"/>
                    </w:rPr>
                  </w:pPr>
                  <w:r>
                    <w:rPr>
                      <w:rFonts w:hint="eastAsia"/>
                      <w:szCs w:val="21"/>
                    </w:rPr>
                    <w:t>物料衡算法</w:t>
                  </w:r>
                </w:p>
              </w:tc>
              <w:tc>
                <w:tcPr>
                  <w:tcW w:w="393" w:type="pct"/>
                  <w:vAlign w:val="center"/>
                </w:tcPr>
                <w:p>
                  <w:pPr>
                    <w:pStyle w:val="47"/>
                    <w:rPr>
                      <w:szCs w:val="21"/>
                    </w:rPr>
                  </w:pPr>
                  <w:r>
                    <w:rPr>
                      <w:szCs w:val="21"/>
                    </w:rPr>
                    <w:t>1.0</w:t>
                  </w:r>
                </w:p>
              </w:tc>
              <w:tc>
                <w:tcPr>
                  <w:tcW w:w="623" w:type="pct"/>
                  <w:vMerge w:val="restart"/>
                  <w:vAlign w:val="center"/>
                </w:tcPr>
                <w:p>
                  <w:pPr>
                    <w:pStyle w:val="47"/>
                    <w:rPr>
                      <w:szCs w:val="21"/>
                    </w:rPr>
                  </w:pPr>
                  <w:r>
                    <w:rPr>
                      <w:rFonts w:hint="eastAsia"/>
                      <w:szCs w:val="21"/>
                    </w:rPr>
                    <w:t>收集后在厂区内危废仓库暂存，定期委托有相关危废处理资质的单位进行集中处置</w:t>
                  </w:r>
                </w:p>
              </w:tc>
              <w:tc>
                <w:tcPr>
                  <w:tcW w:w="407" w:type="pct"/>
                  <w:vAlign w:val="center"/>
                </w:tcPr>
                <w:p>
                  <w:pPr>
                    <w:pStyle w:val="47"/>
                    <w:rPr>
                      <w:szCs w:val="21"/>
                    </w:rPr>
                  </w:pPr>
                  <w:r>
                    <w:rPr>
                      <w:szCs w:val="21"/>
                    </w:rPr>
                    <w:t>1.0</w:t>
                  </w:r>
                </w:p>
              </w:tc>
              <w:tc>
                <w:tcPr>
                  <w:tcW w:w="336" w:type="pct"/>
                  <w:vMerge w:val="restart"/>
                  <w:vAlign w:val="center"/>
                </w:tcPr>
                <w:p>
                  <w:pPr>
                    <w:pStyle w:val="47"/>
                    <w:rPr>
                      <w:szCs w:val="21"/>
                    </w:rPr>
                  </w:pPr>
                  <w:r>
                    <w:rPr>
                      <w:rFonts w:hint="eastAsia"/>
                      <w:szCs w:val="21"/>
                    </w:rPr>
                    <w:t>危废处置单位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42" w:type="pct"/>
                  <w:vAlign w:val="center"/>
                </w:tcPr>
                <w:p>
                  <w:pPr>
                    <w:pStyle w:val="47"/>
                    <w:rPr>
                      <w:szCs w:val="21"/>
                    </w:rPr>
                  </w:pPr>
                  <w:r>
                    <w:rPr>
                      <w:rFonts w:hint="eastAsia"/>
                      <w:szCs w:val="21"/>
                    </w:rPr>
                    <w:t>真空浸漆</w:t>
                  </w:r>
                </w:p>
              </w:tc>
              <w:tc>
                <w:tcPr>
                  <w:tcW w:w="788" w:type="pct"/>
                  <w:vAlign w:val="center"/>
                </w:tcPr>
                <w:p>
                  <w:pPr>
                    <w:pStyle w:val="47"/>
                    <w:rPr>
                      <w:szCs w:val="21"/>
                    </w:rPr>
                  </w:pPr>
                  <w:r>
                    <w:rPr>
                      <w:rFonts w:hint="eastAsia"/>
                      <w:szCs w:val="21"/>
                    </w:rPr>
                    <w:t>真空含浸机</w:t>
                  </w:r>
                </w:p>
              </w:tc>
              <w:tc>
                <w:tcPr>
                  <w:tcW w:w="806" w:type="pct"/>
                  <w:vAlign w:val="center"/>
                </w:tcPr>
                <w:p>
                  <w:pPr>
                    <w:pStyle w:val="47"/>
                    <w:rPr>
                      <w:szCs w:val="21"/>
                    </w:rPr>
                  </w:pPr>
                  <w:r>
                    <w:rPr>
                      <w:rFonts w:hint="eastAsia"/>
                      <w:szCs w:val="21"/>
                    </w:rPr>
                    <w:t>废漆料</w:t>
                  </w:r>
                </w:p>
              </w:tc>
              <w:tc>
                <w:tcPr>
                  <w:tcW w:w="529" w:type="pct"/>
                  <w:vAlign w:val="center"/>
                </w:tcPr>
                <w:p>
                  <w:pPr>
                    <w:pStyle w:val="47"/>
                    <w:rPr>
                      <w:szCs w:val="21"/>
                    </w:rPr>
                  </w:pPr>
                  <w:r>
                    <w:rPr>
                      <w:rFonts w:hint="eastAsia"/>
                      <w:szCs w:val="21"/>
                    </w:rPr>
                    <w:t>危险废物</w:t>
                  </w:r>
                </w:p>
              </w:tc>
              <w:tc>
                <w:tcPr>
                  <w:tcW w:w="571" w:type="pct"/>
                  <w:vAlign w:val="center"/>
                </w:tcPr>
                <w:p>
                  <w:pPr>
                    <w:pStyle w:val="47"/>
                    <w:rPr>
                      <w:szCs w:val="21"/>
                    </w:rPr>
                  </w:pPr>
                  <w:r>
                    <w:rPr>
                      <w:szCs w:val="21"/>
                    </w:rPr>
                    <w:t>类比法</w:t>
                  </w:r>
                </w:p>
              </w:tc>
              <w:tc>
                <w:tcPr>
                  <w:tcW w:w="393" w:type="pct"/>
                  <w:vAlign w:val="center"/>
                </w:tcPr>
                <w:p>
                  <w:pPr>
                    <w:pStyle w:val="47"/>
                    <w:rPr>
                      <w:szCs w:val="21"/>
                    </w:rPr>
                  </w:pPr>
                  <w:r>
                    <w:rPr>
                      <w:rFonts w:hint="eastAsia"/>
                      <w:szCs w:val="21"/>
                    </w:rPr>
                    <w:t>0.2</w:t>
                  </w:r>
                </w:p>
              </w:tc>
              <w:tc>
                <w:tcPr>
                  <w:tcW w:w="623" w:type="pct"/>
                  <w:vMerge w:val="continue"/>
                  <w:vAlign w:val="center"/>
                </w:tcPr>
                <w:p>
                  <w:pPr>
                    <w:pStyle w:val="47"/>
                    <w:rPr>
                      <w:szCs w:val="21"/>
                    </w:rPr>
                  </w:pPr>
                </w:p>
              </w:tc>
              <w:tc>
                <w:tcPr>
                  <w:tcW w:w="407" w:type="pct"/>
                  <w:vAlign w:val="center"/>
                </w:tcPr>
                <w:p>
                  <w:pPr>
                    <w:pStyle w:val="47"/>
                    <w:rPr>
                      <w:szCs w:val="21"/>
                    </w:rPr>
                  </w:pPr>
                  <w:r>
                    <w:rPr>
                      <w:rFonts w:hint="eastAsia"/>
                      <w:szCs w:val="21"/>
                    </w:rPr>
                    <w:t>0.2</w:t>
                  </w:r>
                </w:p>
              </w:tc>
              <w:tc>
                <w:tcPr>
                  <w:tcW w:w="336" w:type="pct"/>
                  <w:vMerge w:val="continue"/>
                  <w:vAlign w:val="center"/>
                </w:tcPr>
                <w:p>
                  <w:pPr>
                    <w:pStyle w:val="47"/>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42" w:type="pct"/>
                  <w:vAlign w:val="center"/>
                </w:tcPr>
                <w:p>
                  <w:pPr>
                    <w:pStyle w:val="47"/>
                    <w:rPr>
                      <w:szCs w:val="21"/>
                    </w:rPr>
                  </w:pPr>
                  <w:r>
                    <w:rPr>
                      <w:szCs w:val="21"/>
                    </w:rPr>
                    <w:t>乳化液</w:t>
                  </w:r>
                  <w:r>
                    <w:rPr>
                      <w:rFonts w:hint="eastAsia"/>
                      <w:szCs w:val="21"/>
                    </w:rPr>
                    <w:t>、绝缘漆</w:t>
                  </w:r>
                  <w:r>
                    <w:rPr>
                      <w:szCs w:val="21"/>
                    </w:rPr>
                    <w:t>使用</w:t>
                  </w:r>
                </w:p>
              </w:tc>
              <w:tc>
                <w:tcPr>
                  <w:tcW w:w="788" w:type="pct"/>
                  <w:vAlign w:val="center"/>
                </w:tcPr>
                <w:p>
                  <w:pPr>
                    <w:pStyle w:val="47"/>
                    <w:rPr>
                      <w:szCs w:val="21"/>
                    </w:rPr>
                  </w:pPr>
                  <w:r>
                    <w:rPr>
                      <w:szCs w:val="21"/>
                    </w:rPr>
                    <w:t>乳化液</w:t>
                  </w:r>
                  <w:r>
                    <w:rPr>
                      <w:rFonts w:hint="eastAsia"/>
                      <w:szCs w:val="21"/>
                    </w:rPr>
                    <w:t>、绝缘漆</w:t>
                  </w:r>
                  <w:r>
                    <w:rPr>
                      <w:szCs w:val="21"/>
                    </w:rPr>
                    <w:t>使用</w:t>
                  </w:r>
                </w:p>
              </w:tc>
              <w:tc>
                <w:tcPr>
                  <w:tcW w:w="806" w:type="pct"/>
                  <w:vAlign w:val="center"/>
                </w:tcPr>
                <w:p>
                  <w:pPr>
                    <w:pStyle w:val="47"/>
                    <w:rPr>
                      <w:szCs w:val="21"/>
                    </w:rPr>
                  </w:pPr>
                  <w:r>
                    <w:rPr>
                      <w:szCs w:val="21"/>
                    </w:rPr>
                    <w:t>废包装桶</w:t>
                  </w:r>
                </w:p>
              </w:tc>
              <w:tc>
                <w:tcPr>
                  <w:tcW w:w="529" w:type="pct"/>
                  <w:vAlign w:val="center"/>
                </w:tcPr>
                <w:p>
                  <w:pPr>
                    <w:pStyle w:val="47"/>
                    <w:rPr>
                      <w:szCs w:val="21"/>
                    </w:rPr>
                  </w:pPr>
                  <w:r>
                    <w:rPr>
                      <w:szCs w:val="21"/>
                    </w:rPr>
                    <w:t>危险废物</w:t>
                  </w:r>
                </w:p>
              </w:tc>
              <w:tc>
                <w:tcPr>
                  <w:tcW w:w="571" w:type="pct"/>
                  <w:vAlign w:val="center"/>
                </w:tcPr>
                <w:p>
                  <w:pPr>
                    <w:pStyle w:val="47"/>
                    <w:rPr>
                      <w:szCs w:val="21"/>
                    </w:rPr>
                  </w:pPr>
                  <w:r>
                    <w:rPr>
                      <w:szCs w:val="21"/>
                    </w:rPr>
                    <w:t>产物系数法</w:t>
                  </w:r>
                </w:p>
              </w:tc>
              <w:tc>
                <w:tcPr>
                  <w:tcW w:w="393" w:type="pct"/>
                  <w:vAlign w:val="center"/>
                </w:tcPr>
                <w:p>
                  <w:pPr>
                    <w:pStyle w:val="47"/>
                    <w:rPr>
                      <w:szCs w:val="21"/>
                    </w:rPr>
                  </w:pPr>
                  <w:r>
                    <w:rPr>
                      <w:szCs w:val="21"/>
                    </w:rPr>
                    <w:t>0.</w:t>
                  </w:r>
                  <w:r>
                    <w:rPr>
                      <w:rFonts w:hint="eastAsia"/>
                      <w:szCs w:val="21"/>
                    </w:rPr>
                    <w:t>3</w:t>
                  </w:r>
                </w:p>
              </w:tc>
              <w:tc>
                <w:tcPr>
                  <w:tcW w:w="623" w:type="pct"/>
                  <w:vMerge w:val="continue"/>
                  <w:vAlign w:val="center"/>
                </w:tcPr>
                <w:p>
                  <w:pPr>
                    <w:pStyle w:val="47"/>
                    <w:rPr>
                      <w:szCs w:val="21"/>
                    </w:rPr>
                  </w:pPr>
                </w:p>
              </w:tc>
              <w:tc>
                <w:tcPr>
                  <w:tcW w:w="407" w:type="pct"/>
                  <w:vAlign w:val="center"/>
                </w:tcPr>
                <w:p>
                  <w:pPr>
                    <w:pStyle w:val="47"/>
                    <w:rPr>
                      <w:szCs w:val="21"/>
                    </w:rPr>
                  </w:pPr>
                  <w:r>
                    <w:rPr>
                      <w:szCs w:val="21"/>
                    </w:rPr>
                    <w:t>0.</w:t>
                  </w:r>
                  <w:r>
                    <w:rPr>
                      <w:rFonts w:hint="eastAsia"/>
                      <w:szCs w:val="21"/>
                    </w:rPr>
                    <w:t>3</w:t>
                  </w:r>
                </w:p>
              </w:tc>
              <w:tc>
                <w:tcPr>
                  <w:tcW w:w="336" w:type="pct"/>
                  <w:vMerge w:val="continue"/>
                  <w:vAlign w:val="center"/>
                </w:tcPr>
                <w:p>
                  <w:pPr>
                    <w:pStyle w:val="47"/>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42" w:type="pct"/>
                  <w:vAlign w:val="center"/>
                </w:tcPr>
                <w:p>
                  <w:pPr>
                    <w:pStyle w:val="47"/>
                    <w:rPr>
                      <w:szCs w:val="21"/>
                    </w:rPr>
                  </w:pPr>
                  <w:r>
                    <w:rPr>
                      <w:rFonts w:hint="eastAsia"/>
                      <w:szCs w:val="21"/>
                    </w:rPr>
                    <w:t>设备保养</w:t>
                  </w:r>
                </w:p>
              </w:tc>
              <w:tc>
                <w:tcPr>
                  <w:tcW w:w="788" w:type="pct"/>
                  <w:vAlign w:val="center"/>
                </w:tcPr>
                <w:p>
                  <w:pPr>
                    <w:pStyle w:val="47"/>
                    <w:rPr>
                      <w:szCs w:val="21"/>
                    </w:rPr>
                  </w:pPr>
                  <w:r>
                    <w:rPr>
                      <w:rFonts w:hint="eastAsia"/>
                      <w:szCs w:val="21"/>
                    </w:rPr>
                    <w:t>设备保养</w:t>
                  </w:r>
                </w:p>
              </w:tc>
              <w:tc>
                <w:tcPr>
                  <w:tcW w:w="806" w:type="pct"/>
                  <w:vAlign w:val="center"/>
                </w:tcPr>
                <w:p>
                  <w:pPr>
                    <w:pStyle w:val="47"/>
                    <w:rPr>
                      <w:szCs w:val="21"/>
                    </w:rPr>
                  </w:pPr>
                  <w:r>
                    <w:rPr>
                      <w:rFonts w:hint="eastAsia"/>
                      <w:szCs w:val="21"/>
                    </w:rPr>
                    <w:t>废机油</w:t>
                  </w:r>
                </w:p>
              </w:tc>
              <w:tc>
                <w:tcPr>
                  <w:tcW w:w="529" w:type="pct"/>
                  <w:vAlign w:val="center"/>
                </w:tcPr>
                <w:p>
                  <w:pPr>
                    <w:pStyle w:val="47"/>
                    <w:rPr>
                      <w:szCs w:val="21"/>
                    </w:rPr>
                  </w:pPr>
                  <w:r>
                    <w:rPr>
                      <w:szCs w:val="21"/>
                    </w:rPr>
                    <w:t>危险废物</w:t>
                  </w:r>
                </w:p>
              </w:tc>
              <w:tc>
                <w:tcPr>
                  <w:tcW w:w="571" w:type="pct"/>
                  <w:vAlign w:val="center"/>
                </w:tcPr>
                <w:p>
                  <w:pPr>
                    <w:pStyle w:val="47"/>
                    <w:rPr>
                      <w:szCs w:val="21"/>
                    </w:rPr>
                  </w:pPr>
                  <w:r>
                    <w:rPr>
                      <w:rFonts w:hint="eastAsia"/>
                      <w:szCs w:val="21"/>
                    </w:rPr>
                    <w:t>物料衡算法</w:t>
                  </w:r>
                </w:p>
              </w:tc>
              <w:tc>
                <w:tcPr>
                  <w:tcW w:w="393" w:type="pct"/>
                  <w:vAlign w:val="center"/>
                </w:tcPr>
                <w:p>
                  <w:pPr>
                    <w:pStyle w:val="47"/>
                    <w:rPr>
                      <w:szCs w:val="21"/>
                    </w:rPr>
                  </w:pPr>
                  <w:r>
                    <w:rPr>
                      <w:rFonts w:hint="eastAsia"/>
                      <w:szCs w:val="21"/>
                    </w:rPr>
                    <w:t>0.02</w:t>
                  </w:r>
                </w:p>
              </w:tc>
              <w:tc>
                <w:tcPr>
                  <w:tcW w:w="623" w:type="pct"/>
                  <w:vMerge w:val="continue"/>
                  <w:vAlign w:val="center"/>
                </w:tcPr>
                <w:p>
                  <w:pPr>
                    <w:pStyle w:val="47"/>
                    <w:rPr>
                      <w:szCs w:val="21"/>
                    </w:rPr>
                  </w:pPr>
                </w:p>
              </w:tc>
              <w:tc>
                <w:tcPr>
                  <w:tcW w:w="407" w:type="pct"/>
                  <w:vAlign w:val="center"/>
                </w:tcPr>
                <w:p>
                  <w:pPr>
                    <w:pStyle w:val="47"/>
                    <w:rPr>
                      <w:szCs w:val="21"/>
                    </w:rPr>
                  </w:pPr>
                  <w:r>
                    <w:rPr>
                      <w:rFonts w:hint="eastAsia"/>
                      <w:szCs w:val="21"/>
                    </w:rPr>
                    <w:t>0.02</w:t>
                  </w:r>
                </w:p>
              </w:tc>
              <w:tc>
                <w:tcPr>
                  <w:tcW w:w="336" w:type="pct"/>
                  <w:vMerge w:val="continue"/>
                  <w:vAlign w:val="center"/>
                </w:tcPr>
                <w:p>
                  <w:pPr>
                    <w:pStyle w:val="47"/>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542" w:type="pct"/>
                  <w:vAlign w:val="center"/>
                </w:tcPr>
                <w:p>
                  <w:pPr>
                    <w:pStyle w:val="47"/>
                    <w:rPr>
                      <w:szCs w:val="21"/>
                    </w:rPr>
                  </w:pPr>
                  <w:r>
                    <w:rPr>
                      <w:szCs w:val="21"/>
                    </w:rPr>
                    <w:t>机油</w:t>
                  </w:r>
                  <w:r>
                    <w:rPr>
                      <w:rFonts w:hint="eastAsia"/>
                      <w:szCs w:val="21"/>
                    </w:rPr>
                    <w:t>、液压油</w:t>
                  </w:r>
                  <w:r>
                    <w:rPr>
                      <w:szCs w:val="21"/>
                    </w:rPr>
                    <w:t>使用</w:t>
                  </w:r>
                </w:p>
              </w:tc>
              <w:tc>
                <w:tcPr>
                  <w:tcW w:w="788" w:type="pct"/>
                  <w:vAlign w:val="center"/>
                </w:tcPr>
                <w:p>
                  <w:pPr>
                    <w:pStyle w:val="47"/>
                    <w:rPr>
                      <w:szCs w:val="21"/>
                    </w:rPr>
                  </w:pPr>
                  <w:r>
                    <w:rPr>
                      <w:rFonts w:hint="eastAsia"/>
                      <w:szCs w:val="21"/>
                    </w:rPr>
                    <w:t>油压机、加工中心、炮塔铣床、车床等</w:t>
                  </w:r>
                </w:p>
              </w:tc>
              <w:tc>
                <w:tcPr>
                  <w:tcW w:w="806" w:type="pct"/>
                  <w:vAlign w:val="center"/>
                </w:tcPr>
                <w:p>
                  <w:pPr>
                    <w:pStyle w:val="47"/>
                    <w:rPr>
                      <w:szCs w:val="21"/>
                    </w:rPr>
                  </w:pPr>
                  <w:r>
                    <w:rPr>
                      <w:rFonts w:hint="eastAsia"/>
                      <w:szCs w:val="21"/>
                    </w:rPr>
                    <w:t>废油桶</w:t>
                  </w:r>
                </w:p>
              </w:tc>
              <w:tc>
                <w:tcPr>
                  <w:tcW w:w="529" w:type="pct"/>
                  <w:vAlign w:val="center"/>
                </w:tcPr>
                <w:p>
                  <w:pPr>
                    <w:pStyle w:val="47"/>
                    <w:rPr>
                      <w:szCs w:val="21"/>
                    </w:rPr>
                  </w:pPr>
                  <w:r>
                    <w:rPr>
                      <w:szCs w:val="21"/>
                    </w:rPr>
                    <w:t>危险废物</w:t>
                  </w:r>
                </w:p>
              </w:tc>
              <w:tc>
                <w:tcPr>
                  <w:tcW w:w="571" w:type="pct"/>
                  <w:vAlign w:val="center"/>
                </w:tcPr>
                <w:p>
                  <w:pPr>
                    <w:pStyle w:val="47"/>
                    <w:rPr>
                      <w:szCs w:val="21"/>
                    </w:rPr>
                  </w:pPr>
                  <w:r>
                    <w:rPr>
                      <w:szCs w:val="21"/>
                    </w:rPr>
                    <w:t>产物系数法</w:t>
                  </w:r>
                </w:p>
              </w:tc>
              <w:tc>
                <w:tcPr>
                  <w:tcW w:w="393" w:type="pct"/>
                  <w:tcBorders>
                    <w:bottom w:val="single" w:color="auto" w:sz="4" w:space="0"/>
                  </w:tcBorders>
                  <w:vAlign w:val="center"/>
                </w:tcPr>
                <w:p>
                  <w:pPr>
                    <w:pStyle w:val="47"/>
                    <w:rPr>
                      <w:szCs w:val="21"/>
                    </w:rPr>
                  </w:pPr>
                  <w:r>
                    <w:rPr>
                      <w:szCs w:val="21"/>
                    </w:rPr>
                    <w:t>0.</w:t>
                  </w:r>
                  <w:r>
                    <w:rPr>
                      <w:rFonts w:hint="eastAsia"/>
                      <w:szCs w:val="21"/>
                    </w:rPr>
                    <w:t>004</w:t>
                  </w:r>
                </w:p>
              </w:tc>
              <w:tc>
                <w:tcPr>
                  <w:tcW w:w="623" w:type="pct"/>
                  <w:vMerge w:val="continue"/>
                  <w:vAlign w:val="center"/>
                </w:tcPr>
                <w:p>
                  <w:pPr>
                    <w:pStyle w:val="47"/>
                    <w:rPr>
                      <w:szCs w:val="21"/>
                    </w:rPr>
                  </w:pPr>
                </w:p>
              </w:tc>
              <w:tc>
                <w:tcPr>
                  <w:tcW w:w="407" w:type="pct"/>
                  <w:vAlign w:val="center"/>
                </w:tcPr>
                <w:p>
                  <w:pPr>
                    <w:pStyle w:val="47"/>
                    <w:rPr>
                      <w:szCs w:val="21"/>
                    </w:rPr>
                  </w:pPr>
                  <w:r>
                    <w:rPr>
                      <w:szCs w:val="21"/>
                    </w:rPr>
                    <w:t>0.</w:t>
                  </w:r>
                  <w:r>
                    <w:rPr>
                      <w:rFonts w:hint="eastAsia"/>
                      <w:szCs w:val="21"/>
                    </w:rPr>
                    <w:t>004</w:t>
                  </w:r>
                </w:p>
              </w:tc>
              <w:tc>
                <w:tcPr>
                  <w:tcW w:w="336" w:type="pct"/>
                  <w:vMerge w:val="continue"/>
                  <w:vAlign w:val="center"/>
                </w:tcPr>
                <w:p>
                  <w:pPr>
                    <w:pStyle w:val="47"/>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42" w:type="pct"/>
                  <w:vAlign w:val="center"/>
                </w:tcPr>
                <w:p>
                  <w:pPr>
                    <w:pStyle w:val="47"/>
                    <w:rPr>
                      <w:szCs w:val="21"/>
                    </w:rPr>
                  </w:pPr>
                  <w:r>
                    <w:rPr>
                      <w:szCs w:val="21"/>
                    </w:rPr>
                    <w:t>废气处理</w:t>
                  </w:r>
                </w:p>
              </w:tc>
              <w:tc>
                <w:tcPr>
                  <w:tcW w:w="788" w:type="pct"/>
                  <w:vAlign w:val="center"/>
                </w:tcPr>
                <w:p>
                  <w:pPr>
                    <w:pStyle w:val="47"/>
                    <w:rPr>
                      <w:szCs w:val="21"/>
                    </w:rPr>
                  </w:pPr>
                  <w:r>
                    <w:rPr>
                      <w:rFonts w:hint="eastAsia"/>
                      <w:szCs w:val="21"/>
                    </w:rPr>
                    <w:t>“一级活性炭+二级活性炭”吸附装置</w:t>
                  </w:r>
                </w:p>
              </w:tc>
              <w:tc>
                <w:tcPr>
                  <w:tcW w:w="806" w:type="pct"/>
                  <w:vAlign w:val="center"/>
                </w:tcPr>
                <w:p>
                  <w:pPr>
                    <w:pStyle w:val="47"/>
                    <w:rPr>
                      <w:szCs w:val="21"/>
                    </w:rPr>
                  </w:pPr>
                  <w:r>
                    <w:rPr>
                      <w:szCs w:val="21"/>
                    </w:rPr>
                    <w:t>废活性炭</w:t>
                  </w:r>
                </w:p>
              </w:tc>
              <w:tc>
                <w:tcPr>
                  <w:tcW w:w="529" w:type="pct"/>
                  <w:vAlign w:val="center"/>
                </w:tcPr>
                <w:p>
                  <w:pPr>
                    <w:pStyle w:val="47"/>
                    <w:rPr>
                      <w:szCs w:val="21"/>
                    </w:rPr>
                  </w:pPr>
                  <w:r>
                    <w:rPr>
                      <w:szCs w:val="21"/>
                    </w:rPr>
                    <w:t>危险废物</w:t>
                  </w:r>
                </w:p>
              </w:tc>
              <w:tc>
                <w:tcPr>
                  <w:tcW w:w="571" w:type="pct"/>
                  <w:vAlign w:val="center"/>
                </w:tcPr>
                <w:p>
                  <w:pPr>
                    <w:pStyle w:val="47"/>
                    <w:rPr>
                      <w:szCs w:val="21"/>
                    </w:rPr>
                  </w:pPr>
                  <w:r>
                    <w:rPr>
                      <w:szCs w:val="21"/>
                    </w:rPr>
                    <w:t>产物系数法</w:t>
                  </w:r>
                </w:p>
              </w:tc>
              <w:tc>
                <w:tcPr>
                  <w:tcW w:w="393" w:type="pct"/>
                  <w:tcBorders>
                    <w:top w:val="single" w:color="auto" w:sz="4" w:space="0"/>
                  </w:tcBorders>
                  <w:vAlign w:val="center"/>
                </w:tcPr>
                <w:p>
                  <w:pPr>
                    <w:pStyle w:val="47"/>
                    <w:rPr>
                      <w:szCs w:val="21"/>
                    </w:rPr>
                  </w:pPr>
                  <w:r>
                    <w:rPr>
                      <w:rFonts w:hint="eastAsia"/>
                      <w:szCs w:val="21"/>
                    </w:rPr>
                    <w:t>3.173</w:t>
                  </w:r>
                </w:p>
              </w:tc>
              <w:tc>
                <w:tcPr>
                  <w:tcW w:w="623" w:type="pct"/>
                  <w:vMerge w:val="continue"/>
                  <w:vAlign w:val="center"/>
                </w:tcPr>
                <w:p>
                  <w:pPr>
                    <w:pStyle w:val="47"/>
                    <w:rPr>
                      <w:szCs w:val="21"/>
                    </w:rPr>
                  </w:pPr>
                </w:p>
              </w:tc>
              <w:tc>
                <w:tcPr>
                  <w:tcW w:w="407" w:type="pct"/>
                  <w:vAlign w:val="center"/>
                </w:tcPr>
                <w:p>
                  <w:pPr>
                    <w:pStyle w:val="47"/>
                    <w:rPr>
                      <w:szCs w:val="21"/>
                    </w:rPr>
                  </w:pPr>
                  <w:r>
                    <w:rPr>
                      <w:rFonts w:hint="eastAsia"/>
                      <w:szCs w:val="21"/>
                    </w:rPr>
                    <w:t>3.173</w:t>
                  </w:r>
                </w:p>
              </w:tc>
              <w:tc>
                <w:tcPr>
                  <w:tcW w:w="336" w:type="pct"/>
                  <w:vMerge w:val="continue"/>
                  <w:vAlign w:val="center"/>
                </w:tcPr>
                <w:p>
                  <w:pPr>
                    <w:pStyle w:val="47"/>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42" w:type="pct"/>
                  <w:vAlign w:val="center"/>
                </w:tcPr>
                <w:p>
                  <w:pPr>
                    <w:pStyle w:val="47"/>
                    <w:rPr>
                      <w:szCs w:val="21"/>
                    </w:rPr>
                  </w:pPr>
                  <w:r>
                    <w:rPr>
                      <w:rFonts w:hint="eastAsia"/>
                      <w:szCs w:val="21"/>
                    </w:rPr>
                    <w:t>真空浸漆</w:t>
                  </w:r>
                </w:p>
              </w:tc>
              <w:tc>
                <w:tcPr>
                  <w:tcW w:w="788" w:type="pct"/>
                  <w:vAlign w:val="center"/>
                </w:tcPr>
                <w:p>
                  <w:pPr>
                    <w:pStyle w:val="47"/>
                    <w:rPr>
                      <w:szCs w:val="21"/>
                    </w:rPr>
                  </w:pPr>
                  <w:r>
                    <w:rPr>
                      <w:rFonts w:hint="eastAsia"/>
                      <w:szCs w:val="21"/>
                    </w:rPr>
                    <w:t>真空含浸机、烘箱</w:t>
                  </w:r>
                </w:p>
              </w:tc>
              <w:tc>
                <w:tcPr>
                  <w:tcW w:w="806" w:type="pct"/>
                  <w:vAlign w:val="center"/>
                </w:tcPr>
                <w:p>
                  <w:pPr>
                    <w:pStyle w:val="47"/>
                    <w:rPr>
                      <w:szCs w:val="21"/>
                    </w:rPr>
                  </w:pPr>
                  <w:r>
                    <w:rPr>
                      <w:rFonts w:hint="eastAsia"/>
                      <w:szCs w:val="21"/>
                    </w:rPr>
                    <w:t>含漆废抹布和手套</w:t>
                  </w:r>
                </w:p>
              </w:tc>
              <w:tc>
                <w:tcPr>
                  <w:tcW w:w="529" w:type="pct"/>
                  <w:vAlign w:val="center"/>
                </w:tcPr>
                <w:p>
                  <w:pPr>
                    <w:pStyle w:val="47"/>
                    <w:rPr>
                      <w:szCs w:val="21"/>
                    </w:rPr>
                  </w:pPr>
                  <w:r>
                    <w:rPr>
                      <w:szCs w:val="21"/>
                    </w:rPr>
                    <w:t>危险废物</w:t>
                  </w:r>
                </w:p>
              </w:tc>
              <w:tc>
                <w:tcPr>
                  <w:tcW w:w="571" w:type="pct"/>
                  <w:vAlign w:val="center"/>
                </w:tcPr>
                <w:p>
                  <w:pPr>
                    <w:pStyle w:val="47"/>
                    <w:rPr>
                      <w:szCs w:val="21"/>
                    </w:rPr>
                  </w:pPr>
                  <w:r>
                    <w:rPr>
                      <w:szCs w:val="21"/>
                    </w:rPr>
                    <w:t>类比法</w:t>
                  </w:r>
                </w:p>
              </w:tc>
              <w:tc>
                <w:tcPr>
                  <w:tcW w:w="393" w:type="pct"/>
                  <w:tcBorders>
                    <w:top w:val="single" w:color="auto" w:sz="4" w:space="0"/>
                  </w:tcBorders>
                  <w:vAlign w:val="center"/>
                </w:tcPr>
                <w:p>
                  <w:pPr>
                    <w:pStyle w:val="47"/>
                    <w:rPr>
                      <w:szCs w:val="21"/>
                    </w:rPr>
                  </w:pPr>
                  <w:r>
                    <w:rPr>
                      <w:rFonts w:hint="eastAsia"/>
                      <w:szCs w:val="21"/>
                    </w:rPr>
                    <w:t>0.01</w:t>
                  </w:r>
                </w:p>
              </w:tc>
              <w:tc>
                <w:tcPr>
                  <w:tcW w:w="623" w:type="pct"/>
                  <w:vMerge w:val="continue"/>
                  <w:vAlign w:val="center"/>
                </w:tcPr>
                <w:p>
                  <w:pPr>
                    <w:pStyle w:val="47"/>
                    <w:rPr>
                      <w:szCs w:val="21"/>
                    </w:rPr>
                  </w:pPr>
                </w:p>
              </w:tc>
              <w:tc>
                <w:tcPr>
                  <w:tcW w:w="407" w:type="pct"/>
                  <w:vAlign w:val="center"/>
                </w:tcPr>
                <w:p>
                  <w:pPr>
                    <w:pStyle w:val="47"/>
                    <w:rPr>
                      <w:szCs w:val="21"/>
                    </w:rPr>
                  </w:pPr>
                  <w:r>
                    <w:rPr>
                      <w:rFonts w:hint="eastAsia"/>
                      <w:szCs w:val="21"/>
                    </w:rPr>
                    <w:t>0.01</w:t>
                  </w:r>
                </w:p>
              </w:tc>
              <w:tc>
                <w:tcPr>
                  <w:tcW w:w="336" w:type="pct"/>
                  <w:vMerge w:val="continue"/>
                  <w:tcBorders>
                    <w:bottom w:val="single" w:color="auto" w:sz="4" w:space="0"/>
                  </w:tcBorders>
                  <w:vAlign w:val="center"/>
                </w:tcPr>
                <w:p>
                  <w:pPr>
                    <w:pStyle w:val="47"/>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42" w:type="pct"/>
                  <w:vAlign w:val="center"/>
                </w:tcPr>
                <w:p>
                  <w:pPr>
                    <w:pStyle w:val="47"/>
                    <w:rPr>
                      <w:szCs w:val="21"/>
                    </w:rPr>
                  </w:pPr>
                  <w:r>
                    <w:rPr>
                      <w:rFonts w:hint="eastAsia"/>
                      <w:szCs w:val="21"/>
                    </w:rPr>
                    <w:t>设备保养</w:t>
                  </w:r>
                </w:p>
              </w:tc>
              <w:tc>
                <w:tcPr>
                  <w:tcW w:w="788" w:type="pct"/>
                  <w:vAlign w:val="center"/>
                </w:tcPr>
                <w:p>
                  <w:pPr>
                    <w:pStyle w:val="47"/>
                    <w:rPr>
                      <w:szCs w:val="21"/>
                    </w:rPr>
                  </w:pPr>
                  <w:r>
                    <w:rPr>
                      <w:rFonts w:hint="eastAsia"/>
                      <w:szCs w:val="21"/>
                    </w:rPr>
                    <w:t>设备保养</w:t>
                  </w:r>
                </w:p>
              </w:tc>
              <w:tc>
                <w:tcPr>
                  <w:tcW w:w="806" w:type="pct"/>
                  <w:vAlign w:val="center"/>
                </w:tcPr>
                <w:p>
                  <w:pPr>
                    <w:pStyle w:val="47"/>
                    <w:rPr>
                      <w:szCs w:val="21"/>
                    </w:rPr>
                  </w:pPr>
                  <w:r>
                    <w:rPr>
                      <w:rFonts w:hint="eastAsia"/>
                      <w:szCs w:val="21"/>
                    </w:rPr>
                    <w:t>含油废抹布和手套</w:t>
                  </w:r>
                </w:p>
              </w:tc>
              <w:tc>
                <w:tcPr>
                  <w:tcW w:w="529" w:type="pct"/>
                  <w:vAlign w:val="center"/>
                </w:tcPr>
                <w:p>
                  <w:pPr>
                    <w:pStyle w:val="47"/>
                    <w:rPr>
                      <w:szCs w:val="21"/>
                    </w:rPr>
                  </w:pPr>
                  <w:r>
                    <w:rPr>
                      <w:szCs w:val="21"/>
                    </w:rPr>
                    <w:t>危险废物</w:t>
                  </w:r>
                </w:p>
              </w:tc>
              <w:tc>
                <w:tcPr>
                  <w:tcW w:w="571" w:type="pct"/>
                  <w:vAlign w:val="center"/>
                </w:tcPr>
                <w:p>
                  <w:pPr>
                    <w:pStyle w:val="47"/>
                    <w:rPr>
                      <w:szCs w:val="21"/>
                    </w:rPr>
                  </w:pPr>
                  <w:r>
                    <w:rPr>
                      <w:szCs w:val="21"/>
                    </w:rPr>
                    <w:t>类比法</w:t>
                  </w:r>
                </w:p>
              </w:tc>
              <w:tc>
                <w:tcPr>
                  <w:tcW w:w="393" w:type="pct"/>
                  <w:tcBorders>
                    <w:top w:val="single" w:color="auto" w:sz="4" w:space="0"/>
                  </w:tcBorders>
                  <w:vAlign w:val="center"/>
                </w:tcPr>
                <w:p>
                  <w:pPr>
                    <w:pStyle w:val="47"/>
                    <w:rPr>
                      <w:szCs w:val="21"/>
                    </w:rPr>
                  </w:pPr>
                  <w:r>
                    <w:rPr>
                      <w:szCs w:val="21"/>
                    </w:rPr>
                    <w:t>0.</w:t>
                  </w:r>
                  <w:r>
                    <w:rPr>
                      <w:rFonts w:hint="eastAsia"/>
                      <w:szCs w:val="21"/>
                    </w:rPr>
                    <w:t>002</w:t>
                  </w:r>
                </w:p>
              </w:tc>
              <w:tc>
                <w:tcPr>
                  <w:tcW w:w="623" w:type="pct"/>
                  <w:vMerge w:val="restart"/>
                  <w:tcBorders>
                    <w:top w:val="single" w:color="auto" w:sz="4" w:space="0"/>
                  </w:tcBorders>
                  <w:vAlign w:val="center"/>
                </w:tcPr>
                <w:p>
                  <w:pPr>
                    <w:pStyle w:val="47"/>
                    <w:rPr>
                      <w:szCs w:val="21"/>
                    </w:rPr>
                  </w:pPr>
                  <w:r>
                    <w:rPr>
                      <w:szCs w:val="21"/>
                    </w:rPr>
                    <w:t>环卫部门</w:t>
                  </w:r>
                  <w:r>
                    <w:rPr>
                      <w:rFonts w:hint="eastAsia"/>
                      <w:szCs w:val="21"/>
                    </w:rPr>
                    <w:t>统一</w:t>
                  </w:r>
                  <w:r>
                    <w:rPr>
                      <w:szCs w:val="21"/>
                    </w:rPr>
                    <w:t>清运</w:t>
                  </w:r>
                </w:p>
              </w:tc>
              <w:tc>
                <w:tcPr>
                  <w:tcW w:w="407" w:type="pct"/>
                  <w:vAlign w:val="center"/>
                </w:tcPr>
                <w:p>
                  <w:pPr>
                    <w:pStyle w:val="47"/>
                    <w:rPr>
                      <w:szCs w:val="21"/>
                    </w:rPr>
                  </w:pPr>
                  <w:r>
                    <w:rPr>
                      <w:szCs w:val="21"/>
                    </w:rPr>
                    <w:t>0.</w:t>
                  </w:r>
                  <w:r>
                    <w:rPr>
                      <w:rFonts w:hint="eastAsia"/>
                      <w:szCs w:val="21"/>
                    </w:rPr>
                    <w:t>002</w:t>
                  </w:r>
                </w:p>
              </w:tc>
              <w:tc>
                <w:tcPr>
                  <w:tcW w:w="336" w:type="pct"/>
                  <w:vMerge w:val="restart"/>
                  <w:tcBorders>
                    <w:top w:val="single" w:color="auto" w:sz="4" w:space="0"/>
                  </w:tcBorders>
                  <w:vAlign w:val="center"/>
                </w:tcPr>
                <w:p>
                  <w:pPr>
                    <w:pStyle w:val="47"/>
                    <w:rPr>
                      <w:szCs w:val="21"/>
                    </w:rPr>
                  </w:pPr>
                  <w:r>
                    <w:rPr>
                      <w:szCs w:val="21"/>
                    </w:rPr>
                    <w:t>环卫部门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42" w:type="pct"/>
                  <w:vAlign w:val="center"/>
                </w:tcPr>
                <w:p>
                  <w:pPr>
                    <w:pStyle w:val="47"/>
                    <w:rPr>
                      <w:szCs w:val="21"/>
                    </w:rPr>
                  </w:pPr>
                  <w:r>
                    <w:rPr>
                      <w:szCs w:val="21"/>
                    </w:rPr>
                    <w:t>职工生活</w:t>
                  </w:r>
                </w:p>
              </w:tc>
              <w:tc>
                <w:tcPr>
                  <w:tcW w:w="788" w:type="pct"/>
                  <w:vAlign w:val="center"/>
                </w:tcPr>
                <w:p>
                  <w:pPr>
                    <w:pStyle w:val="47"/>
                    <w:rPr>
                      <w:szCs w:val="21"/>
                    </w:rPr>
                  </w:pPr>
                  <w:r>
                    <w:rPr>
                      <w:szCs w:val="21"/>
                    </w:rPr>
                    <w:t>职工生活</w:t>
                  </w:r>
                </w:p>
              </w:tc>
              <w:tc>
                <w:tcPr>
                  <w:tcW w:w="806" w:type="pct"/>
                  <w:vAlign w:val="center"/>
                </w:tcPr>
                <w:p>
                  <w:pPr>
                    <w:pStyle w:val="47"/>
                    <w:rPr>
                      <w:szCs w:val="21"/>
                    </w:rPr>
                  </w:pPr>
                  <w:r>
                    <w:rPr>
                      <w:szCs w:val="21"/>
                    </w:rPr>
                    <w:t>生活垃圾</w:t>
                  </w:r>
                </w:p>
              </w:tc>
              <w:tc>
                <w:tcPr>
                  <w:tcW w:w="529" w:type="pct"/>
                  <w:vAlign w:val="center"/>
                </w:tcPr>
                <w:p>
                  <w:pPr>
                    <w:pStyle w:val="47"/>
                    <w:rPr>
                      <w:szCs w:val="21"/>
                    </w:rPr>
                  </w:pPr>
                  <w:r>
                    <w:rPr>
                      <w:szCs w:val="21"/>
                    </w:rPr>
                    <w:t>一般固废</w:t>
                  </w:r>
                </w:p>
              </w:tc>
              <w:tc>
                <w:tcPr>
                  <w:tcW w:w="571" w:type="pct"/>
                  <w:vAlign w:val="center"/>
                </w:tcPr>
                <w:p>
                  <w:pPr>
                    <w:pStyle w:val="47"/>
                    <w:rPr>
                      <w:szCs w:val="21"/>
                    </w:rPr>
                  </w:pPr>
                  <w:r>
                    <w:rPr>
                      <w:szCs w:val="21"/>
                    </w:rPr>
                    <w:t>产物系数法</w:t>
                  </w:r>
                </w:p>
              </w:tc>
              <w:tc>
                <w:tcPr>
                  <w:tcW w:w="393" w:type="pct"/>
                  <w:vAlign w:val="center"/>
                </w:tcPr>
                <w:p>
                  <w:pPr>
                    <w:pStyle w:val="47"/>
                    <w:rPr>
                      <w:szCs w:val="21"/>
                    </w:rPr>
                  </w:pPr>
                  <w:r>
                    <w:rPr>
                      <w:szCs w:val="21"/>
                    </w:rPr>
                    <w:t>9.0</w:t>
                  </w:r>
                </w:p>
              </w:tc>
              <w:tc>
                <w:tcPr>
                  <w:tcW w:w="623" w:type="pct"/>
                  <w:vMerge w:val="continue"/>
                  <w:vAlign w:val="center"/>
                </w:tcPr>
                <w:p>
                  <w:pPr>
                    <w:pStyle w:val="47"/>
                    <w:rPr>
                      <w:szCs w:val="21"/>
                    </w:rPr>
                  </w:pPr>
                </w:p>
              </w:tc>
              <w:tc>
                <w:tcPr>
                  <w:tcW w:w="407" w:type="pct"/>
                  <w:vAlign w:val="center"/>
                </w:tcPr>
                <w:p>
                  <w:pPr>
                    <w:pStyle w:val="47"/>
                    <w:rPr>
                      <w:szCs w:val="21"/>
                    </w:rPr>
                  </w:pPr>
                  <w:r>
                    <w:rPr>
                      <w:szCs w:val="21"/>
                    </w:rPr>
                    <w:t>9.0</w:t>
                  </w:r>
                </w:p>
              </w:tc>
              <w:tc>
                <w:tcPr>
                  <w:tcW w:w="336" w:type="pct"/>
                  <w:vMerge w:val="continue"/>
                  <w:vAlign w:val="center"/>
                </w:tcPr>
                <w:p>
                  <w:pPr>
                    <w:pStyle w:val="49"/>
                    <w:rPr>
                      <w:sz w:val="21"/>
                      <w:szCs w:val="21"/>
                    </w:rPr>
                  </w:pPr>
                </w:p>
              </w:tc>
            </w:tr>
          </w:tbl>
          <w:p>
            <w:pPr>
              <w:pStyle w:val="2"/>
              <w:ind w:left="480" w:firstLine="400"/>
            </w:pPr>
          </w:p>
        </w:tc>
      </w:tr>
    </w:tbl>
    <w:p>
      <w:pPr>
        <w:ind w:firstLine="480"/>
        <w:sectPr>
          <w:footerReference r:id="rId17" w:type="default"/>
          <w:pgSz w:w="16838" w:h="11906" w:orient="landscape"/>
          <w:pgMar w:top="1474" w:right="1588" w:bottom="1418" w:left="1588" w:header="851" w:footer="907" w:gutter="0"/>
          <w:cols w:space="720" w:num="1"/>
          <w:docGrid w:linePitch="326" w:charSpace="0"/>
        </w:sectPr>
      </w:pPr>
    </w:p>
    <w:p>
      <w:pPr>
        <w:pStyle w:val="4"/>
        <w:rPr>
          <w:szCs w:val="32"/>
        </w:rPr>
      </w:pPr>
      <w:bookmarkStart w:id="142" w:name="_Toc5931"/>
      <w:bookmarkStart w:id="143" w:name="_Toc29388586"/>
      <w:bookmarkStart w:id="144" w:name="_Toc29380635"/>
      <w:r>
        <w:rPr>
          <w:szCs w:val="32"/>
        </w:rPr>
        <w:t>6、项目主要污染物产生及预计排放情况</w:t>
      </w:r>
      <w:bookmarkEnd w:id="142"/>
      <w:bookmarkEnd w:id="143"/>
      <w:bookmarkEnd w:id="144"/>
    </w:p>
    <w:tbl>
      <w:tblPr>
        <w:tblStyle w:val="34"/>
        <w:tblW w:w="54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71"/>
        <w:gridCol w:w="2120"/>
        <w:gridCol w:w="820"/>
        <w:gridCol w:w="1438"/>
        <w:gridCol w:w="2196"/>
        <w:gridCol w:w="2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07" w:type="pct"/>
            <w:tcBorders>
              <w:top w:val="single" w:color="auto" w:sz="12" w:space="0"/>
              <w:left w:val="single" w:color="auto" w:sz="12" w:space="0"/>
              <w:tl2br w:val="single" w:color="auto" w:sz="4" w:space="0"/>
            </w:tcBorders>
            <w:tcMar>
              <w:left w:w="6" w:type="dxa"/>
              <w:right w:w="6" w:type="dxa"/>
            </w:tcMar>
            <w:vAlign w:val="center"/>
          </w:tcPr>
          <w:p>
            <w:pPr>
              <w:ind w:firstLine="0" w:firstLineChars="0"/>
              <w:jc w:val="right"/>
              <w:rPr>
                <w:b/>
                <w:szCs w:val="24"/>
              </w:rPr>
            </w:pPr>
            <w:r>
              <w:rPr>
                <w:b/>
                <w:szCs w:val="24"/>
              </w:rPr>
              <w:t>内容</w:t>
            </w:r>
          </w:p>
          <w:p>
            <w:pPr>
              <w:ind w:firstLine="0" w:firstLineChars="0"/>
              <w:jc w:val="left"/>
              <w:rPr>
                <w:b/>
                <w:szCs w:val="24"/>
              </w:rPr>
            </w:pPr>
            <w:r>
              <w:rPr>
                <w:b/>
                <w:szCs w:val="24"/>
              </w:rPr>
              <w:t>类型</w:t>
            </w:r>
          </w:p>
        </w:tc>
        <w:tc>
          <w:tcPr>
            <w:tcW w:w="1119" w:type="pct"/>
            <w:tcBorders>
              <w:top w:val="single" w:color="auto" w:sz="12" w:space="0"/>
            </w:tcBorders>
            <w:tcMar>
              <w:left w:w="6" w:type="dxa"/>
              <w:right w:w="6" w:type="dxa"/>
            </w:tcMar>
            <w:vAlign w:val="center"/>
          </w:tcPr>
          <w:p>
            <w:pPr>
              <w:spacing w:line="240" w:lineRule="auto"/>
              <w:ind w:firstLine="0" w:firstLineChars="0"/>
              <w:jc w:val="center"/>
              <w:rPr>
                <w:b/>
                <w:szCs w:val="24"/>
              </w:rPr>
            </w:pPr>
            <w:r>
              <w:rPr>
                <w:b/>
                <w:szCs w:val="24"/>
              </w:rPr>
              <w:t>排放源</w:t>
            </w:r>
          </w:p>
        </w:tc>
        <w:tc>
          <w:tcPr>
            <w:tcW w:w="1192" w:type="pct"/>
            <w:gridSpan w:val="2"/>
            <w:tcBorders>
              <w:top w:val="single" w:color="auto" w:sz="12" w:space="0"/>
            </w:tcBorders>
            <w:tcMar>
              <w:left w:w="6" w:type="dxa"/>
              <w:right w:w="6" w:type="dxa"/>
            </w:tcMar>
            <w:vAlign w:val="center"/>
          </w:tcPr>
          <w:p>
            <w:pPr>
              <w:spacing w:line="240" w:lineRule="auto"/>
              <w:ind w:firstLine="0" w:firstLineChars="0"/>
              <w:jc w:val="center"/>
              <w:rPr>
                <w:b/>
                <w:szCs w:val="24"/>
              </w:rPr>
            </w:pPr>
            <w:r>
              <w:rPr>
                <w:b/>
                <w:szCs w:val="24"/>
              </w:rPr>
              <w:t>污染物名称</w:t>
            </w:r>
          </w:p>
        </w:tc>
        <w:tc>
          <w:tcPr>
            <w:tcW w:w="1159" w:type="pct"/>
            <w:tcBorders>
              <w:top w:val="single" w:color="auto" w:sz="12" w:space="0"/>
            </w:tcBorders>
            <w:tcMar>
              <w:left w:w="6" w:type="dxa"/>
              <w:right w:w="6" w:type="dxa"/>
            </w:tcMar>
            <w:vAlign w:val="center"/>
          </w:tcPr>
          <w:p>
            <w:pPr>
              <w:spacing w:line="240" w:lineRule="auto"/>
              <w:ind w:firstLine="0" w:firstLineChars="0"/>
              <w:jc w:val="center"/>
              <w:rPr>
                <w:b/>
                <w:szCs w:val="24"/>
              </w:rPr>
            </w:pPr>
            <w:r>
              <w:rPr>
                <w:b/>
                <w:szCs w:val="24"/>
              </w:rPr>
              <w:t>处理前产生浓度</w:t>
            </w:r>
          </w:p>
          <w:p>
            <w:pPr>
              <w:spacing w:line="240" w:lineRule="auto"/>
              <w:ind w:firstLine="0" w:firstLineChars="0"/>
              <w:jc w:val="center"/>
              <w:rPr>
                <w:b/>
                <w:szCs w:val="24"/>
              </w:rPr>
            </w:pPr>
            <w:r>
              <w:rPr>
                <w:b/>
                <w:szCs w:val="24"/>
              </w:rPr>
              <w:t>及产生量</w:t>
            </w:r>
          </w:p>
        </w:tc>
        <w:tc>
          <w:tcPr>
            <w:tcW w:w="1121" w:type="pct"/>
            <w:tcBorders>
              <w:top w:val="single" w:color="auto" w:sz="12" w:space="0"/>
              <w:right w:val="single" w:color="auto" w:sz="12" w:space="0"/>
            </w:tcBorders>
            <w:tcMar>
              <w:left w:w="6" w:type="dxa"/>
              <w:right w:w="6" w:type="dxa"/>
            </w:tcMar>
            <w:vAlign w:val="center"/>
          </w:tcPr>
          <w:p>
            <w:pPr>
              <w:spacing w:line="240" w:lineRule="auto"/>
              <w:ind w:firstLine="0" w:firstLineChars="0"/>
              <w:jc w:val="center"/>
              <w:rPr>
                <w:b/>
                <w:szCs w:val="24"/>
              </w:rPr>
            </w:pPr>
            <w:r>
              <w:rPr>
                <w:b/>
                <w:szCs w:val="24"/>
              </w:rPr>
              <w:t>排放浓度及排放量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07" w:type="pct"/>
            <w:vMerge w:val="restart"/>
            <w:tcBorders>
              <w:left w:val="single" w:color="auto" w:sz="12" w:space="0"/>
            </w:tcBorders>
            <w:tcMar>
              <w:left w:w="6" w:type="dxa"/>
              <w:right w:w="6" w:type="dxa"/>
            </w:tcMar>
            <w:vAlign w:val="center"/>
          </w:tcPr>
          <w:p>
            <w:pPr>
              <w:spacing w:line="240" w:lineRule="auto"/>
              <w:ind w:firstLine="0" w:firstLineChars="0"/>
              <w:jc w:val="center"/>
              <w:rPr>
                <w:b/>
                <w:szCs w:val="24"/>
              </w:rPr>
            </w:pPr>
            <w:r>
              <w:rPr>
                <w:b/>
                <w:szCs w:val="24"/>
              </w:rPr>
              <w:t>水</w:t>
            </w:r>
            <w:r>
              <w:rPr>
                <w:b/>
                <w:szCs w:val="24"/>
              </w:rPr>
              <w:br w:type="textWrapping"/>
            </w:r>
            <w:r>
              <w:rPr>
                <w:b/>
                <w:szCs w:val="24"/>
              </w:rPr>
              <w:t>污</w:t>
            </w:r>
            <w:r>
              <w:rPr>
                <w:b/>
                <w:szCs w:val="24"/>
              </w:rPr>
              <w:br w:type="textWrapping"/>
            </w:r>
            <w:r>
              <w:rPr>
                <w:b/>
                <w:szCs w:val="24"/>
              </w:rPr>
              <w:t>染</w:t>
            </w:r>
            <w:r>
              <w:rPr>
                <w:b/>
                <w:szCs w:val="24"/>
              </w:rPr>
              <w:br w:type="textWrapping"/>
            </w:r>
            <w:r>
              <w:rPr>
                <w:b/>
                <w:szCs w:val="24"/>
              </w:rPr>
              <w:t>物</w:t>
            </w:r>
          </w:p>
        </w:tc>
        <w:tc>
          <w:tcPr>
            <w:tcW w:w="1119" w:type="pct"/>
            <w:vMerge w:val="restart"/>
            <w:tcMar>
              <w:left w:w="6" w:type="dxa"/>
              <w:right w:w="6" w:type="dxa"/>
            </w:tcMar>
            <w:vAlign w:val="center"/>
          </w:tcPr>
          <w:p>
            <w:pPr>
              <w:pStyle w:val="47"/>
            </w:pPr>
            <w:r>
              <w:t>职工生活</w:t>
            </w:r>
          </w:p>
        </w:tc>
        <w:tc>
          <w:tcPr>
            <w:tcW w:w="433" w:type="pct"/>
            <w:vMerge w:val="restart"/>
            <w:tcMar>
              <w:left w:w="6" w:type="dxa"/>
              <w:right w:w="6" w:type="dxa"/>
            </w:tcMar>
            <w:vAlign w:val="center"/>
          </w:tcPr>
          <w:p>
            <w:pPr>
              <w:pStyle w:val="47"/>
            </w:pPr>
            <w:r>
              <w:t>生活污水</w:t>
            </w:r>
          </w:p>
        </w:tc>
        <w:tc>
          <w:tcPr>
            <w:tcW w:w="759" w:type="pct"/>
            <w:vAlign w:val="center"/>
          </w:tcPr>
          <w:p>
            <w:pPr>
              <w:pStyle w:val="47"/>
            </w:pPr>
            <w:r>
              <w:t>污水量</w:t>
            </w:r>
          </w:p>
        </w:tc>
        <w:tc>
          <w:tcPr>
            <w:tcW w:w="1159" w:type="pct"/>
            <w:tcMar>
              <w:left w:w="6" w:type="dxa"/>
              <w:right w:w="6" w:type="dxa"/>
            </w:tcMar>
            <w:vAlign w:val="center"/>
          </w:tcPr>
          <w:p>
            <w:pPr>
              <w:pStyle w:val="47"/>
            </w:pPr>
            <w:r>
              <w:rPr>
                <w:rFonts w:hint="eastAsia"/>
              </w:rPr>
              <w:t>405</w:t>
            </w:r>
            <w:r>
              <w:t>t/a</w:t>
            </w:r>
          </w:p>
        </w:tc>
        <w:tc>
          <w:tcPr>
            <w:tcW w:w="1121" w:type="pct"/>
            <w:tcBorders>
              <w:right w:val="single" w:color="auto" w:sz="12" w:space="0"/>
            </w:tcBorders>
            <w:tcMar>
              <w:left w:w="6" w:type="dxa"/>
              <w:right w:w="6" w:type="dxa"/>
            </w:tcMar>
            <w:vAlign w:val="center"/>
          </w:tcPr>
          <w:p>
            <w:pPr>
              <w:pStyle w:val="47"/>
            </w:pPr>
            <w:r>
              <w:rPr>
                <w:rFonts w:hint="eastAsia"/>
              </w:rPr>
              <w:t>405</w:t>
            </w:r>
            <w: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07" w:type="pct"/>
            <w:vMerge w:val="continue"/>
            <w:tcBorders>
              <w:left w:val="single" w:color="auto" w:sz="12" w:space="0"/>
            </w:tcBorders>
            <w:tcMar>
              <w:left w:w="6" w:type="dxa"/>
              <w:right w:w="6" w:type="dxa"/>
            </w:tcMar>
            <w:vAlign w:val="center"/>
          </w:tcPr>
          <w:p>
            <w:pPr>
              <w:ind w:firstLine="0" w:firstLineChars="0"/>
              <w:jc w:val="center"/>
              <w:rPr>
                <w:szCs w:val="24"/>
              </w:rPr>
            </w:pPr>
          </w:p>
        </w:tc>
        <w:tc>
          <w:tcPr>
            <w:tcW w:w="1119" w:type="pct"/>
            <w:vMerge w:val="continue"/>
            <w:tcMar>
              <w:left w:w="6" w:type="dxa"/>
              <w:right w:w="6" w:type="dxa"/>
            </w:tcMar>
            <w:vAlign w:val="center"/>
          </w:tcPr>
          <w:p>
            <w:pPr>
              <w:pStyle w:val="47"/>
            </w:pPr>
          </w:p>
        </w:tc>
        <w:tc>
          <w:tcPr>
            <w:tcW w:w="433" w:type="pct"/>
            <w:vMerge w:val="continue"/>
            <w:tcMar>
              <w:left w:w="6" w:type="dxa"/>
              <w:right w:w="6" w:type="dxa"/>
            </w:tcMar>
            <w:vAlign w:val="center"/>
          </w:tcPr>
          <w:p>
            <w:pPr>
              <w:pStyle w:val="47"/>
            </w:pPr>
          </w:p>
        </w:tc>
        <w:tc>
          <w:tcPr>
            <w:tcW w:w="759" w:type="pct"/>
            <w:vAlign w:val="center"/>
          </w:tcPr>
          <w:p>
            <w:pPr>
              <w:pStyle w:val="47"/>
            </w:pPr>
            <w:r>
              <w:t>COD</w:t>
            </w:r>
            <w:r>
              <w:rPr>
                <w:vertAlign w:val="subscript"/>
              </w:rPr>
              <w:t>Cr</w:t>
            </w:r>
          </w:p>
        </w:tc>
        <w:tc>
          <w:tcPr>
            <w:tcW w:w="1159" w:type="pct"/>
            <w:tcMar>
              <w:left w:w="6" w:type="dxa"/>
              <w:right w:w="6" w:type="dxa"/>
            </w:tcMar>
            <w:vAlign w:val="center"/>
          </w:tcPr>
          <w:p>
            <w:pPr>
              <w:pStyle w:val="47"/>
            </w:pPr>
            <w:r>
              <w:t>320mg/L，0.</w:t>
            </w:r>
            <w:r>
              <w:rPr>
                <w:rFonts w:hint="eastAsia"/>
              </w:rPr>
              <w:t>130</w:t>
            </w:r>
            <w:r>
              <w:t>t/a</w:t>
            </w:r>
          </w:p>
        </w:tc>
        <w:tc>
          <w:tcPr>
            <w:tcW w:w="1121" w:type="pct"/>
            <w:tcBorders>
              <w:right w:val="single" w:color="auto" w:sz="12" w:space="0"/>
            </w:tcBorders>
            <w:tcMar>
              <w:left w:w="6" w:type="dxa"/>
              <w:right w:w="6" w:type="dxa"/>
            </w:tcMar>
            <w:vAlign w:val="center"/>
          </w:tcPr>
          <w:p>
            <w:pPr>
              <w:pStyle w:val="47"/>
            </w:pPr>
            <w:r>
              <w:t>50mg/L，0.0</w:t>
            </w:r>
            <w:r>
              <w:rPr>
                <w:rFonts w:hint="eastAsia"/>
              </w:rPr>
              <w:t>20</w:t>
            </w:r>
            <w: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07" w:type="pct"/>
            <w:vMerge w:val="continue"/>
            <w:tcBorders>
              <w:left w:val="single" w:color="auto" w:sz="12" w:space="0"/>
            </w:tcBorders>
            <w:tcMar>
              <w:left w:w="6" w:type="dxa"/>
              <w:right w:w="6" w:type="dxa"/>
            </w:tcMar>
            <w:vAlign w:val="center"/>
          </w:tcPr>
          <w:p>
            <w:pPr>
              <w:ind w:firstLine="0" w:firstLineChars="0"/>
              <w:jc w:val="center"/>
              <w:rPr>
                <w:szCs w:val="24"/>
              </w:rPr>
            </w:pPr>
          </w:p>
        </w:tc>
        <w:tc>
          <w:tcPr>
            <w:tcW w:w="1119" w:type="pct"/>
            <w:vMerge w:val="continue"/>
            <w:tcMar>
              <w:left w:w="6" w:type="dxa"/>
              <w:right w:w="6" w:type="dxa"/>
            </w:tcMar>
            <w:vAlign w:val="center"/>
          </w:tcPr>
          <w:p>
            <w:pPr>
              <w:pStyle w:val="47"/>
            </w:pPr>
          </w:p>
        </w:tc>
        <w:tc>
          <w:tcPr>
            <w:tcW w:w="433" w:type="pct"/>
            <w:vMerge w:val="continue"/>
            <w:tcMar>
              <w:left w:w="6" w:type="dxa"/>
              <w:right w:w="6" w:type="dxa"/>
            </w:tcMar>
            <w:vAlign w:val="center"/>
          </w:tcPr>
          <w:p>
            <w:pPr>
              <w:pStyle w:val="47"/>
            </w:pPr>
          </w:p>
        </w:tc>
        <w:tc>
          <w:tcPr>
            <w:tcW w:w="759" w:type="pct"/>
            <w:vAlign w:val="center"/>
          </w:tcPr>
          <w:p>
            <w:pPr>
              <w:pStyle w:val="47"/>
            </w:pPr>
            <w:r>
              <w:t>NH</w:t>
            </w:r>
            <w:r>
              <w:rPr>
                <w:vertAlign w:val="subscript"/>
              </w:rPr>
              <w:t>3</w:t>
            </w:r>
            <w:r>
              <w:t>-N</w:t>
            </w:r>
          </w:p>
        </w:tc>
        <w:tc>
          <w:tcPr>
            <w:tcW w:w="1159" w:type="pct"/>
            <w:tcMar>
              <w:left w:w="6" w:type="dxa"/>
              <w:right w:w="6" w:type="dxa"/>
            </w:tcMar>
            <w:vAlign w:val="center"/>
          </w:tcPr>
          <w:p>
            <w:pPr>
              <w:pStyle w:val="47"/>
            </w:pPr>
            <w:r>
              <w:t>35mg/L，0.0</w:t>
            </w:r>
            <w:r>
              <w:rPr>
                <w:rFonts w:hint="eastAsia"/>
              </w:rPr>
              <w:t>14</w:t>
            </w:r>
            <w:r>
              <w:t>t/a</w:t>
            </w:r>
          </w:p>
        </w:tc>
        <w:tc>
          <w:tcPr>
            <w:tcW w:w="1121" w:type="pct"/>
            <w:tcBorders>
              <w:right w:val="single" w:color="auto" w:sz="12" w:space="0"/>
            </w:tcBorders>
            <w:tcMar>
              <w:left w:w="6" w:type="dxa"/>
              <w:right w:w="6" w:type="dxa"/>
            </w:tcMar>
            <w:vAlign w:val="center"/>
          </w:tcPr>
          <w:p>
            <w:pPr>
              <w:pStyle w:val="47"/>
            </w:pPr>
            <w:r>
              <w:t>5mg/L，0.00</w:t>
            </w:r>
            <w:r>
              <w:rPr>
                <w:rFonts w:hint="eastAsia"/>
              </w:rPr>
              <w:t>2</w:t>
            </w:r>
            <w: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07" w:type="pct"/>
            <w:vMerge w:val="restart"/>
            <w:tcBorders>
              <w:left w:val="single" w:color="auto" w:sz="12" w:space="0"/>
            </w:tcBorders>
            <w:tcMar>
              <w:left w:w="6" w:type="dxa"/>
              <w:right w:w="6" w:type="dxa"/>
            </w:tcMar>
            <w:vAlign w:val="center"/>
          </w:tcPr>
          <w:p>
            <w:pPr>
              <w:pStyle w:val="49"/>
              <w:rPr>
                <w:b/>
                <w:bCs/>
                <w:sz w:val="24"/>
                <w:szCs w:val="22"/>
              </w:rPr>
            </w:pPr>
            <w:r>
              <w:rPr>
                <w:b/>
                <w:bCs/>
                <w:sz w:val="24"/>
                <w:szCs w:val="22"/>
              </w:rPr>
              <w:t>大</w:t>
            </w:r>
          </w:p>
          <w:p>
            <w:pPr>
              <w:pStyle w:val="49"/>
              <w:rPr>
                <w:b/>
                <w:bCs/>
                <w:sz w:val="24"/>
                <w:szCs w:val="22"/>
              </w:rPr>
            </w:pPr>
            <w:r>
              <w:rPr>
                <w:b/>
                <w:bCs/>
                <w:sz w:val="24"/>
                <w:szCs w:val="22"/>
              </w:rPr>
              <w:t>气</w:t>
            </w:r>
          </w:p>
          <w:p>
            <w:pPr>
              <w:pStyle w:val="49"/>
              <w:rPr>
                <w:b/>
                <w:bCs/>
                <w:sz w:val="24"/>
                <w:szCs w:val="22"/>
              </w:rPr>
            </w:pPr>
            <w:r>
              <w:rPr>
                <w:b/>
                <w:bCs/>
                <w:sz w:val="24"/>
                <w:szCs w:val="22"/>
              </w:rPr>
              <w:t>污</w:t>
            </w:r>
          </w:p>
          <w:p>
            <w:pPr>
              <w:pStyle w:val="49"/>
              <w:rPr>
                <w:b/>
                <w:bCs/>
                <w:sz w:val="24"/>
                <w:szCs w:val="22"/>
              </w:rPr>
            </w:pPr>
            <w:r>
              <w:rPr>
                <w:b/>
                <w:bCs/>
                <w:sz w:val="24"/>
                <w:szCs w:val="22"/>
              </w:rPr>
              <w:t>染</w:t>
            </w:r>
          </w:p>
          <w:p>
            <w:pPr>
              <w:spacing w:line="240" w:lineRule="auto"/>
              <w:ind w:firstLine="0" w:firstLineChars="0"/>
              <w:jc w:val="center"/>
              <w:rPr>
                <w:szCs w:val="24"/>
              </w:rPr>
            </w:pPr>
            <w:r>
              <w:rPr>
                <w:b/>
                <w:bCs/>
                <w:szCs w:val="22"/>
              </w:rPr>
              <w:t>物</w:t>
            </w:r>
          </w:p>
        </w:tc>
        <w:tc>
          <w:tcPr>
            <w:tcW w:w="1119" w:type="pct"/>
            <w:tcMar>
              <w:left w:w="6" w:type="dxa"/>
              <w:right w:w="6" w:type="dxa"/>
            </w:tcMar>
            <w:vAlign w:val="center"/>
          </w:tcPr>
          <w:p>
            <w:pPr>
              <w:pStyle w:val="47"/>
            </w:pPr>
            <w:r>
              <w:rPr>
                <w:rFonts w:hint="eastAsia"/>
              </w:rPr>
              <w:t>焊接</w:t>
            </w:r>
          </w:p>
        </w:tc>
        <w:tc>
          <w:tcPr>
            <w:tcW w:w="1192" w:type="pct"/>
            <w:gridSpan w:val="2"/>
            <w:tcMar>
              <w:left w:w="6" w:type="dxa"/>
              <w:right w:w="6" w:type="dxa"/>
            </w:tcMar>
            <w:vAlign w:val="center"/>
          </w:tcPr>
          <w:p>
            <w:pPr>
              <w:pStyle w:val="47"/>
            </w:pPr>
            <w:r>
              <w:rPr>
                <w:rFonts w:hint="eastAsia"/>
              </w:rPr>
              <w:t>烟尘</w:t>
            </w:r>
          </w:p>
        </w:tc>
        <w:tc>
          <w:tcPr>
            <w:tcW w:w="1159" w:type="pct"/>
            <w:tcMar>
              <w:left w:w="6" w:type="dxa"/>
              <w:right w:w="6" w:type="dxa"/>
            </w:tcMar>
            <w:vAlign w:val="center"/>
          </w:tcPr>
          <w:p>
            <w:pPr>
              <w:pStyle w:val="47"/>
            </w:pPr>
            <w:r>
              <w:rPr>
                <w:rFonts w:hint="eastAsia"/>
              </w:rPr>
              <w:t>0.003t/a</w:t>
            </w:r>
          </w:p>
        </w:tc>
        <w:tc>
          <w:tcPr>
            <w:tcW w:w="1121" w:type="pct"/>
            <w:tcBorders>
              <w:right w:val="single" w:color="auto" w:sz="12" w:space="0"/>
            </w:tcBorders>
            <w:tcMar>
              <w:left w:w="6" w:type="dxa"/>
              <w:right w:w="6" w:type="dxa"/>
            </w:tcMar>
            <w:vAlign w:val="center"/>
          </w:tcPr>
          <w:p>
            <w:pPr>
              <w:pStyle w:val="47"/>
            </w:pPr>
            <w:r>
              <w:rPr>
                <w:rFonts w:hint="eastAsia"/>
              </w:rPr>
              <w:t>0.001t/a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07" w:type="pct"/>
            <w:vMerge w:val="continue"/>
            <w:tcBorders>
              <w:left w:val="single" w:color="auto" w:sz="12" w:space="0"/>
            </w:tcBorders>
            <w:tcMar>
              <w:left w:w="6" w:type="dxa"/>
              <w:right w:w="6" w:type="dxa"/>
            </w:tcMar>
            <w:vAlign w:val="center"/>
          </w:tcPr>
          <w:p>
            <w:pPr>
              <w:spacing w:line="240" w:lineRule="auto"/>
              <w:ind w:firstLine="0" w:firstLineChars="0"/>
              <w:jc w:val="center"/>
              <w:rPr>
                <w:szCs w:val="24"/>
              </w:rPr>
            </w:pPr>
          </w:p>
        </w:tc>
        <w:tc>
          <w:tcPr>
            <w:tcW w:w="1119" w:type="pct"/>
            <w:vMerge w:val="restart"/>
            <w:tcMar>
              <w:left w:w="6" w:type="dxa"/>
              <w:right w:w="6" w:type="dxa"/>
            </w:tcMar>
            <w:vAlign w:val="center"/>
          </w:tcPr>
          <w:p>
            <w:pPr>
              <w:pStyle w:val="47"/>
            </w:pPr>
            <w:r>
              <w:rPr>
                <w:rFonts w:hint="eastAsia"/>
              </w:rPr>
              <w:t>浸漆、烘干</w:t>
            </w:r>
          </w:p>
        </w:tc>
        <w:tc>
          <w:tcPr>
            <w:tcW w:w="433" w:type="pct"/>
            <w:vMerge w:val="restart"/>
            <w:tcMar>
              <w:left w:w="6" w:type="dxa"/>
              <w:right w:w="6" w:type="dxa"/>
            </w:tcMar>
            <w:vAlign w:val="center"/>
          </w:tcPr>
          <w:p>
            <w:pPr>
              <w:pStyle w:val="47"/>
            </w:pPr>
            <w:r>
              <w:rPr>
                <w:rFonts w:hint="eastAsia"/>
              </w:rPr>
              <w:t>非甲烷总烃</w:t>
            </w:r>
          </w:p>
        </w:tc>
        <w:tc>
          <w:tcPr>
            <w:tcW w:w="759" w:type="pct"/>
            <w:tcMar>
              <w:left w:w="6" w:type="dxa"/>
              <w:right w:w="6" w:type="dxa"/>
            </w:tcMar>
            <w:vAlign w:val="center"/>
          </w:tcPr>
          <w:p>
            <w:pPr>
              <w:pStyle w:val="47"/>
            </w:pPr>
            <w:r>
              <w:rPr>
                <w:rFonts w:hint="eastAsia"/>
              </w:rPr>
              <w:t>有组织</w:t>
            </w:r>
          </w:p>
        </w:tc>
        <w:tc>
          <w:tcPr>
            <w:tcW w:w="1159" w:type="pct"/>
            <w:tcMar>
              <w:left w:w="6" w:type="dxa"/>
              <w:right w:w="6" w:type="dxa"/>
            </w:tcMar>
            <w:vAlign w:val="center"/>
          </w:tcPr>
          <w:p>
            <w:pPr>
              <w:pStyle w:val="47"/>
            </w:pPr>
            <w:r>
              <w:rPr>
                <w:rFonts w:hint="eastAsia"/>
              </w:rPr>
              <w:t>34.6</w:t>
            </w:r>
            <w:r>
              <w:t>mg/m</w:t>
            </w:r>
            <w:r>
              <w:rPr>
                <w:vertAlign w:val="superscript"/>
              </w:rPr>
              <w:t>3</w:t>
            </w:r>
            <w:r>
              <w:rPr>
                <w:rFonts w:hint="eastAsia"/>
              </w:rPr>
              <w:t>，</w:t>
            </w:r>
            <w:r>
              <w:t>0.</w:t>
            </w:r>
            <w:r>
              <w:rPr>
                <w:rFonts w:hint="eastAsia"/>
              </w:rPr>
              <w:t>414</w:t>
            </w:r>
            <w:r>
              <w:t>t/a</w:t>
            </w:r>
          </w:p>
        </w:tc>
        <w:tc>
          <w:tcPr>
            <w:tcW w:w="1121" w:type="pct"/>
            <w:tcBorders>
              <w:right w:val="single" w:color="auto" w:sz="12" w:space="0"/>
            </w:tcBorders>
            <w:tcMar>
              <w:left w:w="6" w:type="dxa"/>
              <w:right w:w="6" w:type="dxa"/>
            </w:tcMar>
            <w:vAlign w:val="center"/>
          </w:tcPr>
          <w:p>
            <w:pPr>
              <w:pStyle w:val="47"/>
            </w:pPr>
            <w:r>
              <w:rPr>
                <w:rFonts w:hint="eastAsia"/>
              </w:rPr>
              <w:t>3.4</w:t>
            </w:r>
            <w:r>
              <w:t>mg/m</w:t>
            </w:r>
            <w:r>
              <w:rPr>
                <w:vertAlign w:val="superscript"/>
              </w:rPr>
              <w:t>3</w:t>
            </w:r>
            <w:r>
              <w:rPr>
                <w:rFonts w:hint="eastAsia"/>
              </w:rPr>
              <w:t>，</w:t>
            </w:r>
            <w:r>
              <w:t>0.</w:t>
            </w:r>
            <w:r>
              <w:rPr>
                <w:rFonts w:hint="eastAsia"/>
              </w:rPr>
              <w:t>041</w:t>
            </w:r>
            <w: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07" w:type="pct"/>
            <w:vMerge w:val="continue"/>
            <w:tcBorders>
              <w:left w:val="single" w:color="auto" w:sz="12" w:space="0"/>
            </w:tcBorders>
            <w:tcMar>
              <w:left w:w="6" w:type="dxa"/>
              <w:right w:w="6" w:type="dxa"/>
            </w:tcMar>
            <w:vAlign w:val="center"/>
          </w:tcPr>
          <w:p>
            <w:pPr>
              <w:spacing w:line="240" w:lineRule="auto"/>
              <w:ind w:firstLine="0" w:firstLineChars="0"/>
              <w:jc w:val="center"/>
              <w:rPr>
                <w:szCs w:val="24"/>
              </w:rPr>
            </w:pPr>
          </w:p>
        </w:tc>
        <w:tc>
          <w:tcPr>
            <w:tcW w:w="1119" w:type="pct"/>
            <w:vMerge w:val="continue"/>
            <w:tcMar>
              <w:left w:w="6" w:type="dxa"/>
              <w:right w:w="6" w:type="dxa"/>
            </w:tcMar>
            <w:vAlign w:val="center"/>
          </w:tcPr>
          <w:p>
            <w:pPr>
              <w:pStyle w:val="47"/>
            </w:pPr>
          </w:p>
        </w:tc>
        <w:tc>
          <w:tcPr>
            <w:tcW w:w="433" w:type="pct"/>
            <w:vMerge w:val="continue"/>
            <w:tcMar>
              <w:left w:w="6" w:type="dxa"/>
              <w:right w:w="6" w:type="dxa"/>
            </w:tcMar>
            <w:vAlign w:val="center"/>
          </w:tcPr>
          <w:p>
            <w:pPr>
              <w:pStyle w:val="47"/>
            </w:pPr>
          </w:p>
        </w:tc>
        <w:tc>
          <w:tcPr>
            <w:tcW w:w="759" w:type="pct"/>
            <w:tcMar>
              <w:left w:w="6" w:type="dxa"/>
              <w:right w:w="6" w:type="dxa"/>
            </w:tcMar>
            <w:vAlign w:val="center"/>
          </w:tcPr>
          <w:p>
            <w:pPr>
              <w:pStyle w:val="47"/>
            </w:pPr>
            <w:r>
              <w:rPr>
                <w:rFonts w:hint="eastAsia"/>
              </w:rPr>
              <w:t>无组织</w:t>
            </w:r>
          </w:p>
        </w:tc>
        <w:tc>
          <w:tcPr>
            <w:tcW w:w="1159" w:type="pct"/>
            <w:tcMar>
              <w:left w:w="6" w:type="dxa"/>
              <w:right w:w="6" w:type="dxa"/>
            </w:tcMar>
            <w:vAlign w:val="center"/>
          </w:tcPr>
          <w:p>
            <w:pPr>
              <w:pStyle w:val="47"/>
            </w:pPr>
            <w:r>
              <w:rPr>
                <w:rFonts w:hint="eastAsia"/>
              </w:rPr>
              <w:t>0.046t/a</w:t>
            </w:r>
          </w:p>
        </w:tc>
        <w:tc>
          <w:tcPr>
            <w:tcW w:w="1121" w:type="pct"/>
            <w:tcBorders>
              <w:right w:val="single" w:color="auto" w:sz="12" w:space="0"/>
            </w:tcBorders>
            <w:tcMar>
              <w:left w:w="6" w:type="dxa"/>
              <w:right w:w="6" w:type="dxa"/>
            </w:tcMar>
            <w:vAlign w:val="center"/>
          </w:tcPr>
          <w:p>
            <w:pPr>
              <w:pStyle w:val="47"/>
            </w:pPr>
            <w:r>
              <w:rPr>
                <w:rFonts w:hint="eastAsia"/>
              </w:rPr>
              <w:t>0.046t/a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07" w:type="pct"/>
            <w:vMerge w:val="continue"/>
            <w:tcBorders>
              <w:left w:val="single" w:color="auto" w:sz="12" w:space="0"/>
            </w:tcBorders>
            <w:tcMar>
              <w:left w:w="6" w:type="dxa"/>
              <w:right w:w="6" w:type="dxa"/>
            </w:tcMar>
            <w:vAlign w:val="center"/>
          </w:tcPr>
          <w:p>
            <w:pPr>
              <w:spacing w:line="240" w:lineRule="auto"/>
              <w:ind w:firstLine="0" w:firstLineChars="0"/>
              <w:jc w:val="center"/>
              <w:rPr>
                <w:szCs w:val="24"/>
              </w:rPr>
            </w:pPr>
          </w:p>
        </w:tc>
        <w:tc>
          <w:tcPr>
            <w:tcW w:w="1119" w:type="pct"/>
            <w:vMerge w:val="continue"/>
            <w:tcMar>
              <w:left w:w="6" w:type="dxa"/>
              <w:right w:w="6" w:type="dxa"/>
            </w:tcMar>
            <w:vAlign w:val="center"/>
          </w:tcPr>
          <w:p>
            <w:pPr>
              <w:pStyle w:val="47"/>
            </w:pPr>
          </w:p>
        </w:tc>
        <w:tc>
          <w:tcPr>
            <w:tcW w:w="1192" w:type="pct"/>
            <w:gridSpan w:val="2"/>
            <w:tcMar>
              <w:left w:w="6" w:type="dxa"/>
              <w:right w:w="6" w:type="dxa"/>
            </w:tcMar>
            <w:vAlign w:val="center"/>
          </w:tcPr>
          <w:p>
            <w:pPr>
              <w:pStyle w:val="47"/>
            </w:pPr>
            <w:r>
              <w:rPr>
                <w:rFonts w:hint="eastAsia"/>
              </w:rPr>
              <w:t>恶臭</w:t>
            </w:r>
          </w:p>
        </w:tc>
        <w:tc>
          <w:tcPr>
            <w:tcW w:w="1159" w:type="pct"/>
            <w:tcMar>
              <w:left w:w="6" w:type="dxa"/>
              <w:right w:w="6" w:type="dxa"/>
            </w:tcMar>
            <w:vAlign w:val="center"/>
          </w:tcPr>
          <w:p>
            <w:pPr>
              <w:pStyle w:val="47"/>
            </w:pPr>
            <w:r>
              <w:rPr>
                <w:rFonts w:hint="eastAsia"/>
              </w:rPr>
              <w:t>2~3级</w:t>
            </w:r>
          </w:p>
        </w:tc>
        <w:tc>
          <w:tcPr>
            <w:tcW w:w="1121" w:type="pct"/>
            <w:tcBorders>
              <w:right w:val="single" w:color="auto" w:sz="12" w:space="0"/>
            </w:tcBorders>
            <w:tcMar>
              <w:left w:w="6" w:type="dxa"/>
              <w:right w:w="6" w:type="dxa"/>
            </w:tcMar>
            <w:vAlign w:val="center"/>
          </w:tcPr>
          <w:p>
            <w:pPr>
              <w:pStyle w:val="47"/>
            </w:pPr>
            <w:r>
              <w:rPr>
                <w:rFonts w:hint="eastAsia"/>
              </w:rPr>
              <w:t>0~1级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07" w:type="pct"/>
            <w:vMerge w:val="restart"/>
            <w:tcBorders>
              <w:left w:val="single" w:color="auto" w:sz="12" w:space="0"/>
            </w:tcBorders>
            <w:tcMar>
              <w:left w:w="6" w:type="dxa"/>
              <w:right w:w="6" w:type="dxa"/>
            </w:tcMar>
            <w:vAlign w:val="center"/>
          </w:tcPr>
          <w:p>
            <w:pPr>
              <w:spacing w:line="240" w:lineRule="auto"/>
              <w:ind w:firstLine="0" w:firstLineChars="0"/>
              <w:jc w:val="center"/>
              <w:rPr>
                <w:b/>
                <w:szCs w:val="24"/>
              </w:rPr>
            </w:pPr>
            <w:r>
              <w:rPr>
                <w:b/>
                <w:szCs w:val="24"/>
              </w:rPr>
              <w:t>固</w:t>
            </w:r>
          </w:p>
          <w:p>
            <w:pPr>
              <w:spacing w:line="240" w:lineRule="auto"/>
              <w:ind w:firstLine="0" w:firstLineChars="0"/>
              <w:jc w:val="center"/>
              <w:rPr>
                <w:b/>
                <w:szCs w:val="24"/>
              </w:rPr>
            </w:pPr>
            <w:r>
              <w:rPr>
                <w:b/>
                <w:szCs w:val="24"/>
              </w:rPr>
              <w:t>体</w:t>
            </w:r>
          </w:p>
          <w:p>
            <w:pPr>
              <w:spacing w:line="240" w:lineRule="auto"/>
              <w:ind w:firstLine="0" w:firstLineChars="0"/>
              <w:jc w:val="center"/>
              <w:rPr>
                <w:b/>
                <w:szCs w:val="24"/>
              </w:rPr>
            </w:pPr>
            <w:r>
              <w:rPr>
                <w:b/>
                <w:szCs w:val="24"/>
              </w:rPr>
              <w:t>废</w:t>
            </w:r>
          </w:p>
          <w:p>
            <w:pPr>
              <w:spacing w:line="240" w:lineRule="auto"/>
              <w:ind w:firstLine="0" w:firstLineChars="0"/>
              <w:jc w:val="center"/>
              <w:rPr>
                <w:b/>
                <w:szCs w:val="24"/>
              </w:rPr>
            </w:pPr>
            <w:r>
              <w:rPr>
                <w:b/>
                <w:szCs w:val="24"/>
              </w:rPr>
              <w:t>弃</w:t>
            </w:r>
          </w:p>
          <w:p>
            <w:pPr>
              <w:spacing w:line="240" w:lineRule="auto"/>
              <w:ind w:firstLine="0" w:firstLineChars="0"/>
              <w:jc w:val="center"/>
              <w:rPr>
                <w:szCs w:val="24"/>
              </w:rPr>
            </w:pPr>
            <w:r>
              <w:rPr>
                <w:b/>
                <w:szCs w:val="24"/>
              </w:rPr>
              <w:t>物</w:t>
            </w:r>
          </w:p>
        </w:tc>
        <w:tc>
          <w:tcPr>
            <w:tcW w:w="1119" w:type="pct"/>
            <w:tcMar>
              <w:left w:w="6" w:type="dxa"/>
              <w:right w:w="6" w:type="dxa"/>
            </w:tcMar>
            <w:vAlign w:val="center"/>
          </w:tcPr>
          <w:p>
            <w:pPr>
              <w:pStyle w:val="47"/>
            </w:pPr>
            <w:r>
              <w:t>原料使用</w:t>
            </w:r>
          </w:p>
        </w:tc>
        <w:tc>
          <w:tcPr>
            <w:tcW w:w="1192" w:type="pct"/>
            <w:gridSpan w:val="2"/>
            <w:tcMar>
              <w:left w:w="6" w:type="dxa"/>
              <w:right w:w="6" w:type="dxa"/>
            </w:tcMar>
            <w:vAlign w:val="center"/>
          </w:tcPr>
          <w:p>
            <w:pPr>
              <w:pStyle w:val="47"/>
            </w:pPr>
            <w:r>
              <w:t>一般包装材料</w:t>
            </w:r>
          </w:p>
        </w:tc>
        <w:tc>
          <w:tcPr>
            <w:tcW w:w="1159" w:type="pct"/>
            <w:tcMar>
              <w:left w:w="6" w:type="dxa"/>
              <w:right w:w="6" w:type="dxa"/>
            </w:tcMar>
            <w:vAlign w:val="center"/>
          </w:tcPr>
          <w:p>
            <w:pPr>
              <w:pStyle w:val="47"/>
            </w:pPr>
            <w:r>
              <w:t>4.0</w:t>
            </w:r>
            <w:r>
              <w:rPr>
                <w:rFonts w:hint="eastAsia"/>
              </w:rPr>
              <w:t>t/a</w:t>
            </w:r>
          </w:p>
        </w:tc>
        <w:tc>
          <w:tcPr>
            <w:tcW w:w="1121" w:type="pct"/>
            <w:tcBorders>
              <w:right w:val="single" w:color="auto" w:sz="12" w:space="0"/>
            </w:tcBorders>
            <w:tcMar>
              <w:left w:w="6" w:type="dxa"/>
              <w:right w:w="6" w:type="dxa"/>
            </w:tcMar>
            <w:vAlign w:val="center"/>
          </w:tcPr>
          <w:p>
            <w:pPr>
              <w:pStyle w:val="47"/>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07" w:type="pct"/>
            <w:vMerge w:val="continue"/>
            <w:tcBorders>
              <w:left w:val="single" w:color="auto" w:sz="12" w:space="0"/>
            </w:tcBorders>
            <w:tcMar>
              <w:left w:w="6" w:type="dxa"/>
              <w:right w:w="6" w:type="dxa"/>
            </w:tcMar>
            <w:vAlign w:val="center"/>
          </w:tcPr>
          <w:p>
            <w:pPr>
              <w:spacing w:line="240" w:lineRule="auto"/>
              <w:ind w:firstLine="0" w:firstLineChars="0"/>
              <w:jc w:val="center"/>
              <w:rPr>
                <w:b/>
                <w:szCs w:val="24"/>
              </w:rPr>
            </w:pPr>
          </w:p>
        </w:tc>
        <w:tc>
          <w:tcPr>
            <w:tcW w:w="1119" w:type="pct"/>
            <w:tcMar>
              <w:left w:w="6" w:type="dxa"/>
              <w:right w:w="6" w:type="dxa"/>
            </w:tcMar>
            <w:vAlign w:val="center"/>
          </w:tcPr>
          <w:p>
            <w:pPr>
              <w:pStyle w:val="47"/>
            </w:pPr>
            <w:r>
              <w:rPr>
                <w:rFonts w:hint="eastAsia"/>
              </w:rPr>
              <w:t>下料、粗车、普铣、精车、打孔、攻丝</w:t>
            </w:r>
          </w:p>
        </w:tc>
        <w:tc>
          <w:tcPr>
            <w:tcW w:w="1192" w:type="pct"/>
            <w:gridSpan w:val="2"/>
            <w:tcMar>
              <w:left w:w="6" w:type="dxa"/>
              <w:right w:w="6" w:type="dxa"/>
            </w:tcMar>
            <w:vAlign w:val="center"/>
          </w:tcPr>
          <w:p>
            <w:pPr>
              <w:pStyle w:val="47"/>
            </w:pPr>
            <w:r>
              <w:rPr>
                <w:rFonts w:hint="eastAsia"/>
              </w:rPr>
              <w:t>金属边角料</w:t>
            </w:r>
          </w:p>
        </w:tc>
        <w:tc>
          <w:tcPr>
            <w:tcW w:w="1159" w:type="pct"/>
            <w:tcMar>
              <w:left w:w="6" w:type="dxa"/>
              <w:right w:w="6" w:type="dxa"/>
            </w:tcMar>
            <w:vAlign w:val="center"/>
          </w:tcPr>
          <w:p>
            <w:pPr>
              <w:pStyle w:val="47"/>
            </w:pPr>
            <w:r>
              <w:t>5.0</w:t>
            </w:r>
            <w:r>
              <w:rPr>
                <w:rFonts w:hint="eastAsia"/>
              </w:rPr>
              <w:t>t/a</w:t>
            </w:r>
          </w:p>
        </w:tc>
        <w:tc>
          <w:tcPr>
            <w:tcW w:w="1121" w:type="pct"/>
            <w:tcBorders>
              <w:right w:val="single" w:color="auto" w:sz="12" w:space="0"/>
            </w:tcBorders>
            <w:tcMar>
              <w:left w:w="6" w:type="dxa"/>
              <w:right w:w="6" w:type="dxa"/>
            </w:tcMar>
            <w:vAlign w:val="center"/>
          </w:tcPr>
          <w:p>
            <w:pPr>
              <w:pStyle w:val="47"/>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07" w:type="pct"/>
            <w:vMerge w:val="continue"/>
            <w:tcBorders>
              <w:left w:val="single" w:color="auto" w:sz="12" w:space="0"/>
            </w:tcBorders>
            <w:tcMar>
              <w:left w:w="6" w:type="dxa"/>
              <w:right w:w="6" w:type="dxa"/>
            </w:tcMar>
            <w:vAlign w:val="center"/>
          </w:tcPr>
          <w:p>
            <w:pPr>
              <w:spacing w:line="240" w:lineRule="auto"/>
              <w:ind w:firstLine="0" w:firstLineChars="0"/>
              <w:jc w:val="center"/>
              <w:rPr>
                <w:b/>
                <w:szCs w:val="24"/>
              </w:rPr>
            </w:pPr>
          </w:p>
        </w:tc>
        <w:tc>
          <w:tcPr>
            <w:tcW w:w="1119" w:type="pct"/>
            <w:tcMar>
              <w:left w:w="6" w:type="dxa"/>
              <w:right w:w="6" w:type="dxa"/>
            </w:tcMar>
            <w:vAlign w:val="center"/>
          </w:tcPr>
          <w:p>
            <w:pPr>
              <w:pStyle w:val="47"/>
            </w:pPr>
            <w:r>
              <w:t>检测</w:t>
            </w:r>
          </w:p>
        </w:tc>
        <w:tc>
          <w:tcPr>
            <w:tcW w:w="1192" w:type="pct"/>
            <w:gridSpan w:val="2"/>
            <w:tcMar>
              <w:left w:w="6" w:type="dxa"/>
              <w:right w:w="6" w:type="dxa"/>
            </w:tcMar>
            <w:vAlign w:val="center"/>
          </w:tcPr>
          <w:p>
            <w:pPr>
              <w:pStyle w:val="47"/>
            </w:pPr>
            <w:r>
              <w:t>次品</w:t>
            </w:r>
          </w:p>
        </w:tc>
        <w:tc>
          <w:tcPr>
            <w:tcW w:w="1159" w:type="pct"/>
            <w:tcMar>
              <w:left w:w="6" w:type="dxa"/>
              <w:right w:w="6" w:type="dxa"/>
            </w:tcMar>
            <w:vAlign w:val="center"/>
          </w:tcPr>
          <w:p>
            <w:pPr>
              <w:pStyle w:val="47"/>
            </w:pPr>
            <w:r>
              <w:t>1.0</w:t>
            </w:r>
            <w:r>
              <w:rPr>
                <w:rFonts w:hint="eastAsia"/>
              </w:rPr>
              <w:t>t/a</w:t>
            </w:r>
          </w:p>
        </w:tc>
        <w:tc>
          <w:tcPr>
            <w:tcW w:w="1121" w:type="pct"/>
            <w:tcBorders>
              <w:right w:val="single" w:color="auto" w:sz="12" w:space="0"/>
            </w:tcBorders>
            <w:tcMar>
              <w:left w:w="6" w:type="dxa"/>
              <w:right w:w="6" w:type="dxa"/>
            </w:tcMar>
            <w:vAlign w:val="center"/>
          </w:tcPr>
          <w:p>
            <w:pPr>
              <w:pStyle w:val="47"/>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07" w:type="pct"/>
            <w:vMerge w:val="continue"/>
            <w:tcBorders>
              <w:left w:val="single" w:color="auto" w:sz="12" w:space="0"/>
            </w:tcBorders>
            <w:tcMar>
              <w:left w:w="6" w:type="dxa"/>
              <w:right w:w="6" w:type="dxa"/>
            </w:tcMar>
            <w:vAlign w:val="center"/>
          </w:tcPr>
          <w:p>
            <w:pPr>
              <w:spacing w:line="240" w:lineRule="auto"/>
              <w:ind w:firstLine="0" w:firstLineChars="0"/>
              <w:jc w:val="center"/>
              <w:rPr>
                <w:b/>
                <w:szCs w:val="24"/>
              </w:rPr>
            </w:pPr>
          </w:p>
        </w:tc>
        <w:tc>
          <w:tcPr>
            <w:tcW w:w="1119" w:type="pct"/>
            <w:tcMar>
              <w:left w:w="6" w:type="dxa"/>
              <w:right w:w="6" w:type="dxa"/>
            </w:tcMar>
            <w:vAlign w:val="center"/>
          </w:tcPr>
          <w:p>
            <w:pPr>
              <w:pStyle w:val="47"/>
            </w:pPr>
            <w:r>
              <w:rPr>
                <w:rFonts w:hint="eastAsia"/>
              </w:rPr>
              <w:t>废水处理</w:t>
            </w:r>
          </w:p>
        </w:tc>
        <w:tc>
          <w:tcPr>
            <w:tcW w:w="1192" w:type="pct"/>
            <w:gridSpan w:val="2"/>
            <w:tcMar>
              <w:left w:w="6" w:type="dxa"/>
              <w:right w:w="6" w:type="dxa"/>
            </w:tcMar>
            <w:vAlign w:val="center"/>
          </w:tcPr>
          <w:p>
            <w:pPr>
              <w:pStyle w:val="47"/>
            </w:pPr>
            <w:r>
              <w:rPr>
                <w:rFonts w:hint="eastAsia"/>
              </w:rPr>
              <w:t>金属沉渣</w:t>
            </w:r>
          </w:p>
        </w:tc>
        <w:tc>
          <w:tcPr>
            <w:tcW w:w="1159" w:type="pct"/>
            <w:tcMar>
              <w:left w:w="6" w:type="dxa"/>
              <w:right w:w="6" w:type="dxa"/>
            </w:tcMar>
            <w:vAlign w:val="center"/>
          </w:tcPr>
          <w:p>
            <w:pPr>
              <w:pStyle w:val="47"/>
            </w:pPr>
            <w:r>
              <w:rPr>
                <w:rFonts w:hint="eastAsia"/>
              </w:rPr>
              <w:t>0.1t/a</w:t>
            </w:r>
          </w:p>
        </w:tc>
        <w:tc>
          <w:tcPr>
            <w:tcW w:w="1121" w:type="pct"/>
            <w:tcBorders>
              <w:right w:val="single" w:color="auto" w:sz="12" w:space="0"/>
            </w:tcBorders>
            <w:tcMar>
              <w:left w:w="6" w:type="dxa"/>
              <w:right w:w="6" w:type="dxa"/>
            </w:tcMar>
            <w:vAlign w:val="center"/>
          </w:tcPr>
          <w:p>
            <w:pPr>
              <w:pStyle w:val="47"/>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07" w:type="pct"/>
            <w:vMerge w:val="continue"/>
            <w:tcBorders>
              <w:left w:val="single" w:color="auto" w:sz="12" w:space="0"/>
            </w:tcBorders>
            <w:tcMar>
              <w:left w:w="6" w:type="dxa"/>
              <w:right w:w="6" w:type="dxa"/>
            </w:tcMar>
            <w:vAlign w:val="center"/>
          </w:tcPr>
          <w:p>
            <w:pPr>
              <w:spacing w:line="240" w:lineRule="auto"/>
              <w:ind w:firstLine="0" w:firstLineChars="0"/>
              <w:jc w:val="center"/>
              <w:rPr>
                <w:b/>
                <w:szCs w:val="24"/>
              </w:rPr>
            </w:pPr>
          </w:p>
        </w:tc>
        <w:tc>
          <w:tcPr>
            <w:tcW w:w="1119" w:type="pct"/>
            <w:tcMar>
              <w:left w:w="6" w:type="dxa"/>
              <w:right w:w="6" w:type="dxa"/>
            </w:tcMar>
            <w:vAlign w:val="center"/>
          </w:tcPr>
          <w:p>
            <w:pPr>
              <w:pStyle w:val="47"/>
            </w:pPr>
            <w:r>
              <w:rPr>
                <w:rFonts w:hint="eastAsia"/>
              </w:rPr>
              <w:t>废气处理</w:t>
            </w:r>
          </w:p>
        </w:tc>
        <w:tc>
          <w:tcPr>
            <w:tcW w:w="1192" w:type="pct"/>
            <w:gridSpan w:val="2"/>
            <w:tcMar>
              <w:left w:w="6" w:type="dxa"/>
              <w:right w:w="6" w:type="dxa"/>
            </w:tcMar>
            <w:vAlign w:val="center"/>
          </w:tcPr>
          <w:p>
            <w:pPr>
              <w:pStyle w:val="47"/>
            </w:pPr>
            <w:r>
              <w:rPr>
                <w:rFonts w:hint="eastAsia"/>
              </w:rPr>
              <w:t>废滤芯</w:t>
            </w:r>
          </w:p>
        </w:tc>
        <w:tc>
          <w:tcPr>
            <w:tcW w:w="1159" w:type="pct"/>
            <w:tcMar>
              <w:left w:w="6" w:type="dxa"/>
              <w:right w:w="6" w:type="dxa"/>
            </w:tcMar>
            <w:vAlign w:val="center"/>
          </w:tcPr>
          <w:p>
            <w:pPr>
              <w:pStyle w:val="47"/>
            </w:pPr>
            <w:r>
              <w:rPr>
                <w:rFonts w:hint="eastAsia"/>
              </w:rPr>
              <w:t>0.01t/a</w:t>
            </w:r>
          </w:p>
        </w:tc>
        <w:tc>
          <w:tcPr>
            <w:tcW w:w="1121" w:type="pct"/>
            <w:tcBorders>
              <w:right w:val="single" w:color="auto" w:sz="12" w:space="0"/>
            </w:tcBorders>
            <w:tcMar>
              <w:left w:w="6" w:type="dxa"/>
              <w:right w:w="6" w:type="dxa"/>
            </w:tcMar>
            <w:vAlign w:val="center"/>
          </w:tcPr>
          <w:p>
            <w:pPr>
              <w:pStyle w:val="47"/>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07" w:type="pct"/>
            <w:vMerge w:val="continue"/>
            <w:tcBorders>
              <w:left w:val="single" w:color="auto" w:sz="12" w:space="0"/>
            </w:tcBorders>
            <w:tcMar>
              <w:left w:w="6" w:type="dxa"/>
              <w:right w:w="6" w:type="dxa"/>
            </w:tcMar>
            <w:vAlign w:val="center"/>
          </w:tcPr>
          <w:p>
            <w:pPr>
              <w:spacing w:line="240" w:lineRule="auto"/>
              <w:ind w:firstLine="0" w:firstLineChars="0"/>
              <w:jc w:val="center"/>
              <w:rPr>
                <w:b/>
                <w:szCs w:val="24"/>
              </w:rPr>
            </w:pPr>
          </w:p>
        </w:tc>
        <w:tc>
          <w:tcPr>
            <w:tcW w:w="1119" w:type="pct"/>
            <w:tcMar>
              <w:left w:w="6" w:type="dxa"/>
              <w:right w:w="6" w:type="dxa"/>
            </w:tcMar>
            <w:vAlign w:val="center"/>
          </w:tcPr>
          <w:p>
            <w:pPr>
              <w:pStyle w:val="47"/>
            </w:pPr>
            <w:r>
              <w:t>粗车、普铣、精车</w:t>
            </w:r>
          </w:p>
        </w:tc>
        <w:tc>
          <w:tcPr>
            <w:tcW w:w="1192" w:type="pct"/>
            <w:gridSpan w:val="2"/>
            <w:tcMar>
              <w:left w:w="6" w:type="dxa"/>
              <w:right w:w="6" w:type="dxa"/>
            </w:tcMar>
            <w:vAlign w:val="center"/>
          </w:tcPr>
          <w:p>
            <w:pPr>
              <w:pStyle w:val="47"/>
            </w:pPr>
            <w:r>
              <w:t>废乳化液</w:t>
            </w:r>
          </w:p>
        </w:tc>
        <w:tc>
          <w:tcPr>
            <w:tcW w:w="1159" w:type="pct"/>
            <w:tcMar>
              <w:left w:w="6" w:type="dxa"/>
              <w:right w:w="6" w:type="dxa"/>
            </w:tcMar>
            <w:vAlign w:val="center"/>
          </w:tcPr>
          <w:p>
            <w:pPr>
              <w:pStyle w:val="47"/>
            </w:pPr>
            <w:r>
              <w:t>1.0</w:t>
            </w:r>
            <w:r>
              <w:rPr>
                <w:rFonts w:hint="eastAsia"/>
              </w:rPr>
              <w:t>t/a</w:t>
            </w:r>
          </w:p>
        </w:tc>
        <w:tc>
          <w:tcPr>
            <w:tcW w:w="1121" w:type="pct"/>
            <w:tcBorders>
              <w:right w:val="single" w:color="auto" w:sz="12" w:space="0"/>
            </w:tcBorders>
            <w:tcMar>
              <w:left w:w="6" w:type="dxa"/>
              <w:right w:w="6" w:type="dxa"/>
            </w:tcMar>
            <w:vAlign w:val="center"/>
          </w:tcPr>
          <w:p>
            <w:pPr>
              <w:pStyle w:val="47"/>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07" w:type="pct"/>
            <w:vMerge w:val="continue"/>
            <w:tcBorders>
              <w:left w:val="single" w:color="auto" w:sz="12" w:space="0"/>
            </w:tcBorders>
            <w:tcMar>
              <w:left w:w="6" w:type="dxa"/>
              <w:right w:w="6" w:type="dxa"/>
            </w:tcMar>
            <w:vAlign w:val="center"/>
          </w:tcPr>
          <w:p>
            <w:pPr>
              <w:spacing w:line="240" w:lineRule="auto"/>
              <w:ind w:firstLine="0" w:firstLineChars="0"/>
              <w:jc w:val="center"/>
              <w:rPr>
                <w:b/>
                <w:szCs w:val="24"/>
              </w:rPr>
            </w:pPr>
          </w:p>
        </w:tc>
        <w:tc>
          <w:tcPr>
            <w:tcW w:w="1119" w:type="pct"/>
            <w:tcMar>
              <w:left w:w="6" w:type="dxa"/>
              <w:right w:w="6" w:type="dxa"/>
            </w:tcMar>
            <w:vAlign w:val="center"/>
          </w:tcPr>
          <w:p>
            <w:pPr>
              <w:pStyle w:val="47"/>
            </w:pPr>
            <w:r>
              <w:rPr>
                <w:rFonts w:hint="eastAsia"/>
              </w:rPr>
              <w:t>真空浸漆</w:t>
            </w:r>
          </w:p>
        </w:tc>
        <w:tc>
          <w:tcPr>
            <w:tcW w:w="1192" w:type="pct"/>
            <w:gridSpan w:val="2"/>
            <w:tcMar>
              <w:left w:w="6" w:type="dxa"/>
              <w:right w:w="6" w:type="dxa"/>
            </w:tcMar>
            <w:vAlign w:val="center"/>
          </w:tcPr>
          <w:p>
            <w:pPr>
              <w:pStyle w:val="47"/>
            </w:pPr>
            <w:r>
              <w:rPr>
                <w:rFonts w:hint="eastAsia"/>
              </w:rPr>
              <w:t>废漆料</w:t>
            </w:r>
          </w:p>
        </w:tc>
        <w:tc>
          <w:tcPr>
            <w:tcW w:w="1159" w:type="pct"/>
            <w:tcMar>
              <w:left w:w="6" w:type="dxa"/>
              <w:right w:w="6" w:type="dxa"/>
            </w:tcMar>
            <w:vAlign w:val="center"/>
          </w:tcPr>
          <w:p>
            <w:pPr>
              <w:pStyle w:val="47"/>
            </w:pPr>
            <w:r>
              <w:rPr>
                <w:rFonts w:hint="eastAsia"/>
              </w:rPr>
              <w:t>0.2t/a</w:t>
            </w:r>
          </w:p>
        </w:tc>
        <w:tc>
          <w:tcPr>
            <w:tcW w:w="1121" w:type="pct"/>
            <w:tcBorders>
              <w:right w:val="single" w:color="auto" w:sz="12" w:space="0"/>
            </w:tcBorders>
            <w:tcMar>
              <w:left w:w="6" w:type="dxa"/>
              <w:right w:w="6" w:type="dxa"/>
            </w:tcMar>
            <w:vAlign w:val="center"/>
          </w:tcPr>
          <w:p>
            <w:pPr>
              <w:pStyle w:val="47"/>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07" w:type="pct"/>
            <w:vMerge w:val="continue"/>
            <w:tcBorders>
              <w:left w:val="single" w:color="auto" w:sz="12" w:space="0"/>
            </w:tcBorders>
            <w:tcMar>
              <w:left w:w="6" w:type="dxa"/>
              <w:right w:w="6" w:type="dxa"/>
            </w:tcMar>
            <w:vAlign w:val="center"/>
          </w:tcPr>
          <w:p>
            <w:pPr>
              <w:spacing w:line="240" w:lineRule="auto"/>
              <w:ind w:firstLine="0" w:firstLineChars="0"/>
              <w:jc w:val="center"/>
              <w:rPr>
                <w:b/>
                <w:szCs w:val="24"/>
              </w:rPr>
            </w:pPr>
          </w:p>
        </w:tc>
        <w:tc>
          <w:tcPr>
            <w:tcW w:w="1119" w:type="pct"/>
            <w:tcMar>
              <w:left w:w="6" w:type="dxa"/>
              <w:right w:w="6" w:type="dxa"/>
            </w:tcMar>
            <w:vAlign w:val="center"/>
          </w:tcPr>
          <w:p>
            <w:pPr>
              <w:pStyle w:val="47"/>
            </w:pPr>
            <w:r>
              <w:t>乳化液</w:t>
            </w:r>
            <w:r>
              <w:rPr>
                <w:rFonts w:hint="eastAsia"/>
                <w:szCs w:val="21"/>
              </w:rPr>
              <w:t>、绝缘漆</w:t>
            </w:r>
            <w:r>
              <w:t>使用</w:t>
            </w:r>
          </w:p>
        </w:tc>
        <w:tc>
          <w:tcPr>
            <w:tcW w:w="1192" w:type="pct"/>
            <w:gridSpan w:val="2"/>
            <w:tcMar>
              <w:left w:w="6" w:type="dxa"/>
              <w:right w:w="6" w:type="dxa"/>
            </w:tcMar>
            <w:vAlign w:val="center"/>
          </w:tcPr>
          <w:p>
            <w:pPr>
              <w:pStyle w:val="47"/>
            </w:pPr>
            <w:r>
              <w:t>废包装桶</w:t>
            </w:r>
          </w:p>
        </w:tc>
        <w:tc>
          <w:tcPr>
            <w:tcW w:w="1159" w:type="pct"/>
            <w:tcMar>
              <w:left w:w="6" w:type="dxa"/>
              <w:right w:w="6" w:type="dxa"/>
            </w:tcMar>
            <w:vAlign w:val="center"/>
          </w:tcPr>
          <w:p>
            <w:pPr>
              <w:pStyle w:val="47"/>
            </w:pPr>
            <w:r>
              <w:t>0.</w:t>
            </w:r>
            <w:r>
              <w:rPr>
                <w:rFonts w:hint="eastAsia"/>
              </w:rPr>
              <w:t>3t/a</w:t>
            </w:r>
          </w:p>
        </w:tc>
        <w:tc>
          <w:tcPr>
            <w:tcW w:w="1121" w:type="pct"/>
            <w:tcBorders>
              <w:right w:val="single" w:color="auto" w:sz="12" w:space="0"/>
            </w:tcBorders>
            <w:tcMar>
              <w:left w:w="6" w:type="dxa"/>
              <w:right w:w="6" w:type="dxa"/>
            </w:tcMar>
            <w:vAlign w:val="center"/>
          </w:tcPr>
          <w:p>
            <w:pPr>
              <w:pStyle w:val="47"/>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07" w:type="pct"/>
            <w:vMerge w:val="continue"/>
            <w:tcBorders>
              <w:left w:val="single" w:color="auto" w:sz="12" w:space="0"/>
            </w:tcBorders>
            <w:tcMar>
              <w:left w:w="6" w:type="dxa"/>
              <w:right w:w="6" w:type="dxa"/>
            </w:tcMar>
            <w:vAlign w:val="center"/>
          </w:tcPr>
          <w:p>
            <w:pPr>
              <w:spacing w:line="240" w:lineRule="auto"/>
              <w:ind w:firstLine="0" w:firstLineChars="0"/>
              <w:jc w:val="center"/>
              <w:rPr>
                <w:b/>
                <w:szCs w:val="24"/>
              </w:rPr>
            </w:pPr>
          </w:p>
        </w:tc>
        <w:tc>
          <w:tcPr>
            <w:tcW w:w="1119" w:type="pct"/>
            <w:tcMar>
              <w:left w:w="6" w:type="dxa"/>
              <w:right w:w="6" w:type="dxa"/>
            </w:tcMar>
            <w:vAlign w:val="center"/>
          </w:tcPr>
          <w:p>
            <w:pPr>
              <w:pStyle w:val="47"/>
            </w:pPr>
            <w:r>
              <w:rPr>
                <w:rFonts w:hint="eastAsia"/>
              </w:rPr>
              <w:t>设备保养</w:t>
            </w:r>
          </w:p>
        </w:tc>
        <w:tc>
          <w:tcPr>
            <w:tcW w:w="1192" w:type="pct"/>
            <w:gridSpan w:val="2"/>
            <w:tcMar>
              <w:left w:w="6" w:type="dxa"/>
              <w:right w:w="6" w:type="dxa"/>
            </w:tcMar>
            <w:vAlign w:val="center"/>
          </w:tcPr>
          <w:p>
            <w:pPr>
              <w:pStyle w:val="47"/>
            </w:pPr>
            <w:r>
              <w:rPr>
                <w:rFonts w:hint="eastAsia"/>
              </w:rPr>
              <w:t>废机油</w:t>
            </w:r>
          </w:p>
        </w:tc>
        <w:tc>
          <w:tcPr>
            <w:tcW w:w="1159" w:type="pct"/>
            <w:tcMar>
              <w:left w:w="6" w:type="dxa"/>
              <w:right w:w="6" w:type="dxa"/>
            </w:tcMar>
            <w:vAlign w:val="center"/>
          </w:tcPr>
          <w:p>
            <w:pPr>
              <w:pStyle w:val="47"/>
            </w:pPr>
            <w:r>
              <w:rPr>
                <w:rFonts w:hint="eastAsia"/>
              </w:rPr>
              <w:t>0.02t/a</w:t>
            </w:r>
          </w:p>
        </w:tc>
        <w:tc>
          <w:tcPr>
            <w:tcW w:w="1121" w:type="pct"/>
            <w:tcBorders>
              <w:right w:val="single" w:color="auto" w:sz="12" w:space="0"/>
            </w:tcBorders>
            <w:tcMar>
              <w:left w:w="6" w:type="dxa"/>
              <w:right w:w="6" w:type="dxa"/>
            </w:tcMar>
            <w:vAlign w:val="center"/>
          </w:tcPr>
          <w:p>
            <w:pPr>
              <w:pStyle w:val="47"/>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07" w:type="pct"/>
            <w:vMerge w:val="continue"/>
            <w:tcBorders>
              <w:left w:val="single" w:color="auto" w:sz="12" w:space="0"/>
            </w:tcBorders>
            <w:tcMar>
              <w:left w:w="6" w:type="dxa"/>
              <w:right w:w="6" w:type="dxa"/>
            </w:tcMar>
            <w:vAlign w:val="center"/>
          </w:tcPr>
          <w:p>
            <w:pPr>
              <w:spacing w:line="240" w:lineRule="auto"/>
              <w:ind w:firstLine="0" w:firstLineChars="0"/>
              <w:jc w:val="center"/>
              <w:rPr>
                <w:b/>
                <w:szCs w:val="24"/>
              </w:rPr>
            </w:pPr>
          </w:p>
        </w:tc>
        <w:tc>
          <w:tcPr>
            <w:tcW w:w="1119" w:type="pct"/>
            <w:tcMar>
              <w:left w:w="6" w:type="dxa"/>
              <w:right w:w="6" w:type="dxa"/>
            </w:tcMar>
            <w:vAlign w:val="center"/>
          </w:tcPr>
          <w:p>
            <w:pPr>
              <w:pStyle w:val="47"/>
            </w:pPr>
            <w:r>
              <w:t>机油</w:t>
            </w:r>
            <w:r>
              <w:rPr>
                <w:rFonts w:hint="eastAsia"/>
              </w:rPr>
              <w:t>、液压油</w:t>
            </w:r>
            <w:r>
              <w:t>使用</w:t>
            </w:r>
          </w:p>
        </w:tc>
        <w:tc>
          <w:tcPr>
            <w:tcW w:w="1192" w:type="pct"/>
            <w:gridSpan w:val="2"/>
            <w:tcMar>
              <w:left w:w="6" w:type="dxa"/>
              <w:right w:w="6" w:type="dxa"/>
            </w:tcMar>
            <w:vAlign w:val="center"/>
          </w:tcPr>
          <w:p>
            <w:pPr>
              <w:pStyle w:val="47"/>
            </w:pPr>
            <w:r>
              <w:rPr>
                <w:rFonts w:hint="eastAsia"/>
              </w:rPr>
              <w:t>废油桶</w:t>
            </w:r>
          </w:p>
        </w:tc>
        <w:tc>
          <w:tcPr>
            <w:tcW w:w="1159" w:type="pct"/>
            <w:tcMar>
              <w:left w:w="6" w:type="dxa"/>
              <w:right w:w="6" w:type="dxa"/>
            </w:tcMar>
            <w:vAlign w:val="center"/>
          </w:tcPr>
          <w:p>
            <w:pPr>
              <w:pStyle w:val="47"/>
            </w:pPr>
            <w:r>
              <w:t>0.</w:t>
            </w:r>
            <w:r>
              <w:rPr>
                <w:rFonts w:hint="eastAsia"/>
              </w:rPr>
              <w:t>004t/a</w:t>
            </w:r>
          </w:p>
        </w:tc>
        <w:tc>
          <w:tcPr>
            <w:tcW w:w="1121" w:type="pct"/>
            <w:tcBorders>
              <w:right w:val="single" w:color="auto" w:sz="12" w:space="0"/>
            </w:tcBorders>
            <w:tcMar>
              <w:left w:w="6" w:type="dxa"/>
              <w:right w:w="6" w:type="dxa"/>
            </w:tcMar>
            <w:vAlign w:val="center"/>
          </w:tcPr>
          <w:p>
            <w:pPr>
              <w:pStyle w:val="47"/>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07" w:type="pct"/>
            <w:vMerge w:val="continue"/>
            <w:tcBorders>
              <w:left w:val="single" w:color="auto" w:sz="12" w:space="0"/>
            </w:tcBorders>
            <w:tcMar>
              <w:left w:w="6" w:type="dxa"/>
              <w:right w:w="6" w:type="dxa"/>
            </w:tcMar>
            <w:vAlign w:val="center"/>
          </w:tcPr>
          <w:p>
            <w:pPr>
              <w:spacing w:line="240" w:lineRule="auto"/>
              <w:ind w:firstLine="0" w:firstLineChars="0"/>
              <w:jc w:val="center"/>
              <w:rPr>
                <w:b/>
                <w:szCs w:val="24"/>
              </w:rPr>
            </w:pPr>
          </w:p>
        </w:tc>
        <w:tc>
          <w:tcPr>
            <w:tcW w:w="1119" w:type="pct"/>
            <w:tcMar>
              <w:left w:w="6" w:type="dxa"/>
              <w:right w:w="6" w:type="dxa"/>
            </w:tcMar>
            <w:vAlign w:val="center"/>
          </w:tcPr>
          <w:p>
            <w:pPr>
              <w:pStyle w:val="47"/>
            </w:pPr>
            <w:r>
              <w:t>废气处理</w:t>
            </w:r>
          </w:p>
        </w:tc>
        <w:tc>
          <w:tcPr>
            <w:tcW w:w="1192" w:type="pct"/>
            <w:gridSpan w:val="2"/>
            <w:tcMar>
              <w:left w:w="6" w:type="dxa"/>
              <w:right w:w="6" w:type="dxa"/>
            </w:tcMar>
            <w:vAlign w:val="center"/>
          </w:tcPr>
          <w:p>
            <w:pPr>
              <w:pStyle w:val="47"/>
            </w:pPr>
            <w:r>
              <w:t>废活性炭</w:t>
            </w:r>
          </w:p>
        </w:tc>
        <w:tc>
          <w:tcPr>
            <w:tcW w:w="1159" w:type="pct"/>
            <w:tcMar>
              <w:left w:w="6" w:type="dxa"/>
              <w:right w:w="6" w:type="dxa"/>
            </w:tcMar>
            <w:vAlign w:val="center"/>
          </w:tcPr>
          <w:p>
            <w:pPr>
              <w:pStyle w:val="47"/>
            </w:pPr>
            <w:r>
              <w:rPr>
                <w:rFonts w:hint="eastAsia"/>
              </w:rPr>
              <w:t>3.173t/a</w:t>
            </w:r>
          </w:p>
        </w:tc>
        <w:tc>
          <w:tcPr>
            <w:tcW w:w="1121" w:type="pct"/>
            <w:tcBorders>
              <w:right w:val="single" w:color="auto" w:sz="12" w:space="0"/>
            </w:tcBorders>
            <w:tcMar>
              <w:left w:w="6" w:type="dxa"/>
              <w:right w:w="6" w:type="dxa"/>
            </w:tcMar>
            <w:vAlign w:val="center"/>
          </w:tcPr>
          <w:p>
            <w:pPr>
              <w:pStyle w:val="47"/>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07" w:type="pct"/>
            <w:vMerge w:val="continue"/>
            <w:tcBorders>
              <w:left w:val="single" w:color="auto" w:sz="12" w:space="0"/>
            </w:tcBorders>
            <w:tcMar>
              <w:left w:w="6" w:type="dxa"/>
              <w:right w:w="6" w:type="dxa"/>
            </w:tcMar>
            <w:vAlign w:val="center"/>
          </w:tcPr>
          <w:p>
            <w:pPr>
              <w:spacing w:line="240" w:lineRule="auto"/>
              <w:ind w:firstLine="0" w:firstLineChars="0"/>
              <w:jc w:val="center"/>
              <w:rPr>
                <w:b/>
                <w:szCs w:val="24"/>
              </w:rPr>
            </w:pPr>
          </w:p>
        </w:tc>
        <w:tc>
          <w:tcPr>
            <w:tcW w:w="1119" w:type="pct"/>
            <w:tcMar>
              <w:left w:w="6" w:type="dxa"/>
              <w:right w:w="6" w:type="dxa"/>
            </w:tcMar>
            <w:vAlign w:val="center"/>
          </w:tcPr>
          <w:p>
            <w:pPr>
              <w:pStyle w:val="47"/>
            </w:pPr>
            <w:r>
              <w:rPr>
                <w:rFonts w:hint="eastAsia"/>
              </w:rPr>
              <w:t>绝缘漆使用</w:t>
            </w:r>
          </w:p>
        </w:tc>
        <w:tc>
          <w:tcPr>
            <w:tcW w:w="1192" w:type="pct"/>
            <w:gridSpan w:val="2"/>
            <w:tcMar>
              <w:left w:w="6" w:type="dxa"/>
              <w:right w:w="6" w:type="dxa"/>
            </w:tcMar>
            <w:vAlign w:val="center"/>
          </w:tcPr>
          <w:p>
            <w:pPr>
              <w:pStyle w:val="47"/>
            </w:pPr>
            <w:r>
              <w:rPr>
                <w:rFonts w:hint="eastAsia"/>
              </w:rPr>
              <w:t>含漆废抹布和手套</w:t>
            </w:r>
          </w:p>
        </w:tc>
        <w:tc>
          <w:tcPr>
            <w:tcW w:w="1159" w:type="pct"/>
            <w:tcMar>
              <w:left w:w="6" w:type="dxa"/>
              <w:right w:w="6" w:type="dxa"/>
            </w:tcMar>
            <w:vAlign w:val="center"/>
          </w:tcPr>
          <w:p>
            <w:pPr>
              <w:pStyle w:val="47"/>
            </w:pPr>
            <w:r>
              <w:rPr>
                <w:rFonts w:hint="eastAsia"/>
              </w:rPr>
              <w:t>0.01t/a</w:t>
            </w:r>
          </w:p>
        </w:tc>
        <w:tc>
          <w:tcPr>
            <w:tcW w:w="1121" w:type="pct"/>
            <w:tcBorders>
              <w:right w:val="single" w:color="auto" w:sz="12" w:space="0"/>
            </w:tcBorders>
            <w:tcMar>
              <w:left w:w="6" w:type="dxa"/>
              <w:right w:w="6" w:type="dxa"/>
            </w:tcMar>
            <w:vAlign w:val="center"/>
          </w:tcPr>
          <w:p>
            <w:pPr>
              <w:pStyle w:val="47"/>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07" w:type="pct"/>
            <w:vMerge w:val="continue"/>
            <w:tcBorders>
              <w:left w:val="single" w:color="auto" w:sz="12" w:space="0"/>
            </w:tcBorders>
            <w:tcMar>
              <w:left w:w="6" w:type="dxa"/>
              <w:right w:w="6" w:type="dxa"/>
            </w:tcMar>
            <w:vAlign w:val="center"/>
          </w:tcPr>
          <w:p>
            <w:pPr>
              <w:spacing w:line="240" w:lineRule="auto"/>
              <w:ind w:firstLine="0" w:firstLineChars="0"/>
              <w:jc w:val="center"/>
              <w:rPr>
                <w:b/>
                <w:szCs w:val="24"/>
              </w:rPr>
            </w:pPr>
          </w:p>
        </w:tc>
        <w:tc>
          <w:tcPr>
            <w:tcW w:w="1119" w:type="pct"/>
            <w:tcMar>
              <w:left w:w="6" w:type="dxa"/>
              <w:right w:w="6" w:type="dxa"/>
            </w:tcMar>
            <w:vAlign w:val="center"/>
          </w:tcPr>
          <w:p>
            <w:pPr>
              <w:pStyle w:val="47"/>
            </w:pPr>
            <w:r>
              <w:rPr>
                <w:rFonts w:hint="eastAsia"/>
              </w:rPr>
              <w:t>设备保养</w:t>
            </w:r>
          </w:p>
        </w:tc>
        <w:tc>
          <w:tcPr>
            <w:tcW w:w="1192" w:type="pct"/>
            <w:gridSpan w:val="2"/>
            <w:tcMar>
              <w:left w:w="6" w:type="dxa"/>
              <w:right w:w="6" w:type="dxa"/>
            </w:tcMar>
            <w:vAlign w:val="center"/>
          </w:tcPr>
          <w:p>
            <w:pPr>
              <w:pStyle w:val="47"/>
            </w:pPr>
            <w:r>
              <w:rPr>
                <w:rFonts w:hint="eastAsia"/>
              </w:rPr>
              <w:t>含油废抹布和手套</w:t>
            </w:r>
          </w:p>
        </w:tc>
        <w:tc>
          <w:tcPr>
            <w:tcW w:w="1159" w:type="pct"/>
            <w:tcMar>
              <w:left w:w="6" w:type="dxa"/>
              <w:right w:w="6" w:type="dxa"/>
            </w:tcMar>
            <w:vAlign w:val="center"/>
          </w:tcPr>
          <w:p>
            <w:pPr>
              <w:pStyle w:val="47"/>
            </w:pPr>
            <w:r>
              <w:t>0.</w:t>
            </w:r>
            <w:r>
              <w:rPr>
                <w:rFonts w:hint="eastAsia"/>
              </w:rPr>
              <w:t>002t/a</w:t>
            </w:r>
          </w:p>
        </w:tc>
        <w:tc>
          <w:tcPr>
            <w:tcW w:w="1121" w:type="pct"/>
            <w:tcBorders>
              <w:right w:val="single" w:color="auto" w:sz="12" w:space="0"/>
            </w:tcBorders>
            <w:tcMar>
              <w:left w:w="6" w:type="dxa"/>
              <w:right w:w="6" w:type="dxa"/>
            </w:tcMar>
            <w:vAlign w:val="center"/>
          </w:tcPr>
          <w:p>
            <w:pPr>
              <w:pStyle w:val="47"/>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07" w:type="pct"/>
            <w:vMerge w:val="continue"/>
            <w:tcBorders>
              <w:left w:val="single" w:color="auto" w:sz="12" w:space="0"/>
            </w:tcBorders>
            <w:tcMar>
              <w:left w:w="6" w:type="dxa"/>
              <w:right w:w="6" w:type="dxa"/>
            </w:tcMar>
            <w:vAlign w:val="center"/>
          </w:tcPr>
          <w:p>
            <w:pPr>
              <w:spacing w:line="240" w:lineRule="auto"/>
              <w:ind w:firstLine="0" w:firstLineChars="0"/>
              <w:jc w:val="center"/>
              <w:rPr>
                <w:b/>
                <w:szCs w:val="24"/>
              </w:rPr>
            </w:pPr>
          </w:p>
        </w:tc>
        <w:tc>
          <w:tcPr>
            <w:tcW w:w="1119" w:type="pct"/>
            <w:tcMar>
              <w:left w:w="6" w:type="dxa"/>
              <w:right w:w="6" w:type="dxa"/>
            </w:tcMar>
            <w:vAlign w:val="center"/>
          </w:tcPr>
          <w:p>
            <w:pPr>
              <w:pStyle w:val="47"/>
            </w:pPr>
            <w:r>
              <w:t>职工生活</w:t>
            </w:r>
          </w:p>
        </w:tc>
        <w:tc>
          <w:tcPr>
            <w:tcW w:w="1192" w:type="pct"/>
            <w:gridSpan w:val="2"/>
            <w:tcMar>
              <w:left w:w="6" w:type="dxa"/>
              <w:right w:w="6" w:type="dxa"/>
            </w:tcMar>
            <w:vAlign w:val="center"/>
          </w:tcPr>
          <w:p>
            <w:pPr>
              <w:pStyle w:val="47"/>
            </w:pPr>
            <w:r>
              <w:t>生活垃圾</w:t>
            </w:r>
          </w:p>
        </w:tc>
        <w:tc>
          <w:tcPr>
            <w:tcW w:w="1159" w:type="pct"/>
            <w:tcMar>
              <w:left w:w="6" w:type="dxa"/>
              <w:right w:w="6" w:type="dxa"/>
            </w:tcMar>
            <w:vAlign w:val="center"/>
          </w:tcPr>
          <w:p>
            <w:pPr>
              <w:pStyle w:val="47"/>
            </w:pPr>
            <w:r>
              <w:t>9.0</w:t>
            </w:r>
            <w:r>
              <w:rPr>
                <w:rFonts w:hint="eastAsia"/>
              </w:rPr>
              <w:t>t/a</w:t>
            </w:r>
          </w:p>
        </w:tc>
        <w:tc>
          <w:tcPr>
            <w:tcW w:w="1121" w:type="pct"/>
            <w:tcBorders>
              <w:right w:val="single" w:color="auto" w:sz="12" w:space="0"/>
            </w:tcBorders>
            <w:tcMar>
              <w:left w:w="6" w:type="dxa"/>
              <w:right w:w="6" w:type="dxa"/>
            </w:tcMar>
            <w:vAlign w:val="center"/>
          </w:tcPr>
          <w:p>
            <w:pPr>
              <w:pStyle w:val="47"/>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07" w:type="pct"/>
            <w:tcBorders>
              <w:left w:val="single" w:color="auto" w:sz="12" w:space="0"/>
            </w:tcBorders>
            <w:tcMar>
              <w:left w:w="6" w:type="dxa"/>
              <w:right w:w="6" w:type="dxa"/>
            </w:tcMar>
            <w:vAlign w:val="center"/>
          </w:tcPr>
          <w:p>
            <w:pPr>
              <w:spacing w:line="240" w:lineRule="auto"/>
              <w:ind w:firstLine="0" w:firstLineChars="0"/>
              <w:jc w:val="center"/>
              <w:rPr>
                <w:b/>
                <w:szCs w:val="24"/>
              </w:rPr>
            </w:pPr>
            <w:r>
              <w:rPr>
                <w:b/>
                <w:szCs w:val="24"/>
              </w:rPr>
              <w:t>噪</w:t>
            </w:r>
          </w:p>
          <w:p>
            <w:pPr>
              <w:spacing w:line="240" w:lineRule="auto"/>
              <w:ind w:firstLine="0" w:firstLineChars="0"/>
              <w:jc w:val="center"/>
              <w:rPr>
                <w:b/>
                <w:szCs w:val="24"/>
              </w:rPr>
            </w:pPr>
            <w:r>
              <w:rPr>
                <w:b/>
                <w:szCs w:val="24"/>
              </w:rPr>
              <w:t>声</w:t>
            </w:r>
          </w:p>
        </w:tc>
        <w:tc>
          <w:tcPr>
            <w:tcW w:w="2311" w:type="pct"/>
            <w:gridSpan w:val="3"/>
            <w:tcMar>
              <w:left w:w="6" w:type="dxa"/>
              <w:right w:w="6" w:type="dxa"/>
            </w:tcMar>
            <w:vAlign w:val="center"/>
          </w:tcPr>
          <w:p>
            <w:pPr>
              <w:pStyle w:val="47"/>
              <w:jc w:val="both"/>
            </w:pPr>
            <w:r>
              <w:t>加工中心、炮塔铣床、6140车床、</w:t>
            </w:r>
            <w:r>
              <w:rPr>
                <w:rFonts w:hint="eastAsia"/>
              </w:rPr>
              <w:t>平面组合铣床</w:t>
            </w:r>
            <w:r>
              <w:t>、数控车床、平面磨床、锯床、MIG焊机、交流氩弧焊机</w:t>
            </w:r>
            <w:r>
              <w:rPr>
                <w:rFonts w:hint="eastAsia"/>
              </w:rPr>
              <w:t>、真空含浸机、电热烘箱</w:t>
            </w:r>
            <w:r>
              <w:t>等设备</w:t>
            </w:r>
          </w:p>
        </w:tc>
        <w:tc>
          <w:tcPr>
            <w:tcW w:w="1159" w:type="pct"/>
            <w:tcMar>
              <w:left w:w="6" w:type="dxa"/>
              <w:right w:w="6" w:type="dxa"/>
            </w:tcMar>
            <w:vAlign w:val="center"/>
          </w:tcPr>
          <w:p>
            <w:pPr>
              <w:pStyle w:val="47"/>
            </w:pPr>
            <w:r>
              <w:rPr>
                <w:rFonts w:hint="eastAsia"/>
              </w:rPr>
              <w:t>60</w:t>
            </w:r>
            <w:r>
              <w:t>~</w:t>
            </w:r>
            <w:r>
              <w:rPr>
                <w:rFonts w:hint="eastAsia"/>
              </w:rPr>
              <w:t>85</w:t>
            </w:r>
            <w:r>
              <w:t>dB(A)</w:t>
            </w:r>
          </w:p>
        </w:tc>
        <w:tc>
          <w:tcPr>
            <w:tcW w:w="1121" w:type="pct"/>
            <w:tcBorders>
              <w:right w:val="single" w:color="auto" w:sz="12" w:space="0"/>
            </w:tcBorders>
            <w:tcMar>
              <w:left w:w="6" w:type="dxa"/>
              <w:right w:w="6" w:type="dxa"/>
            </w:tcMar>
            <w:vAlign w:val="center"/>
          </w:tcPr>
          <w:p>
            <w:pPr>
              <w:pStyle w:val="47"/>
            </w:pPr>
            <w:r>
              <w:t>厂界噪声达标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07" w:type="pct"/>
            <w:tcBorders>
              <w:left w:val="single" w:color="auto" w:sz="12" w:space="0"/>
              <w:bottom w:val="single" w:color="auto" w:sz="12" w:space="0"/>
            </w:tcBorders>
            <w:tcMar>
              <w:left w:w="6" w:type="dxa"/>
              <w:right w:w="6" w:type="dxa"/>
            </w:tcMar>
            <w:vAlign w:val="center"/>
          </w:tcPr>
          <w:p>
            <w:pPr>
              <w:spacing w:line="240" w:lineRule="auto"/>
              <w:ind w:firstLine="0" w:firstLineChars="0"/>
              <w:jc w:val="center"/>
              <w:rPr>
                <w:b/>
                <w:szCs w:val="24"/>
              </w:rPr>
            </w:pPr>
            <w:r>
              <w:rPr>
                <w:b/>
                <w:szCs w:val="24"/>
              </w:rPr>
              <w:t>其他</w:t>
            </w:r>
          </w:p>
        </w:tc>
        <w:tc>
          <w:tcPr>
            <w:tcW w:w="4592" w:type="pct"/>
            <w:gridSpan w:val="5"/>
            <w:tcBorders>
              <w:bottom w:val="single" w:color="auto" w:sz="12" w:space="0"/>
              <w:right w:val="single" w:color="auto" w:sz="12" w:space="0"/>
            </w:tcBorders>
            <w:tcMar>
              <w:left w:w="6" w:type="dxa"/>
              <w:right w:w="6" w:type="dxa"/>
            </w:tcMar>
            <w:vAlign w:val="center"/>
          </w:tcPr>
          <w:p>
            <w:pPr>
              <w:pStyle w:val="47"/>
              <w:rPr>
                <w:szCs w:val="21"/>
              </w:rPr>
            </w:pPr>
            <w: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00" w:type="pct"/>
            <w:gridSpan w:val="6"/>
            <w:tcBorders>
              <w:top w:val="single" w:color="auto" w:sz="12" w:space="0"/>
              <w:left w:val="single" w:color="auto" w:sz="12" w:space="0"/>
              <w:bottom w:val="single" w:color="auto" w:sz="12" w:space="0"/>
              <w:right w:val="single" w:color="auto" w:sz="12" w:space="0"/>
            </w:tcBorders>
            <w:tcMar>
              <w:left w:w="6" w:type="dxa"/>
              <w:right w:w="6" w:type="dxa"/>
            </w:tcMar>
          </w:tcPr>
          <w:p>
            <w:pPr>
              <w:ind w:firstLine="0" w:firstLineChars="0"/>
              <w:rPr>
                <w:b/>
              </w:rPr>
            </w:pPr>
            <w:r>
              <w:rPr>
                <w:b/>
              </w:rPr>
              <w:t>主要生态影响：</w:t>
            </w:r>
          </w:p>
          <w:p>
            <w:pPr>
              <w:ind w:firstLine="480"/>
            </w:pPr>
            <w:r>
              <w:rPr>
                <w:rFonts w:hint="eastAsia"/>
              </w:rPr>
              <w:t>本项目在已建成厂房进行生产，所在地已是人工生态环境系统，企业周围人为活动频繁，周边环境中无发现珍稀野生动、植物等，在达标排放情况下，项目建设投产对生态环境影响较小</w:t>
            </w:r>
            <w:r>
              <w:t>。</w:t>
            </w:r>
          </w:p>
          <w:p>
            <w:pPr>
              <w:pStyle w:val="2"/>
              <w:ind w:left="480" w:firstLine="400"/>
            </w:pPr>
          </w:p>
          <w:p>
            <w:pPr>
              <w:tabs>
                <w:tab w:val="left" w:pos="5940"/>
              </w:tabs>
              <w:ind w:firstLine="0" w:firstLineChars="0"/>
            </w:pPr>
          </w:p>
          <w:p>
            <w:pPr>
              <w:tabs>
                <w:tab w:val="left" w:pos="5940"/>
              </w:tabs>
              <w:ind w:firstLine="0" w:firstLineChars="0"/>
            </w:pPr>
            <w:r>
              <w:tab/>
            </w:r>
          </w:p>
        </w:tc>
      </w:tr>
    </w:tbl>
    <w:p>
      <w:pPr>
        <w:pStyle w:val="4"/>
      </w:pPr>
      <w:bookmarkStart w:id="145" w:name="_Toc25002"/>
      <w:bookmarkStart w:id="146" w:name="_Toc29388587"/>
      <w:bookmarkStart w:id="147" w:name="_Toc29380636"/>
      <w:r>
        <w:t>7、环境影响分析</w:t>
      </w:r>
      <w:bookmarkEnd w:id="145"/>
      <w:bookmarkEnd w:id="146"/>
      <w:bookmarkEnd w:id="147"/>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744" w:hRule="atLeast"/>
          <w:jc w:val="center"/>
        </w:trPr>
        <w:tc>
          <w:tcPr>
            <w:tcW w:w="5000" w:type="pct"/>
            <w:tcBorders>
              <w:top w:val="single" w:color="auto" w:sz="12" w:space="0"/>
              <w:left w:val="single" w:color="auto" w:sz="12" w:space="0"/>
              <w:right w:val="single" w:color="auto" w:sz="12" w:space="0"/>
            </w:tcBorders>
          </w:tcPr>
          <w:p>
            <w:pPr>
              <w:pStyle w:val="5"/>
            </w:pPr>
            <w:bookmarkStart w:id="148" w:name="_Toc29388588"/>
            <w:bookmarkStart w:id="149" w:name="_Toc29380637"/>
            <w:r>
              <w:t>7.1施工期环境影响简要分析：</w:t>
            </w:r>
            <w:bookmarkEnd w:id="148"/>
            <w:bookmarkEnd w:id="149"/>
          </w:p>
          <w:p>
            <w:pPr>
              <w:widowControl/>
              <w:ind w:firstLine="480"/>
              <w:jc w:val="left"/>
            </w:pPr>
            <w:bookmarkStart w:id="150" w:name="_Toc29388589"/>
            <w:bookmarkStart w:id="151" w:name="_Toc29380638"/>
            <w:r>
              <w:t>本项目</w:t>
            </w:r>
            <w:r>
              <w:rPr>
                <w:rFonts w:hint="eastAsia"/>
              </w:rPr>
              <w:t>为新建项目，企业购置现有</w:t>
            </w:r>
            <w:r>
              <w:t>厂房</w:t>
            </w:r>
            <w:r>
              <w:rPr>
                <w:rFonts w:hint="eastAsia"/>
              </w:rPr>
              <w:t>后购置、安装设备进行项目建设</w:t>
            </w:r>
            <w:r>
              <w:t>，</w:t>
            </w:r>
            <w:r>
              <w:rPr>
                <w:rFonts w:hint="eastAsia"/>
              </w:rPr>
              <w:t>不涉及土建施工，施工期仅进行简单的设备安装，因此施工期主要污染因子为设备安装时产生的噪声，经厂区厂房隔声后对周围环境影响不大，且影响多为短暂性瞬时噪声，随着施工期的结束，影响也会随之消失。</w:t>
            </w:r>
          </w:p>
          <w:p>
            <w:pPr>
              <w:pStyle w:val="5"/>
            </w:pPr>
            <w:r>
              <w:t>7.2营运期环境影响分析：</w:t>
            </w:r>
            <w:bookmarkEnd w:id="150"/>
            <w:bookmarkEnd w:id="151"/>
          </w:p>
          <w:p>
            <w:pPr>
              <w:pStyle w:val="6"/>
            </w:pPr>
            <w:bookmarkStart w:id="152" w:name="_Toc29380639"/>
            <w:bookmarkStart w:id="153" w:name="_Toc29388590"/>
            <w:r>
              <w:t>7.2.1地表水环境影响分析</w:t>
            </w:r>
            <w:bookmarkEnd w:id="152"/>
            <w:bookmarkEnd w:id="153"/>
          </w:p>
          <w:p>
            <w:pPr>
              <w:pStyle w:val="6"/>
            </w:pPr>
            <w:r>
              <w:t>7.2.1.1废水产生及排放情况</w:t>
            </w:r>
          </w:p>
          <w:p>
            <w:pPr>
              <w:ind w:firstLine="480"/>
            </w:pPr>
            <w:r>
              <w:t>本项目</w:t>
            </w:r>
            <w:r>
              <w:rPr>
                <w:rFonts w:hint="eastAsia"/>
              </w:rPr>
              <w:t>实施后打磨废水经沉淀后上清液循环使用，定期补充损耗，不外排。本项目不排放生产废水，</w:t>
            </w:r>
            <w:r>
              <w:t>仅排放生活废水</w:t>
            </w:r>
            <w:r>
              <w:rPr>
                <w:rFonts w:hint="eastAsia"/>
              </w:rPr>
              <w:t>，生活废水主要来源于职工生活污水，</w:t>
            </w:r>
            <w:r>
              <w:t>经化粪池预处理达到《污水综合排放标准》</w:t>
            </w:r>
            <w:r>
              <w:rPr>
                <w:rFonts w:hint="eastAsia"/>
              </w:rPr>
              <w:t>（</w:t>
            </w:r>
            <w:r>
              <w:t>GB8978-1996</w:t>
            </w:r>
            <w:r>
              <w:rPr>
                <w:rFonts w:hint="eastAsia"/>
              </w:rPr>
              <w:t>）表4中</w:t>
            </w:r>
            <w:r>
              <w:t>三级标准及《工业企业废水氮、磷污染物间接排放限值》（DB33/887-2013）中相关规定后，纳入区域污水收集管网，最终经桐乡市城市污水处理有限责任公司崇福污水处理厂统一处理达到《城镇污水处理厂污染物排放标准》（GB18918－2002）表1中一级A标准后排入钱塘江。本项目实施后企业废水类别、污染物及污染治理设施信息见表7-1，废水间接排放口基本情况见表7-2。</w:t>
            </w:r>
          </w:p>
          <w:p>
            <w:pPr>
              <w:pStyle w:val="46"/>
            </w:pPr>
            <w:r>
              <w:t>表7-1  废水类别、污染物及污染治理设施信息表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2"/>
              <w:gridCol w:w="587"/>
              <w:gridCol w:w="641"/>
              <w:gridCol w:w="994"/>
              <w:gridCol w:w="1215"/>
              <w:gridCol w:w="540"/>
              <w:gridCol w:w="615"/>
              <w:gridCol w:w="585"/>
              <w:gridCol w:w="745"/>
              <w:gridCol w:w="861"/>
              <w:gridCol w:w="1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 w:type="dxa"/>
                  <w:vMerge w:val="restart"/>
                  <w:tcMar>
                    <w:left w:w="57" w:type="dxa"/>
                    <w:right w:w="57" w:type="dxa"/>
                  </w:tcMar>
                  <w:vAlign w:val="center"/>
                </w:tcPr>
                <w:p>
                  <w:pPr>
                    <w:pStyle w:val="49"/>
                    <w:rPr>
                      <w:b/>
                      <w:bCs/>
                    </w:rPr>
                  </w:pPr>
                  <w:r>
                    <w:rPr>
                      <w:b/>
                      <w:bCs/>
                    </w:rPr>
                    <w:t>序号</w:t>
                  </w:r>
                </w:p>
              </w:tc>
              <w:tc>
                <w:tcPr>
                  <w:tcW w:w="587" w:type="dxa"/>
                  <w:vMerge w:val="restart"/>
                  <w:tcMar>
                    <w:left w:w="57" w:type="dxa"/>
                    <w:right w:w="57" w:type="dxa"/>
                  </w:tcMar>
                  <w:vAlign w:val="center"/>
                </w:tcPr>
                <w:p>
                  <w:pPr>
                    <w:pStyle w:val="49"/>
                    <w:rPr>
                      <w:b/>
                      <w:bCs/>
                    </w:rPr>
                  </w:pPr>
                  <w:r>
                    <w:rPr>
                      <w:b/>
                      <w:bCs/>
                    </w:rPr>
                    <w:t>废水</w:t>
                  </w:r>
                </w:p>
                <w:p>
                  <w:pPr>
                    <w:pStyle w:val="49"/>
                    <w:rPr>
                      <w:b/>
                      <w:bCs/>
                    </w:rPr>
                  </w:pPr>
                  <w:r>
                    <w:rPr>
                      <w:b/>
                      <w:bCs/>
                    </w:rPr>
                    <w:t>类别</w:t>
                  </w:r>
                </w:p>
              </w:tc>
              <w:tc>
                <w:tcPr>
                  <w:tcW w:w="641" w:type="dxa"/>
                  <w:vMerge w:val="restart"/>
                  <w:tcMar>
                    <w:left w:w="57" w:type="dxa"/>
                    <w:right w:w="57" w:type="dxa"/>
                  </w:tcMar>
                  <w:vAlign w:val="center"/>
                </w:tcPr>
                <w:p>
                  <w:pPr>
                    <w:pStyle w:val="49"/>
                    <w:rPr>
                      <w:b/>
                      <w:bCs/>
                    </w:rPr>
                  </w:pPr>
                  <w:r>
                    <w:rPr>
                      <w:b/>
                      <w:bCs/>
                    </w:rPr>
                    <w:t>污染物种类</w:t>
                  </w:r>
                </w:p>
              </w:tc>
              <w:tc>
                <w:tcPr>
                  <w:tcW w:w="994" w:type="dxa"/>
                  <w:vMerge w:val="restart"/>
                  <w:tcMar>
                    <w:left w:w="57" w:type="dxa"/>
                    <w:right w:w="57" w:type="dxa"/>
                  </w:tcMar>
                  <w:vAlign w:val="center"/>
                </w:tcPr>
                <w:p>
                  <w:pPr>
                    <w:pStyle w:val="49"/>
                    <w:rPr>
                      <w:b/>
                      <w:bCs/>
                    </w:rPr>
                  </w:pPr>
                  <w:r>
                    <w:rPr>
                      <w:b/>
                      <w:bCs/>
                    </w:rPr>
                    <w:t>排放</w:t>
                  </w:r>
                </w:p>
                <w:p>
                  <w:pPr>
                    <w:pStyle w:val="49"/>
                    <w:rPr>
                      <w:b/>
                      <w:bCs/>
                    </w:rPr>
                  </w:pPr>
                  <w:r>
                    <w:rPr>
                      <w:b/>
                      <w:bCs/>
                    </w:rPr>
                    <w:t>去向</w:t>
                  </w:r>
                </w:p>
              </w:tc>
              <w:tc>
                <w:tcPr>
                  <w:tcW w:w="1215" w:type="dxa"/>
                  <w:vMerge w:val="restart"/>
                  <w:tcMar>
                    <w:left w:w="57" w:type="dxa"/>
                    <w:right w:w="57" w:type="dxa"/>
                  </w:tcMar>
                  <w:vAlign w:val="center"/>
                </w:tcPr>
                <w:p>
                  <w:pPr>
                    <w:pStyle w:val="49"/>
                    <w:rPr>
                      <w:b/>
                      <w:bCs/>
                    </w:rPr>
                  </w:pPr>
                  <w:r>
                    <w:rPr>
                      <w:b/>
                      <w:bCs/>
                    </w:rPr>
                    <w:t>排放规律</w:t>
                  </w:r>
                </w:p>
              </w:tc>
              <w:tc>
                <w:tcPr>
                  <w:tcW w:w="1740" w:type="dxa"/>
                  <w:gridSpan w:val="3"/>
                  <w:tcMar>
                    <w:left w:w="57" w:type="dxa"/>
                    <w:right w:w="57" w:type="dxa"/>
                  </w:tcMar>
                  <w:vAlign w:val="center"/>
                </w:tcPr>
                <w:p>
                  <w:pPr>
                    <w:pStyle w:val="49"/>
                    <w:rPr>
                      <w:b/>
                      <w:bCs/>
                    </w:rPr>
                  </w:pPr>
                  <w:r>
                    <w:rPr>
                      <w:b/>
                      <w:bCs/>
                    </w:rPr>
                    <w:t>污染治理设施</w:t>
                  </w:r>
                </w:p>
              </w:tc>
              <w:tc>
                <w:tcPr>
                  <w:tcW w:w="745" w:type="dxa"/>
                  <w:vMerge w:val="restart"/>
                  <w:tcMar>
                    <w:left w:w="57" w:type="dxa"/>
                    <w:right w:w="57" w:type="dxa"/>
                  </w:tcMar>
                  <w:vAlign w:val="center"/>
                </w:tcPr>
                <w:p>
                  <w:pPr>
                    <w:pStyle w:val="49"/>
                    <w:rPr>
                      <w:b/>
                      <w:bCs/>
                    </w:rPr>
                  </w:pPr>
                  <w:r>
                    <w:rPr>
                      <w:b/>
                      <w:bCs/>
                    </w:rPr>
                    <w:t>排放口</w:t>
                  </w:r>
                </w:p>
                <w:p>
                  <w:pPr>
                    <w:pStyle w:val="49"/>
                    <w:rPr>
                      <w:b/>
                      <w:bCs/>
                    </w:rPr>
                  </w:pPr>
                  <w:r>
                    <w:rPr>
                      <w:b/>
                      <w:bCs/>
                    </w:rPr>
                    <w:t>编号</w:t>
                  </w:r>
                </w:p>
              </w:tc>
              <w:tc>
                <w:tcPr>
                  <w:tcW w:w="861" w:type="dxa"/>
                  <w:vMerge w:val="restart"/>
                  <w:tcMar>
                    <w:left w:w="57" w:type="dxa"/>
                    <w:right w:w="57" w:type="dxa"/>
                  </w:tcMar>
                  <w:vAlign w:val="center"/>
                </w:tcPr>
                <w:p>
                  <w:pPr>
                    <w:pStyle w:val="49"/>
                    <w:rPr>
                      <w:b/>
                      <w:bCs/>
                    </w:rPr>
                  </w:pPr>
                  <w:r>
                    <w:rPr>
                      <w:b/>
                      <w:bCs/>
                    </w:rPr>
                    <w:t>排放口设置是否符合要求</w:t>
                  </w:r>
                </w:p>
              </w:tc>
              <w:tc>
                <w:tcPr>
                  <w:tcW w:w="1575" w:type="dxa"/>
                  <w:vMerge w:val="restart"/>
                  <w:tcMar>
                    <w:left w:w="57" w:type="dxa"/>
                    <w:right w:w="57" w:type="dxa"/>
                  </w:tcMar>
                  <w:vAlign w:val="center"/>
                </w:tcPr>
                <w:p>
                  <w:pPr>
                    <w:pStyle w:val="49"/>
                    <w:rPr>
                      <w:b/>
                      <w:bCs/>
                    </w:rPr>
                  </w:pPr>
                  <w:r>
                    <w:rPr>
                      <w:b/>
                      <w:bCs/>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 w:type="dxa"/>
                  <w:vMerge w:val="continue"/>
                  <w:tcMar>
                    <w:left w:w="57" w:type="dxa"/>
                    <w:right w:w="57" w:type="dxa"/>
                  </w:tcMar>
                  <w:vAlign w:val="center"/>
                </w:tcPr>
                <w:p>
                  <w:pPr>
                    <w:pStyle w:val="49"/>
                  </w:pPr>
                </w:p>
              </w:tc>
              <w:tc>
                <w:tcPr>
                  <w:tcW w:w="587" w:type="dxa"/>
                  <w:vMerge w:val="continue"/>
                  <w:tcMar>
                    <w:left w:w="57" w:type="dxa"/>
                    <w:right w:w="57" w:type="dxa"/>
                  </w:tcMar>
                  <w:vAlign w:val="center"/>
                </w:tcPr>
                <w:p>
                  <w:pPr>
                    <w:pStyle w:val="49"/>
                  </w:pPr>
                </w:p>
              </w:tc>
              <w:tc>
                <w:tcPr>
                  <w:tcW w:w="641" w:type="dxa"/>
                  <w:vMerge w:val="continue"/>
                  <w:tcMar>
                    <w:left w:w="57" w:type="dxa"/>
                    <w:right w:w="57" w:type="dxa"/>
                  </w:tcMar>
                  <w:vAlign w:val="center"/>
                </w:tcPr>
                <w:p>
                  <w:pPr>
                    <w:pStyle w:val="49"/>
                  </w:pPr>
                </w:p>
              </w:tc>
              <w:tc>
                <w:tcPr>
                  <w:tcW w:w="994" w:type="dxa"/>
                  <w:vMerge w:val="continue"/>
                  <w:tcMar>
                    <w:left w:w="57" w:type="dxa"/>
                    <w:right w:w="57" w:type="dxa"/>
                  </w:tcMar>
                  <w:vAlign w:val="center"/>
                </w:tcPr>
                <w:p>
                  <w:pPr>
                    <w:pStyle w:val="49"/>
                  </w:pPr>
                </w:p>
              </w:tc>
              <w:tc>
                <w:tcPr>
                  <w:tcW w:w="1215" w:type="dxa"/>
                  <w:vMerge w:val="continue"/>
                  <w:tcMar>
                    <w:left w:w="57" w:type="dxa"/>
                    <w:right w:w="57" w:type="dxa"/>
                  </w:tcMar>
                  <w:vAlign w:val="center"/>
                </w:tcPr>
                <w:p>
                  <w:pPr>
                    <w:pStyle w:val="49"/>
                  </w:pPr>
                </w:p>
              </w:tc>
              <w:tc>
                <w:tcPr>
                  <w:tcW w:w="540" w:type="dxa"/>
                  <w:tcMar>
                    <w:left w:w="57" w:type="dxa"/>
                    <w:right w:w="57" w:type="dxa"/>
                  </w:tcMar>
                  <w:vAlign w:val="center"/>
                </w:tcPr>
                <w:p>
                  <w:pPr>
                    <w:pStyle w:val="49"/>
                    <w:rPr>
                      <w:b/>
                      <w:bCs/>
                    </w:rPr>
                  </w:pPr>
                  <w:r>
                    <w:rPr>
                      <w:b/>
                      <w:bCs/>
                    </w:rPr>
                    <w:t>编号</w:t>
                  </w:r>
                </w:p>
              </w:tc>
              <w:tc>
                <w:tcPr>
                  <w:tcW w:w="615" w:type="dxa"/>
                  <w:tcMar>
                    <w:left w:w="57" w:type="dxa"/>
                    <w:right w:w="57" w:type="dxa"/>
                  </w:tcMar>
                  <w:vAlign w:val="center"/>
                </w:tcPr>
                <w:p>
                  <w:pPr>
                    <w:pStyle w:val="49"/>
                    <w:rPr>
                      <w:b/>
                      <w:bCs/>
                    </w:rPr>
                  </w:pPr>
                  <w:r>
                    <w:rPr>
                      <w:b/>
                      <w:bCs/>
                    </w:rPr>
                    <w:t>名称</w:t>
                  </w:r>
                </w:p>
              </w:tc>
              <w:tc>
                <w:tcPr>
                  <w:tcW w:w="585" w:type="dxa"/>
                  <w:tcMar>
                    <w:left w:w="57" w:type="dxa"/>
                    <w:right w:w="57" w:type="dxa"/>
                  </w:tcMar>
                  <w:vAlign w:val="center"/>
                </w:tcPr>
                <w:p>
                  <w:pPr>
                    <w:pStyle w:val="49"/>
                    <w:rPr>
                      <w:b/>
                      <w:bCs/>
                    </w:rPr>
                  </w:pPr>
                  <w:r>
                    <w:rPr>
                      <w:b/>
                      <w:bCs/>
                    </w:rPr>
                    <w:t>工艺</w:t>
                  </w:r>
                </w:p>
              </w:tc>
              <w:tc>
                <w:tcPr>
                  <w:tcW w:w="745" w:type="dxa"/>
                  <w:vMerge w:val="continue"/>
                  <w:tcMar>
                    <w:left w:w="57" w:type="dxa"/>
                    <w:right w:w="57" w:type="dxa"/>
                  </w:tcMar>
                  <w:vAlign w:val="center"/>
                </w:tcPr>
                <w:p>
                  <w:pPr>
                    <w:pStyle w:val="49"/>
                  </w:pPr>
                </w:p>
              </w:tc>
              <w:tc>
                <w:tcPr>
                  <w:tcW w:w="861" w:type="dxa"/>
                  <w:vMerge w:val="continue"/>
                  <w:tcMar>
                    <w:left w:w="57" w:type="dxa"/>
                    <w:right w:w="57" w:type="dxa"/>
                  </w:tcMar>
                  <w:vAlign w:val="center"/>
                </w:tcPr>
                <w:p>
                  <w:pPr>
                    <w:pStyle w:val="49"/>
                  </w:pPr>
                </w:p>
              </w:tc>
              <w:tc>
                <w:tcPr>
                  <w:tcW w:w="1575" w:type="dxa"/>
                  <w:vMerge w:val="continue"/>
                  <w:tcMar>
                    <w:left w:w="57" w:type="dxa"/>
                    <w:right w:w="57" w:type="dxa"/>
                  </w:tcMar>
                  <w:vAlign w:val="center"/>
                </w:tcPr>
                <w:p>
                  <w:pPr>
                    <w:pStyle w:val="4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 w:type="dxa"/>
                  <w:tcMar>
                    <w:left w:w="57" w:type="dxa"/>
                    <w:right w:w="57" w:type="dxa"/>
                  </w:tcMar>
                  <w:vAlign w:val="center"/>
                </w:tcPr>
                <w:p>
                  <w:pPr>
                    <w:pStyle w:val="49"/>
                  </w:pPr>
                  <w:r>
                    <w:t>1</w:t>
                  </w:r>
                </w:p>
              </w:tc>
              <w:tc>
                <w:tcPr>
                  <w:tcW w:w="587" w:type="dxa"/>
                  <w:tcMar>
                    <w:left w:w="57" w:type="dxa"/>
                    <w:right w:w="57" w:type="dxa"/>
                  </w:tcMar>
                  <w:vAlign w:val="center"/>
                </w:tcPr>
                <w:p>
                  <w:pPr>
                    <w:pStyle w:val="49"/>
                  </w:pPr>
                  <w:r>
                    <w:t>生活</w:t>
                  </w:r>
                </w:p>
                <w:p>
                  <w:pPr>
                    <w:pStyle w:val="49"/>
                  </w:pPr>
                  <w:r>
                    <w:t>污水</w:t>
                  </w:r>
                </w:p>
              </w:tc>
              <w:tc>
                <w:tcPr>
                  <w:tcW w:w="641" w:type="dxa"/>
                  <w:tcMar>
                    <w:left w:w="57" w:type="dxa"/>
                    <w:right w:w="57" w:type="dxa"/>
                  </w:tcMar>
                  <w:vAlign w:val="center"/>
                </w:tcPr>
                <w:p>
                  <w:pPr>
                    <w:pStyle w:val="49"/>
                  </w:pPr>
                  <w:r>
                    <w:t>COD</w:t>
                  </w:r>
                  <w:r>
                    <w:rPr>
                      <w:vertAlign w:val="subscript"/>
                    </w:rPr>
                    <w:t>Cr</w:t>
                  </w:r>
                </w:p>
                <w:p>
                  <w:pPr>
                    <w:pStyle w:val="49"/>
                  </w:pPr>
                  <w:r>
                    <w:rPr>
                      <w:lang w:val="de-DE"/>
                    </w:rPr>
                    <w:t>NH</w:t>
                  </w:r>
                  <w:r>
                    <w:rPr>
                      <w:vertAlign w:val="subscript"/>
                      <w:lang w:val="de-DE"/>
                    </w:rPr>
                    <w:t>3</w:t>
                  </w:r>
                  <w:r>
                    <w:rPr>
                      <w:lang w:val="de-DE"/>
                    </w:rPr>
                    <w:t>-N</w:t>
                  </w:r>
                </w:p>
              </w:tc>
              <w:tc>
                <w:tcPr>
                  <w:tcW w:w="994" w:type="dxa"/>
                  <w:tcMar>
                    <w:left w:w="57" w:type="dxa"/>
                    <w:right w:w="57" w:type="dxa"/>
                  </w:tcMar>
                  <w:vAlign w:val="center"/>
                </w:tcPr>
                <w:p>
                  <w:pPr>
                    <w:pStyle w:val="49"/>
                  </w:pPr>
                  <w:r>
                    <w:t>桐乡市城市污水处理有限责任公司崇福污水处理厂</w:t>
                  </w:r>
                </w:p>
              </w:tc>
              <w:tc>
                <w:tcPr>
                  <w:tcW w:w="1215" w:type="dxa"/>
                  <w:tcMar>
                    <w:left w:w="57" w:type="dxa"/>
                    <w:right w:w="57" w:type="dxa"/>
                  </w:tcMar>
                  <w:vAlign w:val="center"/>
                </w:tcPr>
                <w:p>
                  <w:pPr>
                    <w:pStyle w:val="49"/>
                  </w:pPr>
                  <w:r>
                    <w:t>间断排放，排放期间流量不稳定且无规律，但不属于冲击型排放</w:t>
                  </w:r>
                </w:p>
              </w:tc>
              <w:tc>
                <w:tcPr>
                  <w:tcW w:w="540" w:type="dxa"/>
                  <w:tcMar>
                    <w:left w:w="57" w:type="dxa"/>
                    <w:right w:w="57" w:type="dxa"/>
                  </w:tcMar>
                  <w:vAlign w:val="center"/>
                </w:tcPr>
                <w:p>
                  <w:pPr>
                    <w:pStyle w:val="49"/>
                  </w:pPr>
                  <w:r>
                    <w:t>TW001</w:t>
                  </w:r>
                </w:p>
              </w:tc>
              <w:tc>
                <w:tcPr>
                  <w:tcW w:w="615" w:type="dxa"/>
                  <w:tcMar>
                    <w:left w:w="57" w:type="dxa"/>
                    <w:right w:w="57" w:type="dxa"/>
                  </w:tcMar>
                  <w:vAlign w:val="center"/>
                </w:tcPr>
                <w:p>
                  <w:pPr>
                    <w:pStyle w:val="49"/>
                  </w:pPr>
                  <w:r>
                    <w:t>生活污水处理系统</w:t>
                  </w:r>
                </w:p>
              </w:tc>
              <w:tc>
                <w:tcPr>
                  <w:tcW w:w="585" w:type="dxa"/>
                  <w:tcMar>
                    <w:left w:w="57" w:type="dxa"/>
                    <w:right w:w="57" w:type="dxa"/>
                  </w:tcMar>
                  <w:vAlign w:val="center"/>
                </w:tcPr>
                <w:p>
                  <w:pPr>
                    <w:pStyle w:val="49"/>
                  </w:pPr>
                  <w:r>
                    <w:t>化粪池</w:t>
                  </w:r>
                </w:p>
              </w:tc>
              <w:tc>
                <w:tcPr>
                  <w:tcW w:w="745" w:type="dxa"/>
                  <w:tcMar>
                    <w:left w:w="57" w:type="dxa"/>
                    <w:right w:w="57" w:type="dxa"/>
                  </w:tcMar>
                  <w:vAlign w:val="center"/>
                </w:tcPr>
                <w:p>
                  <w:pPr>
                    <w:pStyle w:val="49"/>
                  </w:pPr>
                  <w:r>
                    <w:t>DW001</w:t>
                  </w:r>
                </w:p>
              </w:tc>
              <w:tc>
                <w:tcPr>
                  <w:tcW w:w="861" w:type="dxa"/>
                  <w:tcMar>
                    <w:left w:w="57" w:type="dxa"/>
                    <w:right w:w="57" w:type="dxa"/>
                  </w:tcMar>
                  <w:vAlign w:val="center"/>
                </w:tcPr>
                <w:p>
                  <w:pPr>
                    <w:pStyle w:val="49"/>
                  </w:pPr>
                  <w:r>
                    <w:rPr/>
                    <w:sym w:font="Wingdings 2" w:char="F052"/>
                  </w:r>
                  <w:r>
                    <w:t>是</w:t>
                  </w:r>
                </w:p>
                <w:p>
                  <w:pPr>
                    <w:pStyle w:val="49"/>
                  </w:pPr>
                  <w:r>
                    <w:t>□ 否</w:t>
                  </w:r>
                </w:p>
              </w:tc>
              <w:tc>
                <w:tcPr>
                  <w:tcW w:w="1575" w:type="dxa"/>
                  <w:tcMar>
                    <w:left w:w="57" w:type="dxa"/>
                    <w:right w:w="57" w:type="dxa"/>
                  </w:tcMar>
                  <w:vAlign w:val="center"/>
                </w:tcPr>
                <w:p>
                  <w:pPr>
                    <w:pStyle w:val="49"/>
                    <w:jc w:val="left"/>
                  </w:pPr>
                  <w:r>
                    <w:rPr/>
                    <w:sym w:font="Wingdings 2" w:char="F052"/>
                  </w:r>
                  <w:r>
                    <w:t>企业总排口</w:t>
                  </w:r>
                </w:p>
                <w:p>
                  <w:pPr>
                    <w:pStyle w:val="49"/>
                    <w:jc w:val="left"/>
                  </w:pPr>
                  <w:r>
                    <w:t>□ 雨水排放</w:t>
                  </w:r>
                </w:p>
                <w:p>
                  <w:pPr>
                    <w:pStyle w:val="49"/>
                    <w:jc w:val="left"/>
                  </w:pPr>
                  <w:r>
                    <w:t>□ 清净下水排放</w:t>
                  </w:r>
                </w:p>
                <w:p>
                  <w:pPr>
                    <w:pStyle w:val="49"/>
                    <w:jc w:val="left"/>
                  </w:pPr>
                  <w:r>
                    <w:t>□ 温排水排放</w:t>
                  </w:r>
                </w:p>
                <w:p>
                  <w:pPr>
                    <w:pStyle w:val="49"/>
                    <w:jc w:val="left"/>
                  </w:pPr>
                  <w:r>
                    <w:t>□ 车间或车间处理设施排放口</w:t>
                  </w:r>
                </w:p>
              </w:tc>
            </w:tr>
          </w:tbl>
          <w:p>
            <w:pPr>
              <w:pStyle w:val="46"/>
            </w:pPr>
            <w:r>
              <w:t>表7-2  废水间接排放口基本情况表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5"/>
              <w:gridCol w:w="684"/>
              <w:gridCol w:w="754"/>
              <w:gridCol w:w="735"/>
              <w:gridCol w:w="900"/>
              <w:gridCol w:w="825"/>
              <w:gridCol w:w="945"/>
              <w:gridCol w:w="712"/>
              <w:gridCol w:w="1261"/>
              <w:gridCol w:w="624"/>
              <w:gridCol w:w="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5" w:type="dxa"/>
                  <w:vMerge w:val="restar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rPr>
                      <w:b/>
                      <w:bCs/>
                    </w:rPr>
                  </w:pPr>
                  <w:r>
                    <w:rPr>
                      <w:b/>
                      <w:bCs/>
                    </w:rPr>
                    <w:t>序号</w:t>
                  </w:r>
                </w:p>
              </w:tc>
              <w:tc>
                <w:tcPr>
                  <w:tcW w:w="684" w:type="dxa"/>
                  <w:vMerge w:val="restar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rPr>
                      <w:b/>
                      <w:bCs/>
                    </w:rPr>
                  </w:pPr>
                  <w:r>
                    <w:rPr>
                      <w:b/>
                      <w:bCs/>
                    </w:rPr>
                    <w:t>排放口编号</w:t>
                  </w:r>
                </w:p>
              </w:tc>
              <w:tc>
                <w:tcPr>
                  <w:tcW w:w="1489" w:type="dxa"/>
                  <w:gridSpan w:val="2"/>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rPr>
                      <w:b/>
                      <w:bCs/>
                    </w:rPr>
                  </w:pPr>
                  <w:r>
                    <w:rPr>
                      <w:b/>
                      <w:bCs/>
                    </w:rPr>
                    <w:t>排放口地理坐标</w:t>
                  </w:r>
                </w:p>
              </w:tc>
              <w:tc>
                <w:tcPr>
                  <w:tcW w:w="900" w:type="dxa"/>
                  <w:vMerge w:val="restar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rPr>
                      <w:b/>
                      <w:bCs/>
                    </w:rPr>
                  </w:pPr>
                  <w:r>
                    <w:rPr>
                      <w:b/>
                      <w:bCs/>
                    </w:rPr>
                    <w:t>废水排</w:t>
                  </w:r>
                </w:p>
                <w:p>
                  <w:pPr>
                    <w:pStyle w:val="49"/>
                    <w:rPr>
                      <w:b/>
                      <w:bCs/>
                    </w:rPr>
                  </w:pPr>
                  <w:r>
                    <w:rPr>
                      <w:b/>
                      <w:bCs/>
                    </w:rPr>
                    <w:t>放量/</w:t>
                  </w:r>
                </w:p>
                <w:p>
                  <w:pPr>
                    <w:pStyle w:val="49"/>
                    <w:rPr>
                      <w:b/>
                      <w:bCs/>
                    </w:rPr>
                  </w:pPr>
                  <w:r>
                    <w:rPr>
                      <w:b/>
                      <w:bCs/>
                    </w:rPr>
                    <w:t>万m</w:t>
                  </w:r>
                  <w:r>
                    <w:rPr>
                      <w:b/>
                      <w:bCs/>
                      <w:vertAlign w:val="superscript"/>
                    </w:rPr>
                    <w:t>3</w:t>
                  </w:r>
                  <w:r>
                    <w:rPr>
                      <w:b/>
                      <w:bCs/>
                    </w:rPr>
                    <w:t>/a</w:t>
                  </w:r>
                </w:p>
              </w:tc>
              <w:tc>
                <w:tcPr>
                  <w:tcW w:w="825" w:type="dxa"/>
                  <w:vMerge w:val="restar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rPr>
                      <w:b/>
                      <w:bCs/>
                    </w:rPr>
                  </w:pPr>
                  <w:r>
                    <w:rPr>
                      <w:b/>
                      <w:bCs/>
                    </w:rPr>
                    <w:t>排放去向</w:t>
                  </w:r>
                </w:p>
              </w:tc>
              <w:tc>
                <w:tcPr>
                  <w:tcW w:w="945" w:type="dxa"/>
                  <w:vMerge w:val="restar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rPr>
                      <w:b/>
                      <w:bCs/>
                    </w:rPr>
                  </w:pPr>
                  <w:r>
                    <w:rPr>
                      <w:b/>
                      <w:bCs/>
                    </w:rPr>
                    <w:t>排放规律</w:t>
                  </w:r>
                </w:p>
              </w:tc>
              <w:tc>
                <w:tcPr>
                  <w:tcW w:w="712" w:type="dxa"/>
                  <w:vMerge w:val="restar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rPr>
                      <w:b/>
                      <w:bCs/>
                    </w:rPr>
                  </w:pPr>
                  <w:r>
                    <w:rPr>
                      <w:b/>
                      <w:bCs/>
                    </w:rPr>
                    <w:t>间歇排放时段</w:t>
                  </w:r>
                </w:p>
              </w:tc>
              <w:tc>
                <w:tcPr>
                  <w:tcW w:w="2820" w:type="dxa"/>
                  <w:gridSpan w:val="3"/>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rPr>
                      <w:b/>
                      <w:bCs/>
                    </w:rPr>
                  </w:pPr>
                  <w:r>
                    <w:rPr>
                      <w:b/>
                      <w:bCs/>
                    </w:rP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rPr>
                      <w:b/>
                      <w:bCs/>
                    </w:rPr>
                  </w:pPr>
                </w:p>
              </w:tc>
              <w:tc>
                <w:tcPr>
                  <w:tcW w:w="68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rPr>
                      <w:b/>
                      <w:bCs/>
                    </w:rPr>
                  </w:pPr>
                </w:p>
              </w:tc>
              <w:tc>
                <w:tcPr>
                  <w:tcW w:w="754"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rPr>
                      <w:b/>
                      <w:bCs/>
                    </w:rPr>
                  </w:pPr>
                  <w:r>
                    <w:rPr>
                      <w:b/>
                      <w:bCs/>
                    </w:rPr>
                    <w:t>经度</w:t>
                  </w:r>
                </w:p>
              </w:tc>
              <w:tc>
                <w:tcPr>
                  <w:tcW w:w="735"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rPr>
                      <w:b/>
                      <w:bCs/>
                    </w:rPr>
                  </w:pPr>
                  <w:r>
                    <w:rPr>
                      <w:b/>
                      <w:bCs/>
                    </w:rPr>
                    <w:t>纬度</w:t>
                  </w:r>
                </w:p>
              </w:tc>
              <w:tc>
                <w:tcPr>
                  <w:tcW w:w="90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rPr>
                      <w:b/>
                      <w:bCs/>
                    </w:rPr>
                  </w:pPr>
                </w:p>
              </w:tc>
              <w:tc>
                <w:tcPr>
                  <w:tcW w:w="82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rPr>
                      <w:b/>
                      <w:bCs/>
                    </w:rPr>
                  </w:pPr>
                </w:p>
              </w:tc>
              <w:tc>
                <w:tcPr>
                  <w:tcW w:w="94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rPr>
                      <w:b/>
                      <w:bCs/>
                    </w:rPr>
                  </w:pPr>
                </w:p>
              </w:tc>
              <w:tc>
                <w:tcPr>
                  <w:tcW w:w="712"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rPr>
                      <w:b/>
                      <w:bCs/>
                    </w:rPr>
                  </w:pPr>
                </w:p>
              </w:tc>
              <w:tc>
                <w:tcPr>
                  <w:tcW w:w="1261"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rPr>
                      <w:b/>
                      <w:bCs/>
                    </w:rPr>
                  </w:pPr>
                  <w:r>
                    <w:rPr>
                      <w:b/>
                      <w:bCs/>
                    </w:rPr>
                    <w:t>名称</w:t>
                  </w:r>
                </w:p>
              </w:tc>
              <w:tc>
                <w:tcPr>
                  <w:tcW w:w="624"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rPr>
                      <w:b/>
                      <w:bCs/>
                    </w:rPr>
                  </w:pPr>
                  <w:r>
                    <w:rPr>
                      <w:b/>
                      <w:bCs/>
                    </w:rPr>
                    <w:t>污染物种类</w:t>
                  </w:r>
                </w:p>
              </w:tc>
              <w:tc>
                <w:tcPr>
                  <w:tcW w:w="935"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rPr>
                      <w:b/>
                      <w:bCs/>
                    </w:rPr>
                  </w:pPr>
                  <w:r>
                    <w:rPr>
                      <w:b/>
                      <w:bCs/>
                    </w:rPr>
                    <w:t>排放标准浓度限值/（mg/L）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345" w:type="dxa"/>
                  <w:vMerge w:val="restar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pPr>
                  <w:r>
                    <w:t>1</w:t>
                  </w:r>
                </w:p>
              </w:tc>
              <w:tc>
                <w:tcPr>
                  <w:tcW w:w="684" w:type="dxa"/>
                  <w:vMerge w:val="restar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pPr>
                  <w:r>
                    <w:t>DW001</w:t>
                  </w:r>
                </w:p>
              </w:tc>
              <w:tc>
                <w:tcPr>
                  <w:tcW w:w="754" w:type="dxa"/>
                  <w:vMerge w:val="restar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pPr>
                  <w:r>
                    <w:rPr>
                      <w:rFonts w:hint="eastAsia"/>
                    </w:rPr>
                    <w:t>E</w:t>
                  </w:r>
                  <w:r>
                    <w:t>120.437245°</w:t>
                  </w:r>
                </w:p>
              </w:tc>
              <w:tc>
                <w:tcPr>
                  <w:tcW w:w="735" w:type="dxa"/>
                  <w:vMerge w:val="restar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pPr>
                  <w:r>
                    <w:rPr>
                      <w:rFonts w:hint="eastAsia"/>
                    </w:rPr>
                    <w:t>N</w:t>
                  </w:r>
                  <w:r>
                    <w:t>30.547340°</w:t>
                  </w:r>
                </w:p>
              </w:tc>
              <w:tc>
                <w:tcPr>
                  <w:tcW w:w="900" w:type="dxa"/>
                  <w:vMerge w:val="restar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pPr>
                  <w:r>
                    <w:t>0.</w:t>
                  </w:r>
                  <w:r>
                    <w:rPr>
                      <w:rFonts w:hint="eastAsia"/>
                    </w:rPr>
                    <w:t>041</w:t>
                  </w:r>
                </w:p>
              </w:tc>
              <w:tc>
                <w:tcPr>
                  <w:tcW w:w="825" w:type="dxa"/>
                  <w:vMerge w:val="restar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pPr>
                  <w:r>
                    <w:t>进入城市废水集中处理厂</w:t>
                  </w:r>
                </w:p>
              </w:tc>
              <w:tc>
                <w:tcPr>
                  <w:tcW w:w="945" w:type="dxa"/>
                  <w:vMerge w:val="restar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pPr>
                  <w:r>
                    <w:t>间歇排放，排放期间流量稳定</w:t>
                  </w:r>
                </w:p>
              </w:tc>
              <w:tc>
                <w:tcPr>
                  <w:tcW w:w="712" w:type="dxa"/>
                  <w:vMerge w:val="restar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pPr>
                  <w:r>
                    <w:rPr>
                      <w:rFonts w:hint="eastAsia"/>
                    </w:rPr>
                    <w:t>昼间</w:t>
                  </w:r>
                </w:p>
              </w:tc>
              <w:tc>
                <w:tcPr>
                  <w:tcW w:w="1261" w:type="dxa"/>
                  <w:vMerge w:val="restar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pPr>
                  <w:r>
                    <w:t>桐乡市城市污水处理有限责任公司崇福污水处理厂</w:t>
                  </w:r>
                </w:p>
              </w:tc>
              <w:tc>
                <w:tcPr>
                  <w:tcW w:w="624"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pPr>
                  <w:r>
                    <w:t>COD</w:t>
                  </w:r>
                  <w:r>
                    <w:rPr>
                      <w:vertAlign w:val="subscript"/>
                    </w:rPr>
                    <w:t>Cr</w:t>
                  </w:r>
                </w:p>
              </w:tc>
              <w:tc>
                <w:tcPr>
                  <w:tcW w:w="935"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pPr>
                  <w: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34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pPr>
                </w:p>
              </w:tc>
              <w:tc>
                <w:tcPr>
                  <w:tcW w:w="68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pPr>
                </w:p>
              </w:tc>
              <w:tc>
                <w:tcPr>
                  <w:tcW w:w="754"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pPr>
                </w:p>
              </w:tc>
              <w:tc>
                <w:tcPr>
                  <w:tcW w:w="73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pPr>
                </w:p>
              </w:tc>
              <w:tc>
                <w:tcPr>
                  <w:tcW w:w="900"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pPr>
                </w:p>
              </w:tc>
              <w:tc>
                <w:tcPr>
                  <w:tcW w:w="82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pPr>
                </w:p>
              </w:tc>
              <w:tc>
                <w:tcPr>
                  <w:tcW w:w="945"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pPr>
                </w:p>
              </w:tc>
              <w:tc>
                <w:tcPr>
                  <w:tcW w:w="712"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pPr>
                </w:p>
              </w:tc>
              <w:tc>
                <w:tcPr>
                  <w:tcW w:w="1261" w:type="dxa"/>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pPr>
                </w:p>
              </w:tc>
              <w:tc>
                <w:tcPr>
                  <w:tcW w:w="624"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pPr>
                  <w:r>
                    <w:rPr>
                      <w:lang w:val="de-DE"/>
                    </w:rPr>
                    <w:t>NH</w:t>
                  </w:r>
                  <w:r>
                    <w:rPr>
                      <w:vertAlign w:val="subscript"/>
                      <w:lang w:val="de-DE"/>
                    </w:rPr>
                    <w:t>3</w:t>
                  </w:r>
                  <w:r>
                    <w:rPr>
                      <w:lang w:val="de-DE"/>
                    </w:rPr>
                    <w:t>-N</w:t>
                  </w:r>
                </w:p>
              </w:tc>
              <w:tc>
                <w:tcPr>
                  <w:tcW w:w="935"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pPr>
                  <w:r>
                    <w:t>5</w:t>
                  </w:r>
                </w:p>
              </w:tc>
            </w:tr>
          </w:tbl>
          <w:p>
            <w:pPr>
              <w:pStyle w:val="6"/>
            </w:pPr>
            <w:r>
              <w:t>7.2.1.2废水污染物排放标准</w:t>
            </w:r>
          </w:p>
          <w:p>
            <w:pPr>
              <w:ind w:firstLine="480"/>
            </w:pPr>
            <w:r>
              <w:t>本项目实施后企业废水污染物排放执行标准见表7-3。</w:t>
            </w:r>
          </w:p>
          <w:p>
            <w:pPr>
              <w:pStyle w:val="46"/>
            </w:pPr>
            <w:r>
              <w:t>表7-3  废水污染物排放执行标准表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907"/>
              <w:gridCol w:w="1050"/>
              <w:gridCol w:w="3992"/>
              <w:gridCol w:w="2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4" w:type="pct"/>
                  <w:vMerge w:val="restar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7"/>
                    <w:rPr>
                      <w:b/>
                      <w:bCs/>
                    </w:rPr>
                  </w:pPr>
                  <w:r>
                    <w:rPr>
                      <w:b/>
                      <w:bCs/>
                    </w:rPr>
                    <w:t>序号</w:t>
                  </w:r>
                </w:p>
              </w:tc>
              <w:tc>
                <w:tcPr>
                  <w:tcW w:w="520" w:type="pct"/>
                  <w:vMerge w:val="restar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7"/>
                    <w:rPr>
                      <w:b/>
                      <w:bCs/>
                    </w:rPr>
                  </w:pPr>
                  <w:r>
                    <w:rPr>
                      <w:b/>
                      <w:bCs/>
                    </w:rPr>
                    <w:t>排放口编号</w:t>
                  </w:r>
                </w:p>
              </w:tc>
              <w:tc>
                <w:tcPr>
                  <w:tcW w:w="602" w:type="pct"/>
                  <w:vMerge w:val="restar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7"/>
                    <w:rPr>
                      <w:b/>
                      <w:bCs/>
                    </w:rPr>
                  </w:pPr>
                  <w:r>
                    <w:rPr>
                      <w:b/>
                      <w:bCs/>
                    </w:rPr>
                    <w:t>污染物</w:t>
                  </w:r>
                </w:p>
                <w:p>
                  <w:pPr>
                    <w:pStyle w:val="47"/>
                    <w:rPr>
                      <w:b/>
                      <w:bCs/>
                    </w:rPr>
                  </w:pPr>
                  <w:r>
                    <w:rPr>
                      <w:b/>
                      <w:bCs/>
                    </w:rPr>
                    <w:t>种类</w:t>
                  </w:r>
                </w:p>
              </w:tc>
              <w:tc>
                <w:tcPr>
                  <w:tcW w:w="3443" w:type="pct"/>
                  <w:gridSpan w:val="2"/>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7"/>
                    <w:rPr>
                      <w:b/>
                      <w:bCs/>
                    </w:rPr>
                  </w:pPr>
                  <w:r>
                    <w:rPr>
                      <w:b/>
                      <w:bCs/>
                    </w:rPr>
                    <w:t>纳管标准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4" w:type="pct"/>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7"/>
                    <w:rPr>
                      <w:b/>
                      <w:bCs/>
                    </w:rPr>
                  </w:pPr>
                </w:p>
              </w:tc>
              <w:tc>
                <w:tcPr>
                  <w:tcW w:w="520" w:type="pct"/>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7"/>
                    <w:rPr>
                      <w:b/>
                      <w:bCs/>
                    </w:rPr>
                  </w:pPr>
                </w:p>
              </w:tc>
              <w:tc>
                <w:tcPr>
                  <w:tcW w:w="602" w:type="pct"/>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7"/>
                    <w:rPr>
                      <w:b/>
                      <w:bCs/>
                    </w:rPr>
                  </w:pPr>
                </w:p>
              </w:tc>
              <w:tc>
                <w:tcPr>
                  <w:tcW w:w="2290"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7"/>
                    <w:rPr>
                      <w:b/>
                      <w:bCs/>
                    </w:rPr>
                  </w:pPr>
                  <w:r>
                    <w:rPr>
                      <w:b/>
                      <w:bCs/>
                    </w:rPr>
                    <w:t>标准名称</w:t>
                  </w:r>
                </w:p>
              </w:tc>
              <w:tc>
                <w:tcPr>
                  <w:tcW w:w="1152"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7"/>
                    <w:rPr>
                      <w:b/>
                      <w:bCs/>
                    </w:rPr>
                  </w:pPr>
                  <w:r>
                    <w:rPr>
                      <w:b/>
                      <w:bCs/>
                    </w:rPr>
                    <w:t>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434" w:type="pct"/>
                  <w:vMerge w:val="restar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7"/>
                  </w:pPr>
                  <w:r>
                    <w:t>1</w:t>
                  </w:r>
                </w:p>
              </w:tc>
              <w:tc>
                <w:tcPr>
                  <w:tcW w:w="520" w:type="pct"/>
                  <w:vMerge w:val="restar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7"/>
                  </w:pPr>
                  <w:r>
                    <w:t>DW001</w:t>
                  </w:r>
                </w:p>
              </w:tc>
              <w:tc>
                <w:tcPr>
                  <w:tcW w:w="602"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7"/>
                  </w:pPr>
                  <w:r>
                    <w:t>COD</w:t>
                  </w:r>
                  <w:r>
                    <w:rPr>
                      <w:vertAlign w:val="subscript"/>
                    </w:rPr>
                    <w:t>Cr</w:t>
                  </w:r>
                </w:p>
              </w:tc>
              <w:tc>
                <w:tcPr>
                  <w:tcW w:w="2290" w:type="pct"/>
                  <w:vMerge w:val="restar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7"/>
                  </w:pPr>
                  <w:r>
                    <w:t>COD</w:t>
                  </w:r>
                  <w:r>
                    <w:rPr>
                      <w:vertAlign w:val="subscript"/>
                    </w:rPr>
                    <w:t>Cr</w:t>
                  </w:r>
                  <w:r>
                    <w:t>执行GB8978-1996表4中三级标准；NH</w:t>
                  </w:r>
                  <w:r>
                    <w:rPr>
                      <w:vertAlign w:val="subscript"/>
                    </w:rPr>
                    <w:t>3</w:t>
                  </w:r>
                  <w:r>
                    <w:t>-N执行DB33/887-2013中相关规定。</w:t>
                  </w:r>
                </w:p>
              </w:tc>
              <w:tc>
                <w:tcPr>
                  <w:tcW w:w="1152"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7"/>
                  </w:pPr>
                  <w: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434" w:type="pct"/>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7"/>
                  </w:pPr>
                </w:p>
              </w:tc>
              <w:tc>
                <w:tcPr>
                  <w:tcW w:w="520" w:type="pct"/>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7"/>
                  </w:pPr>
                </w:p>
              </w:tc>
              <w:tc>
                <w:tcPr>
                  <w:tcW w:w="602"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7"/>
                  </w:pPr>
                  <w:r>
                    <w:rPr>
                      <w:lang w:val="de-DE"/>
                    </w:rPr>
                    <w:t>NH</w:t>
                  </w:r>
                  <w:r>
                    <w:rPr>
                      <w:vertAlign w:val="subscript"/>
                      <w:lang w:val="de-DE"/>
                    </w:rPr>
                    <w:t>3</w:t>
                  </w:r>
                  <w:r>
                    <w:rPr>
                      <w:lang w:val="de-DE"/>
                    </w:rPr>
                    <w:t>-N</w:t>
                  </w:r>
                </w:p>
              </w:tc>
              <w:tc>
                <w:tcPr>
                  <w:tcW w:w="2290" w:type="pct"/>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7"/>
                  </w:pPr>
                </w:p>
              </w:tc>
              <w:tc>
                <w:tcPr>
                  <w:tcW w:w="1152"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7"/>
                  </w:pPr>
                  <w:r>
                    <w:t>35</w:t>
                  </w:r>
                </w:p>
              </w:tc>
            </w:tr>
          </w:tbl>
          <w:p>
            <w:pPr>
              <w:pStyle w:val="7"/>
              <w:spacing w:before="120" w:beforeLines="50"/>
            </w:pPr>
            <w:r>
              <w:t>7.2.1.3评价等级</w:t>
            </w:r>
          </w:p>
          <w:p>
            <w:pPr>
              <w:ind w:firstLine="480"/>
            </w:pPr>
            <w:r>
              <w:t>根据工程分析，本项目实施后企业</w:t>
            </w:r>
            <w:r>
              <w:rPr>
                <w:rFonts w:hint="eastAsia"/>
              </w:rPr>
              <w:t>排放的</w:t>
            </w:r>
            <w:r>
              <w:t>废水主要为</w:t>
            </w:r>
            <w:r>
              <w:rPr>
                <w:rFonts w:hint="eastAsia"/>
              </w:rPr>
              <w:t>职工</w:t>
            </w:r>
            <w:r>
              <w:t>生活污水，主要污染物为COD</w:t>
            </w:r>
            <w:r>
              <w:rPr>
                <w:vertAlign w:val="subscript"/>
              </w:rPr>
              <w:t>Cr</w:t>
            </w:r>
            <w:r>
              <w:t>、NH</w:t>
            </w:r>
            <w:r>
              <w:rPr>
                <w:vertAlign w:val="subscript"/>
              </w:rPr>
              <w:t>3</w:t>
            </w:r>
            <w:r>
              <w:t>-N等，经化粪池预处理确保出水水质达标。目前项目实施地周边的污水管网已经建成，项目废水可接入市政污水管网，最终送桐乡市城市污水处理有限责任公司崇福污水处理厂处理达标后排入钱塘江。根据《环境影响评价技术导则－地表水环境》（HJ2.3-2018）评价等级判定依据，企业废水排放方式为间接排放，确定项目地表水环境影响评价等级为三级B。</w:t>
            </w:r>
          </w:p>
          <w:p>
            <w:pPr>
              <w:pStyle w:val="7"/>
            </w:pPr>
            <w:r>
              <w:t>7.2.1.4环境影响评价</w:t>
            </w:r>
          </w:p>
          <w:p>
            <w:pPr>
              <w:ind w:firstLine="480"/>
            </w:pPr>
            <w:r>
              <w:t>1、水污染控制和水环境影响减缓措施有效性评价</w:t>
            </w:r>
          </w:p>
          <w:p>
            <w:pPr>
              <w:ind w:firstLine="480"/>
            </w:pPr>
            <w:r>
              <w:t>本项目实施后企业仅排放生活污水，生活污水主要来源于盥洗废水、冲厕废水等，排水水质COD</w:t>
            </w:r>
            <w:r>
              <w:rPr>
                <w:vertAlign w:val="subscript"/>
              </w:rPr>
              <w:t>Cr</w:t>
            </w:r>
            <w:r>
              <w:t xml:space="preserve"> 320mg/L，NH</w:t>
            </w:r>
            <w:r>
              <w:rPr>
                <w:vertAlign w:val="subscript"/>
              </w:rPr>
              <w:t>3</w:t>
            </w:r>
            <w:r>
              <w:t>-N 35mg/L，污水原始污染物浓度较低，经化粪池预处理后能确保废水纳管水质满足桐乡市城市污水处理有限责任公司崇福污水处理厂设计进水标准（COD</w:t>
            </w:r>
            <w:r>
              <w:rPr>
                <w:vertAlign w:val="subscript"/>
              </w:rPr>
              <w:t>Cr</w:t>
            </w:r>
            <w:r>
              <w:t>≤500mg/L，NH</w:t>
            </w:r>
            <w:r>
              <w:rPr>
                <w:vertAlign w:val="subscript"/>
              </w:rPr>
              <w:t>3</w:t>
            </w:r>
            <w:r>
              <w:t>-N≤35mg/L）。企业所有废水均纳管排放，不会对于区（流）域水环境质量产生明显不利影响，也不会对实现改善区（流）域水环境质量的目标产生负面影响。</w:t>
            </w:r>
          </w:p>
          <w:p>
            <w:pPr>
              <w:ind w:firstLine="480"/>
            </w:pPr>
            <w:r>
              <w:t>2、纳管可行性评价</w:t>
            </w:r>
          </w:p>
          <w:p>
            <w:pPr>
              <w:ind w:firstLine="480"/>
            </w:pPr>
            <w:r>
              <w:t>企业位于</w:t>
            </w:r>
            <w:r>
              <w:rPr>
                <w:rFonts w:hint="eastAsia"/>
              </w:rPr>
              <w:t>桐乡市崇福镇杭福路1336号20幢1号</w:t>
            </w:r>
            <w:r>
              <w:t>，属于桐乡市城市污水处理有限责任公司崇福污水处理厂的服务范围。目前项目周边的污水管网已经建成，项目废水具备纳管条件。</w:t>
            </w:r>
          </w:p>
          <w:p>
            <w:pPr>
              <w:ind w:firstLine="480"/>
            </w:pPr>
            <w:r>
              <w:t>3、依托污水处理设施的环境可行性评价</w:t>
            </w:r>
          </w:p>
          <w:p>
            <w:pPr>
              <w:ind w:firstLine="480"/>
            </w:pPr>
            <w:r>
              <w:t>桐乡市城市污水处理有限责任公司崇福污水处理厂设计处理规模为3.0万吨/日，现状污水处理工艺采用CAST工艺。2012年崇福污水处理厂进行二期扩建项目，使污水处理能力达到6.0万吨/日，扩建后采用“预沉池+A</w:t>
            </w:r>
            <w:r>
              <w:rPr>
                <w:vertAlign w:val="superscript"/>
              </w:rPr>
              <w:t>2</w:t>
            </w:r>
            <w:r>
              <w:t>/O复合生物膜生物池+辐流式二沉池+深度处理”工艺，设计出水水质达到《城镇污水处理厂污染物排放标准》（GB18918-2002）表1中的一级A标准，尾水最终排入钱塘江。</w:t>
            </w:r>
          </w:p>
          <w:p>
            <w:pPr>
              <w:ind w:firstLine="480"/>
            </w:pPr>
            <w:r>
              <w:t>本项目排放的废水仅为生活污水，主要污染物包括pH、COD</w:t>
            </w:r>
            <w:r>
              <w:rPr>
                <w:vertAlign w:val="subscript"/>
              </w:rPr>
              <w:t>Cr</w:t>
            </w:r>
            <w:r>
              <w:t>、BOD</w:t>
            </w:r>
            <w:r>
              <w:rPr>
                <w:vertAlign w:val="subscript"/>
              </w:rPr>
              <w:t>5</w:t>
            </w:r>
            <w:r>
              <w:t>、SS、NH</w:t>
            </w:r>
            <w:r>
              <w:rPr>
                <w:vertAlign w:val="subscript"/>
              </w:rPr>
              <w:t>3</w:t>
            </w:r>
            <w:r>
              <w:t>-N等常规水污染因子，企业总入网水量为</w:t>
            </w:r>
            <w:r>
              <w:rPr>
                <w:rFonts w:hint="eastAsia"/>
              </w:rPr>
              <w:t>1.35</w:t>
            </w:r>
            <w:r>
              <w:t>t/d，水质复杂程度简单，经化粪池处理后污染物浓度较低不会对污水厂造成冲击。因此本项目废水纳管不会对污水处理厂污染负荷及正常运行产生不利影响。</w:t>
            </w:r>
          </w:p>
          <w:p>
            <w:pPr>
              <w:ind w:firstLine="480"/>
            </w:pPr>
            <w:r>
              <w:t>4、对最终纳污水体影响分析</w:t>
            </w:r>
          </w:p>
          <w:p>
            <w:pPr>
              <w:ind w:firstLine="480"/>
            </w:pPr>
            <w:r>
              <w:t>本项目污水经桐乡市城市污水处理有限责任公司崇福污水处理厂处理达标后，通过尾水排入钱塘江工程排放钱塘江。依据浙江省环境保护科学设计研究院编制的《桐乡市污水处理尾水外排工程环境影响报告书（报批稿）》中对水环境影响分析和预测的结论可知，对最终纳污水体的水质影响较小。</w:t>
            </w:r>
          </w:p>
          <w:p>
            <w:pPr>
              <w:ind w:firstLine="480"/>
            </w:pPr>
            <w:r>
              <w:t>5、对内河水质影响分析</w:t>
            </w:r>
          </w:p>
          <w:p>
            <w:pPr>
              <w:ind w:firstLine="480"/>
            </w:pPr>
            <w:r>
              <w:t>企业厂区实行雨污分流，污水经处理后纳管排放，仅有厂区雨水排入附近河道，在严格执行雨污分流的情况下，污水不直接进入内河排放，不会对内河水体造成污染影响。</w:t>
            </w:r>
          </w:p>
          <w:p>
            <w:pPr>
              <w:pStyle w:val="7"/>
            </w:pPr>
            <w:r>
              <w:t>7.2.1.5地表水环境影响评价结论</w:t>
            </w:r>
          </w:p>
          <w:p>
            <w:pPr>
              <w:ind w:firstLine="480"/>
            </w:pPr>
            <w:r>
              <w:t>1、水环境影响评价结论</w:t>
            </w:r>
          </w:p>
          <w:p>
            <w:pPr>
              <w:ind w:firstLine="480"/>
            </w:pPr>
            <w:r>
              <w:t>根据水污染控制和水环境影响减缓措施有效性评价、依托污水处理设施的环境可行性评价结论，本项目地表水环境影响可接受。</w:t>
            </w:r>
          </w:p>
          <w:p>
            <w:pPr>
              <w:ind w:firstLine="480"/>
            </w:pPr>
            <w:r>
              <w:t>2、污染源排放量核算结果</w:t>
            </w:r>
          </w:p>
          <w:p>
            <w:pPr>
              <w:ind w:firstLine="480"/>
            </w:pPr>
            <w:r>
              <w:t>废水污染物排放量核算见表7-4。</w:t>
            </w:r>
          </w:p>
          <w:p>
            <w:pPr>
              <w:pStyle w:val="46"/>
            </w:pPr>
            <w:r>
              <w:t>表7-4  废水污染物排放信息表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279"/>
              <w:gridCol w:w="766"/>
              <w:gridCol w:w="1051"/>
              <w:gridCol w:w="1785"/>
              <w:gridCol w:w="1606"/>
              <w:gridCol w:w="1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Align w:val="center"/>
                </w:tcPr>
                <w:p>
                  <w:pPr>
                    <w:pStyle w:val="46"/>
                  </w:pPr>
                  <w:r>
                    <w:rPr>
                      <w:rFonts w:hint="eastAsia"/>
                    </w:rPr>
                    <w:t>序号</w:t>
                  </w:r>
                </w:p>
              </w:tc>
              <w:tc>
                <w:tcPr>
                  <w:tcW w:w="733" w:type="pct"/>
                  <w:vAlign w:val="center"/>
                </w:tcPr>
                <w:p>
                  <w:pPr>
                    <w:pStyle w:val="46"/>
                  </w:pPr>
                  <w:r>
                    <w:rPr>
                      <w:rFonts w:hint="eastAsia"/>
                    </w:rPr>
                    <w:t>排放口编号</w:t>
                  </w:r>
                </w:p>
              </w:tc>
              <w:tc>
                <w:tcPr>
                  <w:tcW w:w="1042" w:type="pct"/>
                  <w:gridSpan w:val="2"/>
                  <w:vAlign w:val="center"/>
                </w:tcPr>
                <w:p>
                  <w:pPr>
                    <w:pStyle w:val="46"/>
                  </w:pPr>
                  <w:r>
                    <w:rPr>
                      <w:rFonts w:hint="eastAsia"/>
                    </w:rPr>
                    <w:t>污染物种类</w:t>
                  </w:r>
                </w:p>
              </w:tc>
              <w:tc>
                <w:tcPr>
                  <w:tcW w:w="1024" w:type="pct"/>
                  <w:vAlign w:val="center"/>
                </w:tcPr>
                <w:p>
                  <w:pPr>
                    <w:pStyle w:val="46"/>
                  </w:pPr>
                  <w:r>
                    <w:rPr>
                      <w:rFonts w:hint="eastAsia"/>
                    </w:rPr>
                    <w:t>排放浓度（mg/L）</w:t>
                  </w:r>
                </w:p>
              </w:tc>
              <w:tc>
                <w:tcPr>
                  <w:tcW w:w="920" w:type="pct"/>
                  <w:vAlign w:val="center"/>
                </w:tcPr>
                <w:p>
                  <w:pPr>
                    <w:pStyle w:val="46"/>
                  </w:pPr>
                  <w:r>
                    <w:rPr>
                      <w:rFonts w:hint="eastAsia"/>
                    </w:rPr>
                    <w:t>日排放量（kg/d）</w:t>
                  </w:r>
                </w:p>
              </w:tc>
              <w:tc>
                <w:tcPr>
                  <w:tcW w:w="860" w:type="pct"/>
                  <w:vAlign w:val="center"/>
                </w:tcPr>
                <w:p>
                  <w:pPr>
                    <w:pStyle w:val="46"/>
                  </w:pPr>
                  <w:r>
                    <w:rPr>
                      <w:rFonts w:hint="eastAsia"/>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Merge w:val="restart"/>
                  <w:vAlign w:val="center"/>
                </w:tcPr>
                <w:p>
                  <w:pPr>
                    <w:pStyle w:val="47"/>
                  </w:pPr>
                  <w:r>
                    <w:rPr>
                      <w:rFonts w:hint="eastAsia"/>
                    </w:rPr>
                    <w:t>1</w:t>
                  </w:r>
                </w:p>
              </w:tc>
              <w:tc>
                <w:tcPr>
                  <w:tcW w:w="733" w:type="pct"/>
                  <w:vMerge w:val="restart"/>
                  <w:vAlign w:val="center"/>
                </w:tcPr>
                <w:p>
                  <w:pPr>
                    <w:pStyle w:val="47"/>
                  </w:pPr>
                  <w:r>
                    <w:rPr>
                      <w:rFonts w:hint="eastAsia"/>
                    </w:rPr>
                    <w:t>DW001</w:t>
                  </w:r>
                </w:p>
              </w:tc>
              <w:tc>
                <w:tcPr>
                  <w:tcW w:w="439" w:type="pct"/>
                  <w:vMerge w:val="restart"/>
                  <w:vAlign w:val="center"/>
                </w:tcPr>
                <w:p>
                  <w:pPr>
                    <w:pStyle w:val="47"/>
                  </w:pPr>
                  <w:r>
                    <w:rPr>
                      <w:rFonts w:hint="eastAsia"/>
                    </w:rPr>
                    <w:t>生活污水</w:t>
                  </w:r>
                </w:p>
              </w:tc>
              <w:tc>
                <w:tcPr>
                  <w:tcW w:w="603" w:type="pct"/>
                  <w:vAlign w:val="center"/>
                </w:tcPr>
                <w:p>
                  <w:pPr>
                    <w:pStyle w:val="47"/>
                  </w:pPr>
                  <w:r>
                    <w:rPr>
                      <w:rFonts w:hint="eastAsia"/>
                    </w:rPr>
                    <w:t>COD</w:t>
                  </w:r>
                  <w:r>
                    <w:rPr>
                      <w:rFonts w:hint="eastAsia"/>
                      <w:vertAlign w:val="subscript"/>
                    </w:rPr>
                    <w:t>Cr</w:t>
                  </w:r>
                </w:p>
              </w:tc>
              <w:tc>
                <w:tcPr>
                  <w:tcW w:w="1024" w:type="pct"/>
                  <w:vAlign w:val="center"/>
                </w:tcPr>
                <w:p>
                  <w:pPr>
                    <w:pStyle w:val="47"/>
                  </w:pPr>
                  <w:r>
                    <w:rPr>
                      <w:rFonts w:hint="eastAsia"/>
                    </w:rPr>
                    <w:t>50</w:t>
                  </w:r>
                </w:p>
              </w:tc>
              <w:tc>
                <w:tcPr>
                  <w:tcW w:w="920" w:type="pct"/>
                  <w:vAlign w:val="center"/>
                </w:tcPr>
                <w:p>
                  <w:pPr>
                    <w:pStyle w:val="47"/>
                  </w:pPr>
                  <w:r>
                    <w:rPr>
                      <w:rFonts w:hint="eastAsia"/>
                    </w:rPr>
                    <w:t>0.068</w:t>
                  </w:r>
                </w:p>
              </w:tc>
              <w:tc>
                <w:tcPr>
                  <w:tcW w:w="860" w:type="pct"/>
                  <w:vAlign w:val="center"/>
                </w:tcPr>
                <w:p>
                  <w:pPr>
                    <w:pStyle w:val="47"/>
                  </w:pPr>
                  <w:r>
                    <w:rPr>
                      <w:rFonts w:hint="eastAsia"/>
                    </w:rPr>
                    <w:t>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Merge w:val="continue"/>
                  <w:vAlign w:val="center"/>
                </w:tcPr>
                <w:p>
                  <w:pPr>
                    <w:pStyle w:val="47"/>
                  </w:pPr>
                </w:p>
              </w:tc>
              <w:tc>
                <w:tcPr>
                  <w:tcW w:w="733" w:type="pct"/>
                  <w:vMerge w:val="continue"/>
                  <w:vAlign w:val="center"/>
                </w:tcPr>
                <w:p>
                  <w:pPr>
                    <w:pStyle w:val="47"/>
                  </w:pPr>
                </w:p>
              </w:tc>
              <w:tc>
                <w:tcPr>
                  <w:tcW w:w="439" w:type="pct"/>
                  <w:vMerge w:val="continue"/>
                  <w:vAlign w:val="center"/>
                </w:tcPr>
                <w:p>
                  <w:pPr>
                    <w:pStyle w:val="47"/>
                  </w:pPr>
                </w:p>
              </w:tc>
              <w:tc>
                <w:tcPr>
                  <w:tcW w:w="603" w:type="pct"/>
                  <w:vAlign w:val="center"/>
                </w:tcPr>
                <w:p>
                  <w:pPr>
                    <w:pStyle w:val="47"/>
                  </w:pPr>
                  <w:r>
                    <w:rPr>
                      <w:rFonts w:hint="eastAsia"/>
                    </w:rPr>
                    <w:t>NH</w:t>
                  </w:r>
                  <w:r>
                    <w:rPr>
                      <w:rFonts w:hint="eastAsia"/>
                      <w:vertAlign w:val="subscript"/>
                    </w:rPr>
                    <w:t>3</w:t>
                  </w:r>
                  <w:r>
                    <w:rPr>
                      <w:rFonts w:hint="eastAsia"/>
                    </w:rPr>
                    <w:t>-N</w:t>
                  </w:r>
                </w:p>
              </w:tc>
              <w:tc>
                <w:tcPr>
                  <w:tcW w:w="1024" w:type="pct"/>
                  <w:vAlign w:val="center"/>
                </w:tcPr>
                <w:p>
                  <w:pPr>
                    <w:pStyle w:val="47"/>
                  </w:pPr>
                  <w:r>
                    <w:rPr>
                      <w:rFonts w:hint="eastAsia"/>
                    </w:rPr>
                    <w:t>5</w:t>
                  </w:r>
                </w:p>
              </w:tc>
              <w:tc>
                <w:tcPr>
                  <w:tcW w:w="920" w:type="pct"/>
                  <w:vAlign w:val="center"/>
                </w:tcPr>
                <w:p>
                  <w:pPr>
                    <w:pStyle w:val="47"/>
                  </w:pPr>
                  <w:r>
                    <w:rPr>
                      <w:rFonts w:hint="eastAsia"/>
                    </w:rPr>
                    <w:t>0.007</w:t>
                  </w:r>
                </w:p>
              </w:tc>
              <w:tc>
                <w:tcPr>
                  <w:tcW w:w="860" w:type="pct"/>
                  <w:vAlign w:val="center"/>
                </w:tcPr>
                <w:p>
                  <w:pPr>
                    <w:pStyle w:val="47"/>
                  </w:pPr>
                  <w:r>
                    <w:rPr>
                      <w:rFonts w:hint="eastAsia"/>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2" w:type="pct"/>
                  <w:gridSpan w:val="2"/>
                  <w:vMerge w:val="restart"/>
                  <w:vAlign w:val="center"/>
                </w:tcPr>
                <w:p>
                  <w:pPr>
                    <w:pStyle w:val="47"/>
                  </w:pPr>
                  <w:r>
                    <w:rPr>
                      <w:rFonts w:hint="eastAsia"/>
                    </w:rPr>
                    <w:t>全场排放口合计</w:t>
                  </w:r>
                </w:p>
              </w:tc>
              <w:tc>
                <w:tcPr>
                  <w:tcW w:w="2987" w:type="pct"/>
                  <w:gridSpan w:val="4"/>
                  <w:vAlign w:val="center"/>
                </w:tcPr>
                <w:p>
                  <w:pPr>
                    <w:pStyle w:val="47"/>
                  </w:pPr>
                  <w:r>
                    <w:rPr>
                      <w:rFonts w:hint="eastAsia"/>
                    </w:rPr>
                    <w:t>COD</w:t>
                  </w:r>
                  <w:r>
                    <w:rPr>
                      <w:rFonts w:hint="eastAsia"/>
                      <w:vertAlign w:val="subscript"/>
                    </w:rPr>
                    <w:t>Cr</w:t>
                  </w:r>
                </w:p>
              </w:tc>
              <w:tc>
                <w:tcPr>
                  <w:tcW w:w="1500" w:type="dxa"/>
                  <w:vAlign w:val="center"/>
                </w:tcPr>
                <w:p>
                  <w:pPr>
                    <w:pStyle w:val="47"/>
                  </w:pPr>
                  <w:r>
                    <w:rPr>
                      <w:rFonts w:hint="eastAsia"/>
                    </w:rPr>
                    <w:t>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2" w:type="pct"/>
                  <w:gridSpan w:val="2"/>
                  <w:vMerge w:val="continue"/>
                  <w:vAlign w:val="center"/>
                </w:tcPr>
                <w:p>
                  <w:pPr>
                    <w:pStyle w:val="47"/>
                  </w:pPr>
                </w:p>
              </w:tc>
              <w:tc>
                <w:tcPr>
                  <w:tcW w:w="2987" w:type="pct"/>
                  <w:gridSpan w:val="4"/>
                  <w:vAlign w:val="center"/>
                </w:tcPr>
                <w:p>
                  <w:pPr>
                    <w:pStyle w:val="47"/>
                  </w:pPr>
                  <w:r>
                    <w:rPr>
                      <w:rFonts w:hint="eastAsia"/>
                    </w:rPr>
                    <w:t>NH</w:t>
                  </w:r>
                  <w:r>
                    <w:rPr>
                      <w:rFonts w:hint="eastAsia"/>
                      <w:vertAlign w:val="subscript"/>
                    </w:rPr>
                    <w:t>3</w:t>
                  </w:r>
                  <w:r>
                    <w:rPr>
                      <w:rFonts w:hint="eastAsia"/>
                    </w:rPr>
                    <w:t>-N</w:t>
                  </w:r>
                </w:p>
              </w:tc>
              <w:tc>
                <w:tcPr>
                  <w:tcW w:w="1500" w:type="dxa"/>
                  <w:vAlign w:val="center"/>
                </w:tcPr>
                <w:p>
                  <w:pPr>
                    <w:pStyle w:val="47"/>
                  </w:pPr>
                  <w:r>
                    <w:rPr>
                      <w:rFonts w:hint="eastAsia"/>
                    </w:rPr>
                    <w:t>0.002</w:t>
                  </w:r>
                </w:p>
              </w:tc>
            </w:tr>
          </w:tbl>
          <w:p>
            <w:pPr>
              <w:spacing w:before="120" w:beforeLines="50"/>
              <w:ind w:firstLine="480"/>
            </w:pPr>
            <w:r>
              <w:t>3、自行监测计划</w:t>
            </w:r>
          </w:p>
          <w:p>
            <w:pPr>
              <w:ind w:firstLine="480"/>
            </w:pPr>
            <w:r>
              <w:t>根据《环境影响评价技术导则－地表水环境》（HJ 2.3-2018）要求，企业需提出在生产运行阶段的水污染源监测计划，见表7-5。</w:t>
            </w:r>
          </w:p>
          <w:p>
            <w:pPr>
              <w:pStyle w:val="46"/>
            </w:pPr>
          </w:p>
          <w:p>
            <w:pPr>
              <w:pStyle w:val="46"/>
            </w:pPr>
          </w:p>
          <w:p>
            <w:pPr>
              <w:pStyle w:val="46"/>
            </w:pPr>
          </w:p>
          <w:p>
            <w:pPr>
              <w:pStyle w:val="46"/>
            </w:pPr>
          </w:p>
          <w:p>
            <w:pPr>
              <w:pStyle w:val="46"/>
            </w:pPr>
          </w:p>
          <w:p>
            <w:pPr>
              <w:pStyle w:val="46"/>
            </w:pPr>
            <w:r>
              <w:t>表7-5  环境监测计划及记录信息表</w:t>
            </w:r>
          </w:p>
          <w:tbl>
            <w:tblPr>
              <w:tblStyle w:val="34"/>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
              <w:gridCol w:w="725"/>
              <w:gridCol w:w="739"/>
              <w:gridCol w:w="747"/>
              <w:gridCol w:w="749"/>
              <w:gridCol w:w="1345"/>
              <w:gridCol w:w="598"/>
              <w:gridCol w:w="598"/>
              <w:gridCol w:w="899"/>
              <w:gridCol w:w="601"/>
              <w:gridCol w:w="1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02"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rPr>
                      <w:b/>
                      <w:bCs/>
                    </w:rPr>
                  </w:pPr>
                  <w:r>
                    <w:rPr>
                      <w:b/>
                      <w:bCs/>
                    </w:rPr>
                    <w:t>序号</w:t>
                  </w:r>
                </w:p>
              </w:tc>
              <w:tc>
                <w:tcPr>
                  <w:tcW w:w="416"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rPr>
                      <w:b/>
                      <w:bCs/>
                    </w:rPr>
                  </w:pPr>
                  <w:r>
                    <w:rPr>
                      <w:b/>
                      <w:bCs/>
                    </w:rPr>
                    <w:t>排放口编号</w:t>
                  </w:r>
                </w:p>
              </w:tc>
              <w:tc>
                <w:tcPr>
                  <w:tcW w:w="423"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rPr>
                      <w:b/>
                      <w:bCs/>
                    </w:rPr>
                  </w:pPr>
                  <w:r>
                    <w:rPr>
                      <w:b/>
                      <w:bCs/>
                    </w:rPr>
                    <w:t>污染物</w:t>
                  </w:r>
                </w:p>
                <w:p>
                  <w:pPr>
                    <w:pStyle w:val="49"/>
                    <w:rPr>
                      <w:b/>
                      <w:bCs/>
                    </w:rPr>
                  </w:pPr>
                  <w:r>
                    <w:rPr>
                      <w:b/>
                      <w:bCs/>
                    </w:rPr>
                    <w:t>名称</w:t>
                  </w:r>
                </w:p>
              </w:tc>
              <w:tc>
                <w:tcPr>
                  <w:tcW w:w="428"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rPr>
                      <w:b/>
                      <w:bCs/>
                    </w:rPr>
                  </w:pPr>
                  <w:r>
                    <w:rPr>
                      <w:b/>
                      <w:bCs/>
                    </w:rPr>
                    <w:t>监测</w:t>
                  </w:r>
                </w:p>
                <w:p>
                  <w:pPr>
                    <w:pStyle w:val="49"/>
                    <w:rPr>
                      <w:b/>
                      <w:bCs/>
                    </w:rPr>
                  </w:pPr>
                  <w:r>
                    <w:rPr>
                      <w:b/>
                      <w:bCs/>
                    </w:rPr>
                    <w:t>设施</w:t>
                  </w:r>
                </w:p>
              </w:tc>
              <w:tc>
                <w:tcPr>
                  <w:tcW w:w="429"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rPr>
                      <w:b/>
                      <w:bCs/>
                    </w:rPr>
                  </w:pPr>
                  <w:r>
                    <w:rPr>
                      <w:b/>
                      <w:bCs/>
                    </w:rPr>
                    <w:t>自动监测设施安装位置</w:t>
                  </w:r>
                </w:p>
              </w:tc>
              <w:tc>
                <w:tcPr>
                  <w:tcW w:w="771"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rPr>
                      <w:b/>
                      <w:bCs/>
                    </w:rPr>
                  </w:pPr>
                  <w:r>
                    <w:rPr>
                      <w:b/>
                      <w:bCs/>
                    </w:rPr>
                    <w:t>自动监测设施的安装、运行、维护等相关管理要求</w:t>
                  </w:r>
                </w:p>
              </w:tc>
              <w:tc>
                <w:tcPr>
                  <w:tcW w:w="343"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rPr>
                      <w:b/>
                      <w:bCs/>
                    </w:rPr>
                  </w:pPr>
                  <w:r>
                    <w:rPr>
                      <w:b/>
                      <w:bCs/>
                    </w:rPr>
                    <w:t>自动监测是否联网</w:t>
                  </w:r>
                </w:p>
              </w:tc>
              <w:tc>
                <w:tcPr>
                  <w:tcW w:w="343"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rPr>
                      <w:b/>
                      <w:bCs/>
                    </w:rPr>
                  </w:pPr>
                  <w:r>
                    <w:rPr>
                      <w:b/>
                      <w:bCs/>
                    </w:rPr>
                    <w:t>自动监测仪器名称</w:t>
                  </w:r>
                </w:p>
              </w:tc>
              <w:tc>
                <w:tcPr>
                  <w:tcW w:w="515"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rPr>
                      <w:b/>
                      <w:bCs/>
                    </w:rPr>
                  </w:pPr>
                  <w:r>
                    <w:rPr>
                      <w:b/>
                      <w:bCs/>
                    </w:rPr>
                    <w:t>手工监测采样方法及个数</w:t>
                  </w:r>
                </w:p>
              </w:tc>
              <w:tc>
                <w:tcPr>
                  <w:tcW w:w="345"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rPr>
                      <w:b/>
                      <w:bCs/>
                    </w:rPr>
                  </w:pPr>
                  <w:r>
                    <w:rPr>
                      <w:b/>
                      <w:bCs/>
                    </w:rPr>
                    <w:t>手工监测频次</w:t>
                  </w:r>
                </w:p>
              </w:tc>
              <w:tc>
                <w:tcPr>
                  <w:tcW w:w="779"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rPr>
                      <w:b/>
                      <w:bCs/>
                    </w:rPr>
                  </w:pPr>
                  <w:r>
                    <w:rPr>
                      <w:b/>
                      <w:bCs/>
                    </w:rPr>
                    <w:t>手工测定方法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 w:type="pct"/>
                  <w:vMerge w:val="restar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pPr>
                  <w:r>
                    <w:t>1</w:t>
                  </w:r>
                </w:p>
              </w:tc>
              <w:tc>
                <w:tcPr>
                  <w:tcW w:w="416" w:type="pct"/>
                  <w:vMerge w:val="restar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pPr>
                  <w:r>
                    <w:t>DW001</w:t>
                  </w:r>
                </w:p>
              </w:tc>
              <w:tc>
                <w:tcPr>
                  <w:tcW w:w="423"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pPr>
                  <w:r>
                    <w:t>COD</w:t>
                  </w:r>
                  <w:r>
                    <w:rPr>
                      <w:vertAlign w:val="subscript"/>
                    </w:rPr>
                    <w:t>Cr</w:t>
                  </w:r>
                </w:p>
              </w:tc>
              <w:tc>
                <w:tcPr>
                  <w:tcW w:w="428" w:type="pct"/>
                  <w:vMerge w:val="restar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pPr>
                  <w:r>
                    <w:t>□ 自动</w:t>
                  </w:r>
                </w:p>
                <w:p>
                  <w:pPr>
                    <w:pStyle w:val="49"/>
                  </w:pPr>
                  <w:r>
                    <w:rPr/>
                    <w:sym w:font="Wingdings 2" w:char="F052"/>
                  </w:r>
                  <w:r>
                    <w:t>手动</w:t>
                  </w:r>
                </w:p>
              </w:tc>
              <w:tc>
                <w:tcPr>
                  <w:tcW w:w="429" w:type="pct"/>
                  <w:vMerge w:val="restar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pPr>
                  <w:r>
                    <w:t>/</w:t>
                  </w:r>
                </w:p>
              </w:tc>
              <w:tc>
                <w:tcPr>
                  <w:tcW w:w="771" w:type="pct"/>
                  <w:vMerge w:val="restar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pPr>
                  <w:r>
                    <w:t>/</w:t>
                  </w:r>
                </w:p>
              </w:tc>
              <w:tc>
                <w:tcPr>
                  <w:tcW w:w="343" w:type="pct"/>
                  <w:vMerge w:val="restar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pPr>
                  <w:r>
                    <w:t>/</w:t>
                  </w:r>
                </w:p>
              </w:tc>
              <w:tc>
                <w:tcPr>
                  <w:tcW w:w="343" w:type="pct"/>
                  <w:vMerge w:val="restar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pPr>
                  <w:r>
                    <w:t>/</w:t>
                  </w:r>
                </w:p>
              </w:tc>
              <w:tc>
                <w:tcPr>
                  <w:tcW w:w="515" w:type="pct"/>
                  <w:vMerge w:val="restar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pPr>
                  <w:r>
                    <w:t>混合采样（4个）</w:t>
                  </w:r>
                </w:p>
              </w:tc>
              <w:tc>
                <w:tcPr>
                  <w:tcW w:w="345" w:type="pct"/>
                  <w:vMerge w:val="restar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pPr>
                  <w:r>
                    <w:t>1次/季度</w:t>
                  </w:r>
                </w:p>
              </w:tc>
              <w:tc>
                <w:tcPr>
                  <w:tcW w:w="779"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pPr>
                  <w:r>
                    <w:t>重铬酸钾法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 w:type="pct"/>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pPr>
                </w:p>
              </w:tc>
              <w:tc>
                <w:tcPr>
                  <w:tcW w:w="416" w:type="pct"/>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pPr>
                </w:p>
              </w:tc>
              <w:tc>
                <w:tcPr>
                  <w:tcW w:w="423"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pPr>
                  <w:r>
                    <w:rPr>
                      <w:lang w:val="de-DE"/>
                    </w:rPr>
                    <w:t>NH</w:t>
                  </w:r>
                  <w:r>
                    <w:rPr>
                      <w:vertAlign w:val="subscript"/>
                      <w:lang w:val="de-DE"/>
                    </w:rPr>
                    <w:t>3</w:t>
                  </w:r>
                  <w:r>
                    <w:rPr>
                      <w:lang w:val="de-DE"/>
                    </w:rPr>
                    <w:t>-N</w:t>
                  </w:r>
                </w:p>
              </w:tc>
              <w:tc>
                <w:tcPr>
                  <w:tcW w:w="428" w:type="pct"/>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pPr>
                </w:p>
              </w:tc>
              <w:tc>
                <w:tcPr>
                  <w:tcW w:w="429" w:type="pct"/>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pPr>
                </w:p>
              </w:tc>
              <w:tc>
                <w:tcPr>
                  <w:tcW w:w="771" w:type="pct"/>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pPr>
                </w:p>
              </w:tc>
              <w:tc>
                <w:tcPr>
                  <w:tcW w:w="343" w:type="pct"/>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pPr>
                </w:p>
              </w:tc>
              <w:tc>
                <w:tcPr>
                  <w:tcW w:w="343" w:type="pct"/>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pPr>
                </w:p>
              </w:tc>
              <w:tc>
                <w:tcPr>
                  <w:tcW w:w="515" w:type="pct"/>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pPr>
                </w:p>
              </w:tc>
              <w:tc>
                <w:tcPr>
                  <w:tcW w:w="345" w:type="pct"/>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pPr>
                </w:p>
              </w:tc>
              <w:tc>
                <w:tcPr>
                  <w:tcW w:w="779"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49"/>
                  </w:pPr>
                  <w:r>
                    <w:t>水杨酸分光光度法</w:t>
                  </w:r>
                </w:p>
              </w:tc>
            </w:tr>
          </w:tbl>
          <w:p>
            <w:pPr>
              <w:spacing w:before="120" w:beforeLines="50"/>
              <w:ind w:firstLine="480"/>
            </w:pPr>
            <w:r>
              <w:t>4、地表水环境影响评价自查表</w:t>
            </w:r>
          </w:p>
          <w:p>
            <w:pPr>
              <w:ind w:firstLine="480"/>
            </w:pPr>
            <w:r>
              <w:t>建设项目地表水环境影响评价自查表见表7-6。</w:t>
            </w:r>
          </w:p>
          <w:p>
            <w:pPr>
              <w:pStyle w:val="46"/>
            </w:pPr>
            <w:r>
              <w:t>表7-6  建设项目地表水环境影响评价自查表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97"/>
              <w:gridCol w:w="1262"/>
              <w:gridCol w:w="1663"/>
              <w:gridCol w:w="169"/>
              <w:gridCol w:w="127"/>
              <w:gridCol w:w="574"/>
              <w:gridCol w:w="659"/>
              <w:gridCol w:w="361"/>
              <w:gridCol w:w="743"/>
              <w:gridCol w:w="230"/>
              <w:gridCol w:w="199"/>
              <w:gridCol w:w="713"/>
              <w:gridCol w:w="462"/>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09" w:type="pct"/>
                  <w:gridSpan w:val="2"/>
                  <w:tcBorders>
                    <w:top w:val="single" w:color="auto" w:sz="4" w:space="0"/>
                    <w:left w:val="single" w:color="auto" w:sz="4" w:space="0"/>
                    <w:bottom w:val="single" w:color="auto" w:sz="4" w:space="0"/>
                    <w:right w:val="single" w:color="auto" w:sz="4" w:space="0"/>
                  </w:tcBorders>
                  <w:vAlign w:val="center"/>
                </w:tcPr>
                <w:p>
                  <w:pPr>
                    <w:pStyle w:val="49"/>
                    <w:rPr>
                      <w:b/>
                      <w:bCs/>
                    </w:rPr>
                  </w:pPr>
                  <w:r>
                    <w:rPr>
                      <w:b/>
                      <w:bCs/>
                    </w:rPr>
                    <w:t>工作内容</w:t>
                  </w:r>
                </w:p>
              </w:tc>
              <w:tc>
                <w:tcPr>
                  <w:tcW w:w="3990" w:type="pct"/>
                  <w:gridSpan w:val="12"/>
                  <w:tcBorders>
                    <w:top w:val="single" w:color="auto" w:sz="4" w:space="0"/>
                    <w:left w:val="single" w:color="auto" w:sz="4" w:space="0"/>
                    <w:bottom w:val="single" w:color="auto" w:sz="4" w:space="0"/>
                    <w:right w:val="single" w:color="auto" w:sz="4" w:space="0"/>
                  </w:tcBorders>
                  <w:vAlign w:val="center"/>
                </w:tcPr>
                <w:p>
                  <w:pPr>
                    <w:pStyle w:val="49"/>
                    <w:rPr>
                      <w:b/>
                      <w:bCs/>
                    </w:rPr>
                  </w:pPr>
                  <w:r>
                    <w:rPr>
                      <w:b/>
                      <w:bCs/>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85" w:type="pct"/>
                  <w:vMerge w:val="restart"/>
                  <w:tcBorders>
                    <w:top w:val="single" w:color="auto" w:sz="4" w:space="0"/>
                    <w:left w:val="single" w:color="auto" w:sz="4" w:space="0"/>
                    <w:bottom w:val="single" w:color="auto" w:sz="4" w:space="0"/>
                    <w:right w:val="single" w:color="auto" w:sz="4" w:space="0"/>
                  </w:tcBorders>
                  <w:vAlign w:val="center"/>
                </w:tcPr>
                <w:p>
                  <w:pPr>
                    <w:pStyle w:val="49"/>
                  </w:pPr>
                  <w:r>
                    <w:t>影响</w:t>
                  </w:r>
                </w:p>
                <w:p>
                  <w:pPr>
                    <w:pStyle w:val="49"/>
                  </w:pPr>
                  <w:r>
                    <w:t>识别</w:t>
                  </w:r>
                </w:p>
              </w:tc>
              <w:tc>
                <w:tcPr>
                  <w:tcW w:w="724" w:type="pct"/>
                  <w:tcBorders>
                    <w:top w:val="single" w:color="auto" w:sz="4" w:space="0"/>
                    <w:left w:val="single" w:color="auto" w:sz="4" w:space="0"/>
                    <w:bottom w:val="single" w:color="auto" w:sz="4" w:space="0"/>
                    <w:right w:val="single" w:color="auto" w:sz="4" w:space="0"/>
                  </w:tcBorders>
                  <w:vAlign w:val="center"/>
                </w:tcPr>
                <w:p>
                  <w:pPr>
                    <w:pStyle w:val="49"/>
                  </w:pPr>
                  <w:r>
                    <w:t>影响类型</w:t>
                  </w:r>
                </w:p>
              </w:tc>
              <w:tc>
                <w:tcPr>
                  <w:tcW w:w="3990" w:type="pct"/>
                  <w:gridSpan w:val="12"/>
                  <w:tcBorders>
                    <w:top w:val="single" w:color="auto" w:sz="4" w:space="0"/>
                    <w:left w:val="single" w:color="auto" w:sz="4" w:space="0"/>
                    <w:bottom w:val="single" w:color="auto" w:sz="4" w:space="0"/>
                    <w:right w:val="single" w:color="auto" w:sz="4" w:space="0"/>
                  </w:tcBorders>
                  <w:vAlign w:val="center"/>
                </w:tcPr>
                <w:p>
                  <w:pPr>
                    <w:pStyle w:val="49"/>
                    <w:jc w:val="both"/>
                  </w:pPr>
                  <w:r>
                    <w:t>水污染影响型</w:t>
                  </w:r>
                  <w:bookmarkStart w:id="154" w:name="OLE_LINK1"/>
                  <w:bookmarkStart w:id="155" w:name="OLE_LINK2"/>
                  <w:r>
                    <w:rPr/>
                    <w:sym w:font="Wingdings 2" w:char="F052"/>
                  </w:r>
                  <w:bookmarkEnd w:id="154"/>
                  <w:bookmarkEnd w:id="155"/>
                  <w:r>
                    <w:t>；水文要素影响型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85"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24" w:type="pct"/>
                  <w:tcBorders>
                    <w:top w:val="single" w:color="auto" w:sz="4" w:space="0"/>
                    <w:left w:val="single" w:color="auto" w:sz="4" w:space="0"/>
                    <w:bottom w:val="single" w:color="auto" w:sz="4" w:space="0"/>
                    <w:right w:val="single" w:color="auto" w:sz="4" w:space="0"/>
                  </w:tcBorders>
                  <w:vAlign w:val="center"/>
                </w:tcPr>
                <w:p>
                  <w:pPr>
                    <w:pStyle w:val="49"/>
                  </w:pPr>
                  <w:r>
                    <w:t>水环境保护目标</w:t>
                  </w:r>
                </w:p>
              </w:tc>
              <w:tc>
                <w:tcPr>
                  <w:tcW w:w="3990" w:type="pct"/>
                  <w:gridSpan w:val="12"/>
                  <w:tcBorders>
                    <w:top w:val="single" w:color="auto" w:sz="4" w:space="0"/>
                    <w:left w:val="single" w:color="auto" w:sz="4" w:space="0"/>
                    <w:bottom w:val="single" w:color="auto" w:sz="4" w:space="0"/>
                    <w:right w:val="single" w:color="auto" w:sz="4" w:space="0"/>
                  </w:tcBorders>
                  <w:vAlign w:val="center"/>
                </w:tcPr>
                <w:p>
                  <w:pPr>
                    <w:pStyle w:val="49"/>
                    <w:jc w:val="left"/>
                  </w:pPr>
                  <w:r>
                    <w:t xml:space="preserve">饮用水水源保护区 □；饮用水取水 □；涉水的自然保护区 □；重要湿地 □；重点保护与珍稀水生生物的栖息地 □；重要水生生物的自然产卵场及索饵场、越冬场和洄游通道、天然渔场等渔业水体 □；涉水的风景名胜区 □；其他 </w:t>
                  </w:r>
                  <w:r>
                    <w:rPr/>
                    <w:sym w:font="Wingdings 2" w:char="F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85"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24" w:type="pct"/>
                  <w:vMerge w:val="restart"/>
                  <w:tcBorders>
                    <w:top w:val="single" w:color="auto" w:sz="4" w:space="0"/>
                    <w:left w:val="single" w:color="auto" w:sz="4" w:space="0"/>
                    <w:bottom w:val="single" w:color="auto" w:sz="4" w:space="0"/>
                    <w:right w:val="single" w:color="auto" w:sz="4" w:space="0"/>
                  </w:tcBorders>
                  <w:vAlign w:val="center"/>
                </w:tcPr>
                <w:p>
                  <w:pPr>
                    <w:pStyle w:val="49"/>
                  </w:pPr>
                  <w:r>
                    <w:t>影响途径</w:t>
                  </w:r>
                </w:p>
              </w:tc>
              <w:tc>
                <w:tcPr>
                  <w:tcW w:w="2038" w:type="pct"/>
                  <w:gridSpan w:val="6"/>
                  <w:tcBorders>
                    <w:top w:val="single" w:color="auto" w:sz="4" w:space="0"/>
                    <w:left w:val="single" w:color="auto" w:sz="4" w:space="0"/>
                    <w:bottom w:val="single" w:color="auto" w:sz="4" w:space="0"/>
                    <w:right w:val="single" w:color="auto" w:sz="4" w:space="0"/>
                  </w:tcBorders>
                  <w:vAlign w:val="center"/>
                </w:tcPr>
                <w:p>
                  <w:pPr>
                    <w:pStyle w:val="49"/>
                  </w:pPr>
                  <w:r>
                    <w:t>水污染影响型</w:t>
                  </w:r>
                </w:p>
              </w:tc>
              <w:tc>
                <w:tcPr>
                  <w:tcW w:w="1951" w:type="pct"/>
                  <w:gridSpan w:val="6"/>
                  <w:tcBorders>
                    <w:top w:val="single" w:color="auto" w:sz="4" w:space="0"/>
                    <w:left w:val="single" w:color="auto" w:sz="4" w:space="0"/>
                    <w:bottom w:val="single" w:color="auto" w:sz="4" w:space="0"/>
                    <w:right w:val="single" w:color="auto" w:sz="4" w:space="0"/>
                  </w:tcBorders>
                  <w:vAlign w:val="center"/>
                </w:tcPr>
                <w:p>
                  <w:pPr>
                    <w:pStyle w:val="49"/>
                  </w:pPr>
                  <w: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85"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24"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2038" w:type="pct"/>
                  <w:gridSpan w:val="6"/>
                  <w:tcBorders>
                    <w:top w:val="single" w:color="auto" w:sz="4" w:space="0"/>
                    <w:left w:val="single" w:color="auto" w:sz="4" w:space="0"/>
                    <w:bottom w:val="single" w:color="auto" w:sz="4" w:space="0"/>
                    <w:right w:val="single" w:color="auto" w:sz="4" w:space="0"/>
                  </w:tcBorders>
                  <w:vAlign w:val="center"/>
                </w:tcPr>
                <w:p>
                  <w:pPr>
                    <w:pStyle w:val="49"/>
                  </w:pPr>
                  <w:r>
                    <w:t>直接排放 □；间接排放</w:t>
                  </w:r>
                  <w:r>
                    <w:rPr/>
                    <w:sym w:font="Wingdings 2" w:char="F052"/>
                  </w:r>
                  <w:r>
                    <w:t>；其他 □</w:t>
                  </w:r>
                </w:p>
              </w:tc>
              <w:tc>
                <w:tcPr>
                  <w:tcW w:w="1951" w:type="pct"/>
                  <w:gridSpan w:val="6"/>
                  <w:tcBorders>
                    <w:top w:val="single" w:color="auto" w:sz="4" w:space="0"/>
                    <w:left w:val="single" w:color="auto" w:sz="4" w:space="0"/>
                    <w:bottom w:val="single" w:color="auto" w:sz="4" w:space="0"/>
                    <w:right w:val="single" w:color="auto" w:sz="4" w:space="0"/>
                  </w:tcBorders>
                  <w:vAlign w:val="center"/>
                </w:tcPr>
                <w:p>
                  <w:pPr>
                    <w:pStyle w:val="49"/>
                  </w:pPr>
                  <w:r>
                    <w:t>水温 □；径流 □；水域面积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85"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24" w:type="pct"/>
                  <w:tcBorders>
                    <w:top w:val="single" w:color="auto" w:sz="4" w:space="0"/>
                    <w:left w:val="single" w:color="auto" w:sz="4" w:space="0"/>
                    <w:bottom w:val="single" w:color="auto" w:sz="4" w:space="0"/>
                    <w:right w:val="single" w:color="auto" w:sz="4" w:space="0"/>
                  </w:tcBorders>
                  <w:vAlign w:val="center"/>
                </w:tcPr>
                <w:p>
                  <w:pPr>
                    <w:pStyle w:val="49"/>
                  </w:pPr>
                  <w:r>
                    <w:t>影响因子</w:t>
                  </w:r>
                </w:p>
              </w:tc>
              <w:tc>
                <w:tcPr>
                  <w:tcW w:w="2038" w:type="pct"/>
                  <w:gridSpan w:val="6"/>
                  <w:tcBorders>
                    <w:top w:val="single" w:color="auto" w:sz="4" w:space="0"/>
                    <w:left w:val="single" w:color="auto" w:sz="4" w:space="0"/>
                    <w:bottom w:val="single" w:color="auto" w:sz="4" w:space="0"/>
                    <w:right w:val="single" w:color="auto" w:sz="4" w:space="0"/>
                  </w:tcBorders>
                  <w:vAlign w:val="center"/>
                </w:tcPr>
                <w:p>
                  <w:pPr>
                    <w:pStyle w:val="49"/>
                    <w:jc w:val="left"/>
                  </w:pPr>
                  <w:r>
                    <w:t>持久性污染物 □；有毒有害污染物 □；非持久性污染物</w:t>
                  </w:r>
                  <w:r>
                    <w:rPr/>
                    <w:sym w:font="Wingdings 2" w:char="F052"/>
                  </w:r>
                  <w:r>
                    <w:t xml:space="preserve">；pH值 </w:t>
                  </w:r>
                  <w:r>
                    <w:rPr/>
                    <w:sym w:font="Wingdings 2" w:char="00A3"/>
                  </w:r>
                  <w:r>
                    <w:t>；热污染 □；富营养化 □；其他 □</w:t>
                  </w:r>
                </w:p>
              </w:tc>
              <w:tc>
                <w:tcPr>
                  <w:tcW w:w="1951" w:type="pct"/>
                  <w:gridSpan w:val="6"/>
                  <w:tcBorders>
                    <w:top w:val="single" w:color="auto" w:sz="4" w:space="0"/>
                    <w:left w:val="single" w:color="auto" w:sz="4" w:space="0"/>
                    <w:bottom w:val="single" w:color="auto" w:sz="4" w:space="0"/>
                    <w:right w:val="single" w:color="auto" w:sz="4" w:space="0"/>
                  </w:tcBorders>
                  <w:vAlign w:val="center"/>
                </w:tcPr>
                <w:p>
                  <w:pPr>
                    <w:pStyle w:val="49"/>
                    <w:jc w:val="left"/>
                  </w:pPr>
                  <w:r>
                    <w:t>水温 □；水位（水深） □；流速 □；流量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09" w:type="pct"/>
                  <w:gridSpan w:val="2"/>
                  <w:vMerge w:val="restart"/>
                  <w:tcBorders>
                    <w:top w:val="single" w:color="auto" w:sz="4" w:space="0"/>
                    <w:left w:val="single" w:color="auto" w:sz="4" w:space="0"/>
                    <w:bottom w:val="single" w:color="auto" w:sz="4" w:space="0"/>
                    <w:right w:val="single" w:color="auto" w:sz="4" w:space="0"/>
                  </w:tcBorders>
                  <w:vAlign w:val="center"/>
                </w:tcPr>
                <w:p>
                  <w:pPr>
                    <w:pStyle w:val="49"/>
                  </w:pPr>
                  <w:r>
                    <w:t>评价等级</w:t>
                  </w:r>
                </w:p>
              </w:tc>
              <w:tc>
                <w:tcPr>
                  <w:tcW w:w="2038" w:type="pct"/>
                  <w:gridSpan w:val="6"/>
                  <w:tcBorders>
                    <w:top w:val="single" w:color="auto" w:sz="4" w:space="0"/>
                    <w:left w:val="single" w:color="auto" w:sz="4" w:space="0"/>
                    <w:bottom w:val="single" w:color="auto" w:sz="4" w:space="0"/>
                    <w:right w:val="single" w:color="auto" w:sz="4" w:space="0"/>
                  </w:tcBorders>
                  <w:vAlign w:val="center"/>
                </w:tcPr>
                <w:p>
                  <w:pPr>
                    <w:pStyle w:val="49"/>
                  </w:pPr>
                  <w:r>
                    <w:t>水污染影响型</w:t>
                  </w:r>
                </w:p>
              </w:tc>
              <w:tc>
                <w:tcPr>
                  <w:tcW w:w="1951" w:type="pct"/>
                  <w:gridSpan w:val="6"/>
                  <w:tcBorders>
                    <w:top w:val="single" w:color="auto" w:sz="4" w:space="0"/>
                    <w:left w:val="single" w:color="auto" w:sz="4" w:space="0"/>
                    <w:bottom w:val="single" w:color="auto" w:sz="4" w:space="0"/>
                    <w:right w:val="single" w:color="auto" w:sz="4" w:space="0"/>
                  </w:tcBorders>
                  <w:vAlign w:val="center"/>
                </w:tcPr>
                <w:p>
                  <w:pPr>
                    <w:pStyle w:val="49"/>
                  </w:pPr>
                  <w: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09" w:type="pct"/>
                  <w:gridSpan w:val="2"/>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2038" w:type="pct"/>
                  <w:gridSpan w:val="6"/>
                  <w:tcBorders>
                    <w:top w:val="single" w:color="auto" w:sz="4" w:space="0"/>
                    <w:left w:val="single" w:color="auto" w:sz="4" w:space="0"/>
                    <w:bottom w:val="single" w:color="auto" w:sz="4" w:space="0"/>
                    <w:right w:val="single" w:color="auto" w:sz="4" w:space="0"/>
                  </w:tcBorders>
                  <w:vAlign w:val="center"/>
                </w:tcPr>
                <w:p>
                  <w:pPr>
                    <w:pStyle w:val="49"/>
                  </w:pPr>
                  <w:r>
                    <w:t>一级 □；二级 □；三级A □；三级B</w:t>
                  </w:r>
                  <w:r>
                    <w:rPr/>
                    <w:sym w:font="Wingdings 2" w:char="F052"/>
                  </w:r>
                </w:p>
              </w:tc>
              <w:tc>
                <w:tcPr>
                  <w:tcW w:w="1951" w:type="pct"/>
                  <w:gridSpan w:val="6"/>
                  <w:tcBorders>
                    <w:top w:val="single" w:color="auto" w:sz="4" w:space="0"/>
                    <w:left w:val="single" w:color="auto" w:sz="4" w:space="0"/>
                    <w:bottom w:val="single" w:color="auto" w:sz="4" w:space="0"/>
                    <w:right w:val="single" w:color="auto" w:sz="4" w:space="0"/>
                  </w:tcBorders>
                  <w:vAlign w:val="center"/>
                </w:tcPr>
                <w:p>
                  <w:pPr>
                    <w:pStyle w:val="49"/>
                  </w:pPr>
                  <w:r>
                    <w:t>一级 □；二级 □；三级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85" w:type="pct"/>
                  <w:vMerge w:val="restart"/>
                  <w:tcBorders>
                    <w:top w:val="single" w:color="auto" w:sz="4" w:space="0"/>
                    <w:left w:val="single" w:color="auto" w:sz="4" w:space="0"/>
                    <w:bottom w:val="single" w:color="auto" w:sz="4" w:space="0"/>
                    <w:right w:val="single" w:color="auto" w:sz="4" w:space="0"/>
                  </w:tcBorders>
                  <w:vAlign w:val="center"/>
                </w:tcPr>
                <w:p>
                  <w:pPr>
                    <w:pStyle w:val="49"/>
                  </w:pPr>
                  <w:r>
                    <w:t>现状</w:t>
                  </w:r>
                </w:p>
                <w:p>
                  <w:pPr>
                    <w:pStyle w:val="49"/>
                  </w:pPr>
                  <w:r>
                    <w:t>调查（不开展）</w:t>
                  </w:r>
                </w:p>
              </w:tc>
              <w:tc>
                <w:tcPr>
                  <w:tcW w:w="724" w:type="pct"/>
                  <w:vMerge w:val="restart"/>
                  <w:tcBorders>
                    <w:top w:val="single" w:color="auto" w:sz="4" w:space="0"/>
                    <w:left w:val="single" w:color="auto" w:sz="4" w:space="0"/>
                    <w:bottom w:val="single" w:color="auto" w:sz="4" w:space="0"/>
                    <w:right w:val="single" w:color="auto" w:sz="4" w:space="0"/>
                  </w:tcBorders>
                  <w:vAlign w:val="center"/>
                </w:tcPr>
                <w:p>
                  <w:pPr>
                    <w:pStyle w:val="49"/>
                  </w:pPr>
                  <w:r>
                    <w:t>区域污染源</w:t>
                  </w:r>
                </w:p>
              </w:tc>
              <w:tc>
                <w:tcPr>
                  <w:tcW w:w="2038" w:type="pct"/>
                  <w:gridSpan w:val="6"/>
                  <w:tcBorders>
                    <w:top w:val="single" w:color="auto" w:sz="4" w:space="0"/>
                    <w:left w:val="single" w:color="auto" w:sz="4" w:space="0"/>
                    <w:bottom w:val="single" w:color="auto" w:sz="4" w:space="0"/>
                    <w:right w:val="single" w:color="auto" w:sz="4" w:space="0"/>
                  </w:tcBorders>
                  <w:vAlign w:val="center"/>
                </w:tcPr>
                <w:p>
                  <w:pPr>
                    <w:pStyle w:val="49"/>
                  </w:pPr>
                  <w:r>
                    <w:t>调查项目</w:t>
                  </w:r>
                </w:p>
              </w:tc>
              <w:tc>
                <w:tcPr>
                  <w:tcW w:w="1951" w:type="pct"/>
                  <w:gridSpan w:val="6"/>
                  <w:tcBorders>
                    <w:top w:val="single" w:color="auto" w:sz="4" w:space="0"/>
                    <w:left w:val="single" w:color="auto" w:sz="4" w:space="0"/>
                    <w:bottom w:val="single" w:color="auto" w:sz="4" w:space="0"/>
                    <w:right w:val="single" w:color="auto" w:sz="4" w:space="0"/>
                  </w:tcBorders>
                  <w:vAlign w:val="center"/>
                </w:tcPr>
                <w:p>
                  <w:pPr>
                    <w:pStyle w:val="49"/>
                  </w:pPr>
                  <w: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85"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24"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1124" w:type="pct"/>
                  <w:gridSpan w:val="3"/>
                  <w:tcBorders>
                    <w:top w:val="single" w:color="auto" w:sz="4" w:space="0"/>
                    <w:left w:val="single" w:color="auto" w:sz="4" w:space="0"/>
                    <w:bottom w:val="single" w:color="auto" w:sz="4" w:space="0"/>
                    <w:right w:val="single" w:color="auto" w:sz="4" w:space="0"/>
                  </w:tcBorders>
                  <w:vAlign w:val="center"/>
                </w:tcPr>
                <w:p>
                  <w:pPr>
                    <w:pStyle w:val="49"/>
                    <w:jc w:val="left"/>
                  </w:pPr>
                  <w:r>
                    <w:t>已建 □；在建 □；拟建 □；其他 □</w:t>
                  </w:r>
                </w:p>
              </w:tc>
              <w:tc>
                <w:tcPr>
                  <w:tcW w:w="914" w:type="pct"/>
                  <w:gridSpan w:val="3"/>
                  <w:tcBorders>
                    <w:top w:val="single" w:color="auto" w:sz="4" w:space="0"/>
                    <w:left w:val="single" w:color="auto" w:sz="4" w:space="0"/>
                    <w:bottom w:val="single" w:color="auto" w:sz="4" w:space="0"/>
                    <w:right w:val="single" w:color="auto" w:sz="4" w:space="0"/>
                  </w:tcBorders>
                  <w:vAlign w:val="center"/>
                </w:tcPr>
                <w:p>
                  <w:pPr>
                    <w:pStyle w:val="49"/>
                    <w:jc w:val="left"/>
                  </w:pPr>
                  <w:r>
                    <w:t>拟替代的污染源 □</w:t>
                  </w:r>
                </w:p>
              </w:tc>
              <w:tc>
                <w:tcPr>
                  <w:tcW w:w="1951" w:type="pct"/>
                  <w:gridSpan w:val="6"/>
                  <w:tcBorders>
                    <w:top w:val="single" w:color="auto" w:sz="4" w:space="0"/>
                    <w:left w:val="single" w:color="auto" w:sz="4" w:space="0"/>
                    <w:bottom w:val="single" w:color="auto" w:sz="4" w:space="0"/>
                    <w:right w:val="single" w:color="auto" w:sz="4" w:space="0"/>
                  </w:tcBorders>
                  <w:vAlign w:val="center"/>
                </w:tcPr>
                <w:p>
                  <w:pPr>
                    <w:pStyle w:val="49"/>
                    <w:jc w:val="left"/>
                  </w:pPr>
                  <w:r>
                    <w:t>排污许可证 □；环评 □；环保验收 □；既有实测 □；现场监测 □；入河排放口数据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85"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24" w:type="pct"/>
                  <w:vMerge w:val="restart"/>
                  <w:tcBorders>
                    <w:top w:val="single" w:color="auto" w:sz="4" w:space="0"/>
                    <w:left w:val="single" w:color="auto" w:sz="4" w:space="0"/>
                    <w:bottom w:val="single" w:color="auto" w:sz="4" w:space="0"/>
                    <w:right w:val="single" w:color="auto" w:sz="4" w:space="0"/>
                  </w:tcBorders>
                  <w:vAlign w:val="center"/>
                </w:tcPr>
                <w:p>
                  <w:pPr>
                    <w:pStyle w:val="49"/>
                  </w:pPr>
                  <w:r>
                    <w:t>受影响水体水环境质量</w:t>
                  </w:r>
                </w:p>
              </w:tc>
              <w:tc>
                <w:tcPr>
                  <w:tcW w:w="2038" w:type="pct"/>
                  <w:gridSpan w:val="6"/>
                  <w:tcBorders>
                    <w:top w:val="single" w:color="auto" w:sz="4" w:space="0"/>
                    <w:left w:val="single" w:color="auto" w:sz="4" w:space="0"/>
                    <w:bottom w:val="single" w:color="auto" w:sz="4" w:space="0"/>
                    <w:right w:val="single" w:color="auto" w:sz="4" w:space="0"/>
                  </w:tcBorders>
                  <w:vAlign w:val="center"/>
                </w:tcPr>
                <w:p>
                  <w:pPr>
                    <w:pStyle w:val="49"/>
                  </w:pPr>
                  <w:r>
                    <w:t>调查时期</w:t>
                  </w:r>
                </w:p>
              </w:tc>
              <w:tc>
                <w:tcPr>
                  <w:tcW w:w="1951" w:type="pct"/>
                  <w:gridSpan w:val="6"/>
                  <w:tcBorders>
                    <w:top w:val="single" w:color="auto" w:sz="4" w:space="0"/>
                    <w:left w:val="single" w:color="auto" w:sz="4" w:space="0"/>
                    <w:bottom w:val="single" w:color="auto" w:sz="4" w:space="0"/>
                    <w:right w:val="single" w:color="auto" w:sz="4" w:space="0"/>
                  </w:tcBorders>
                  <w:vAlign w:val="center"/>
                </w:tcPr>
                <w:p>
                  <w:pPr>
                    <w:pStyle w:val="49"/>
                  </w:pPr>
                  <w: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85"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24"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2038" w:type="pct"/>
                  <w:gridSpan w:val="6"/>
                  <w:tcBorders>
                    <w:top w:val="single" w:color="auto" w:sz="4" w:space="0"/>
                    <w:left w:val="single" w:color="auto" w:sz="4" w:space="0"/>
                    <w:bottom w:val="single" w:color="auto" w:sz="4" w:space="0"/>
                    <w:right w:val="single" w:color="auto" w:sz="4" w:space="0"/>
                  </w:tcBorders>
                  <w:vAlign w:val="center"/>
                </w:tcPr>
                <w:p>
                  <w:pPr>
                    <w:pStyle w:val="49"/>
                    <w:jc w:val="left"/>
                  </w:pPr>
                  <w:r>
                    <w:t>丰水期 □；平水期 □；枯水期 □；冰封期 □</w:t>
                  </w:r>
                </w:p>
                <w:p>
                  <w:pPr>
                    <w:pStyle w:val="49"/>
                    <w:jc w:val="left"/>
                  </w:pPr>
                  <w:r>
                    <w:t>春季□；夏季□；秋季□；冬季 □</w:t>
                  </w:r>
                </w:p>
              </w:tc>
              <w:tc>
                <w:tcPr>
                  <w:tcW w:w="1951" w:type="pct"/>
                  <w:gridSpan w:val="6"/>
                  <w:tcBorders>
                    <w:top w:val="single" w:color="auto" w:sz="4" w:space="0"/>
                    <w:left w:val="single" w:color="auto" w:sz="4" w:space="0"/>
                    <w:bottom w:val="single" w:color="auto" w:sz="4" w:space="0"/>
                    <w:right w:val="single" w:color="auto" w:sz="4" w:space="0"/>
                  </w:tcBorders>
                  <w:vAlign w:val="center"/>
                </w:tcPr>
                <w:p>
                  <w:pPr>
                    <w:pStyle w:val="49"/>
                    <w:jc w:val="left"/>
                  </w:pPr>
                  <w:r>
                    <w:t>生态环境保护主管部门 □；补充监测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85"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24" w:type="pct"/>
                  <w:tcBorders>
                    <w:top w:val="single" w:color="auto" w:sz="4" w:space="0"/>
                    <w:left w:val="single" w:color="auto" w:sz="4" w:space="0"/>
                    <w:bottom w:val="single" w:color="auto" w:sz="4" w:space="0"/>
                    <w:right w:val="single" w:color="auto" w:sz="4" w:space="0"/>
                  </w:tcBorders>
                  <w:vAlign w:val="center"/>
                </w:tcPr>
                <w:p>
                  <w:pPr>
                    <w:pStyle w:val="49"/>
                  </w:pPr>
                  <w:r>
                    <w:t>水域水资源开发利用状况</w:t>
                  </w:r>
                </w:p>
              </w:tc>
              <w:tc>
                <w:tcPr>
                  <w:tcW w:w="3990" w:type="pct"/>
                  <w:gridSpan w:val="12"/>
                  <w:tcBorders>
                    <w:top w:val="single" w:color="auto" w:sz="4" w:space="0"/>
                    <w:left w:val="single" w:color="auto" w:sz="4" w:space="0"/>
                    <w:bottom w:val="single" w:color="auto" w:sz="4" w:space="0"/>
                    <w:right w:val="single" w:color="auto" w:sz="4" w:space="0"/>
                  </w:tcBorders>
                  <w:vAlign w:val="center"/>
                </w:tcPr>
                <w:p>
                  <w:pPr>
                    <w:pStyle w:val="49"/>
                    <w:jc w:val="both"/>
                  </w:pPr>
                  <w:r>
                    <w:t>未开发 □；开发量40%以下 □；开发量40%以上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85"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24" w:type="pct"/>
                  <w:vMerge w:val="restart"/>
                  <w:tcBorders>
                    <w:top w:val="single" w:color="auto" w:sz="4" w:space="0"/>
                    <w:left w:val="single" w:color="auto" w:sz="4" w:space="0"/>
                    <w:bottom w:val="single" w:color="auto" w:sz="4" w:space="0"/>
                    <w:right w:val="single" w:color="auto" w:sz="4" w:space="0"/>
                  </w:tcBorders>
                  <w:vAlign w:val="center"/>
                </w:tcPr>
                <w:p>
                  <w:pPr>
                    <w:pStyle w:val="49"/>
                  </w:pPr>
                  <w:r>
                    <w:t>水文情势调查</w:t>
                  </w:r>
                </w:p>
              </w:tc>
              <w:tc>
                <w:tcPr>
                  <w:tcW w:w="2038" w:type="pct"/>
                  <w:gridSpan w:val="6"/>
                  <w:tcBorders>
                    <w:top w:val="single" w:color="auto" w:sz="4" w:space="0"/>
                    <w:left w:val="single" w:color="auto" w:sz="4" w:space="0"/>
                    <w:bottom w:val="single" w:color="auto" w:sz="4" w:space="0"/>
                    <w:right w:val="single" w:color="auto" w:sz="4" w:space="0"/>
                  </w:tcBorders>
                  <w:vAlign w:val="center"/>
                </w:tcPr>
                <w:p>
                  <w:pPr>
                    <w:pStyle w:val="49"/>
                  </w:pPr>
                  <w:r>
                    <w:t>调查时期</w:t>
                  </w:r>
                </w:p>
              </w:tc>
              <w:tc>
                <w:tcPr>
                  <w:tcW w:w="1951" w:type="pct"/>
                  <w:gridSpan w:val="6"/>
                  <w:tcBorders>
                    <w:top w:val="single" w:color="auto" w:sz="4" w:space="0"/>
                    <w:left w:val="single" w:color="auto" w:sz="4" w:space="0"/>
                    <w:bottom w:val="single" w:color="auto" w:sz="4" w:space="0"/>
                    <w:right w:val="single" w:color="auto" w:sz="4" w:space="0"/>
                  </w:tcBorders>
                  <w:vAlign w:val="center"/>
                </w:tcPr>
                <w:p>
                  <w:pPr>
                    <w:pStyle w:val="49"/>
                  </w:pPr>
                  <w: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85"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24"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2038" w:type="pct"/>
                  <w:gridSpan w:val="6"/>
                  <w:tcBorders>
                    <w:top w:val="single" w:color="auto" w:sz="4" w:space="0"/>
                    <w:left w:val="single" w:color="auto" w:sz="4" w:space="0"/>
                    <w:bottom w:val="single" w:color="auto" w:sz="4" w:space="0"/>
                    <w:right w:val="single" w:color="auto" w:sz="4" w:space="0"/>
                  </w:tcBorders>
                  <w:vAlign w:val="center"/>
                </w:tcPr>
                <w:p>
                  <w:pPr>
                    <w:pStyle w:val="49"/>
                    <w:jc w:val="left"/>
                  </w:pPr>
                  <w:r>
                    <w:t>丰水期 □；平水期 □；枯水期 □；冰封期 □</w:t>
                  </w:r>
                </w:p>
                <w:p>
                  <w:pPr>
                    <w:pStyle w:val="49"/>
                    <w:jc w:val="left"/>
                  </w:pPr>
                  <w:r>
                    <w:t>春季 □；夏季 □；秋季 □；冬季 □</w:t>
                  </w:r>
                </w:p>
              </w:tc>
              <w:tc>
                <w:tcPr>
                  <w:tcW w:w="1951" w:type="pct"/>
                  <w:gridSpan w:val="6"/>
                  <w:tcBorders>
                    <w:top w:val="single" w:color="auto" w:sz="4" w:space="0"/>
                    <w:left w:val="single" w:color="auto" w:sz="4" w:space="0"/>
                    <w:bottom w:val="single" w:color="auto" w:sz="4" w:space="0"/>
                    <w:right w:val="single" w:color="auto" w:sz="4" w:space="0"/>
                  </w:tcBorders>
                  <w:vAlign w:val="center"/>
                </w:tcPr>
                <w:p>
                  <w:pPr>
                    <w:pStyle w:val="49"/>
                    <w:jc w:val="left"/>
                  </w:pPr>
                  <w:r>
                    <w:t>水行政主管部门 □；补充监测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85"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24" w:type="pct"/>
                  <w:vMerge w:val="restart"/>
                  <w:tcBorders>
                    <w:top w:val="single" w:color="auto" w:sz="4" w:space="0"/>
                    <w:left w:val="single" w:color="auto" w:sz="4" w:space="0"/>
                    <w:bottom w:val="single" w:color="auto" w:sz="4" w:space="0"/>
                    <w:right w:val="single" w:color="auto" w:sz="4" w:space="0"/>
                  </w:tcBorders>
                  <w:vAlign w:val="center"/>
                </w:tcPr>
                <w:p>
                  <w:pPr>
                    <w:pStyle w:val="49"/>
                  </w:pPr>
                  <w:r>
                    <w:t>补充监测</w:t>
                  </w:r>
                </w:p>
              </w:tc>
              <w:tc>
                <w:tcPr>
                  <w:tcW w:w="2038" w:type="pct"/>
                  <w:gridSpan w:val="6"/>
                  <w:tcBorders>
                    <w:top w:val="single" w:color="auto" w:sz="4" w:space="0"/>
                    <w:left w:val="single" w:color="auto" w:sz="4" w:space="0"/>
                    <w:bottom w:val="single" w:color="auto" w:sz="4" w:space="0"/>
                    <w:right w:val="single" w:color="auto" w:sz="4" w:space="0"/>
                  </w:tcBorders>
                  <w:vAlign w:val="center"/>
                </w:tcPr>
                <w:p>
                  <w:pPr>
                    <w:pStyle w:val="49"/>
                  </w:pPr>
                  <w:r>
                    <w:t>监测时期</w:t>
                  </w:r>
                </w:p>
              </w:tc>
              <w:tc>
                <w:tcPr>
                  <w:tcW w:w="1081" w:type="pct"/>
                  <w:gridSpan w:val="4"/>
                  <w:tcBorders>
                    <w:top w:val="single" w:color="auto" w:sz="4" w:space="0"/>
                    <w:left w:val="single" w:color="auto" w:sz="4" w:space="0"/>
                    <w:bottom w:val="single" w:color="auto" w:sz="4" w:space="0"/>
                    <w:right w:val="single" w:color="auto" w:sz="4" w:space="0"/>
                  </w:tcBorders>
                  <w:vAlign w:val="center"/>
                </w:tcPr>
                <w:p>
                  <w:pPr>
                    <w:pStyle w:val="49"/>
                  </w:pPr>
                  <w:r>
                    <w:t>监测因子</w:t>
                  </w:r>
                </w:p>
              </w:tc>
              <w:tc>
                <w:tcPr>
                  <w:tcW w:w="870" w:type="pct"/>
                  <w:gridSpan w:val="2"/>
                  <w:tcBorders>
                    <w:top w:val="single" w:color="auto" w:sz="4" w:space="0"/>
                    <w:left w:val="single" w:color="auto" w:sz="4" w:space="0"/>
                    <w:bottom w:val="single" w:color="auto" w:sz="4" w:space="0"/>
                    <w:right w:val="single" w:color="auto" w:sz="4" w:space="0"/>
                  </w:tcBorders>
                  <w:vAlign w:val="center"/>
                </w:tcPr>
                <w:p>
                  <w:pPr>
                    <w:pStyle w:val="49"/>
                  </w:pPr>
                  <w:r>
                    <w:t>监测断面或点位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85"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24"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2038" w:type="pct"/>
                  <w:gridSpan w:val="6"/>
                  <w:tcBorders>
                    <w:top w:val="single" w:color="auto" w:sz="4" w:space="0"/>
                    <w:left w:val="single" w:color="auto" w:sz="4" w:space="0"/>
                    <w:bottom w:val="single" w:color="auto" w:sz="4" w:space="0"/>
                    <w:right w:val="single" w:color="auto" w:sz="4" w:space="0"/>
                  </w:tcBorders>
                  <w:vAlign w:val="center"/>
                </w:tcPr>
                <w:p>
                  <w:pPr>
                    <w:pStyle w:val="49"/>
                    <w:jc w:val="left"/>
                  </w:pPr>
                  <w:r>
                    <w:t>丰水期 □；平水期 □；枯水期 □；冰封期 □</w:t>
                  </w:r>
                </w:p>
                <w:p>
                  <w:pPr>
                    <w:pStyle w:val="49"/>
                    <w:jc w:val="left"/>
                  </w:pPr>
                  <w:r>
                    <w:t>春季 □；夏季 □；秋季 □；冬季 □</w:t>
                  </w:r>
                </w:p>
              </w:tc>
              <w:tc>
                <w:tcPr>
                  <w:tcW w:w="1081" w:type="pct"/>
                  <w:gridSpan w:val="4"/>
                  <w:tcBorders>
                    <w:top w:val="single" w:color="auto" w:sz="4" w:space="0"/>
                    <w:left w:val="single" w:color="auto" w:sz="4" w:space="0"/>
                    <w:bottom w:val="single" w:color="auto" w:sz="4" w:space="0"/>
                    <w:right w:val="single" w:color="auto" w:sz="4" w:space="0"/>
                  </w:tcBorders>
                  <w:vAlign w:val="center"/>
                </w:tcPr>
                <w:p>
                  <w:pPr>
                    <w:pStyle w:val="49"/>
                  </w:pPr>
                  <w:r>
                    <w:t>（ / ）</w:t>
                  </w:r>
                </w:p>
              </w:tc>
              <w:tc>
                <w:tcPr>
                  <w:tcW w:w="870" w:type="pct"/>
                  <w:gridSpan w:val="2"/>
                  <w:tcBorders>
                    <w:top w:val="single" w:color="auto" w:sz="4" w:space="0"/>
                    <w:left w:val="single" w:color="auto" w:sz="4" w:space="0"/>
                    <w:bottom w:val="single" w:color="auto" w:sz="4" w:space="0"/>
                    <w:right w:val="single" w:color="auto" w:sz="4" w:space="0"/>
                  </w:tcBorders>
                  <w:vAlign w:val="center"/>
                </w:tcPr>
                <w:p>
                  <w:pPr>
                    <w:pStyle w:val="49"/>
                  </w:pPr>
                  <w:r>
                    <w:t>监测断面或点位个数（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85" w:type="pct"/>
                  <w:vMerge w:val="restart"/>
                  <w:tcBorders>
                    <w:top w:val="single" w:color="auto" w:sz="4" w:space="0"/>
                    <w:left w:val="single" w:color="auto" w:sz="4" w:space="0"/>
                    <w:bottom w:val="single" w:color="auto" w:sz="4" w:space="0"/>
                    <w:right w:val="single" w:color="auto" w:sz="4" w:space="0"/>
                  </w:tcBorders>
                  <w:vAlign w:val="center"/>
                </w:tcPr>
                <w:p>
                  <w:pPr>
                    <w:pStyle w:val="49"/>
                  </w:pPr>
                  <w:r>
                    <w:t>现状</w:t>
                  </w:r>
                </w:p>
                <w:p>
                  <w:pPr>
                    <w:pStyle w:val="49"/>
                  </w:pPr>
                  <w:r>
                    <w:t>评价（不开展）</w:t>
                  </w:r>
                </w:p>
              </w:tc>
              <w:tc>
                <w:tcPr>
                  <w:tcW w:w="724" w:type="pct"/>
                  <w:tcBorders>
                    <w:top w:val="single" w:color="auto" w:sz="4" w:space="0"/>
                    <w:left w:val="single" w:color="auto" w:sz="4" w:space="0"/>
                    <w:bottom w:val="single" w:color="auto" w:sz="4" w:space="0"/>
                    <w:right w:val="single" w:color="auto" w:sz="4" w:space="0"/>
                  </w:tcBorders>
                  <w:vAlign w:val="center"/>
                </w:tcPr>
                <w:p>
                  <w:pPr>
                    <w:pStyle w:val="49"/>
                  </w:pPr>
                  <w:r>
                    <w:t>评价范围</w:t>
                  </w:r>
                </w:p>
              </w:tc>
              <w:tc>
                <w:tcPr>
                  <w:tcW w:w="3990" w:type="pct"/>
                  <w:gridSpan w:val="12"/>
                  <w:tcBorders>
                    <w:top w:val="single" w:color="auto" w:sz="4" w:space="0"/>
                    <w:left w:val="single" w:color="auto" w:sz="4" w:space="0"/>
                    <w:bottom w:val="single" w:color="auto" w:sz="4" w:space="0"/>
                    <w:right w:val="single" w:color="auto" w:sz="4" w:space="0"/>
                  </w:tcBorders>
                  <w:vAlign w:val="center"/>
                </w:tcPr>
                <w:p>
                  <w:pPr>
                    <w:pStyle w:val="49"/>
                    <w:jc w:val="both"/>
                  </w:pPr>
                  <w:r>
                    <w:t>河流：长度（ / ）km；湖库、河口及近岸海域：面积（ / ）km</w:t>
                  </w:r>
                  <w:r>
                    <w:rPr>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85"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24" w:type="pct"/>
                  <w:tcBorders>
                    <w:top w:val="single" w:color="auto" w:sz="4" w:space="0"/>
                    <w:left w:val="single" w:color="auto" w:sz="4" w:space="0"/>
                    <w:bottom w:val="single" w:color="auto" w:sz="4" w:space="0"/>
                    <w:right w:val="single" w:color="auto" w:sz="4" w:space="0"/>
                  </w:tcBorders>
                  <w:vAlign w:val="center"/>
                </w:tcPr>
                <w:p>
                  <w:pPr>
                    <w:pStyle w:val="49"/>
                  </w:pPr>
                  <w:r>
                    <w:t>评价因子</w:t>
                  </w:r>
                </w:p>
              </w:tc>
              <w:tc>
                <w:tcPr>
                  <w:tcW w:w="3990" w:type="pct"/>
                  <w:gridSpan w:val="12"/>
                  <w:tcBorders>
                    <w:top w:val="single" w:color="auto" w:sz="4" w:space="0"/>
                    <w:left w:val="single" w:color="auto" w:sz="4" w:space="0"/>
                    <w:bottom w:val="single" w:color="auto" w:sz="4" w:space="0"/>
                    <w:right w:val="single" w:color="auto" w:sz="4" w:space="0"/>
                  </w:tcBorders>
                  <w:vAlign w:val="center"/>
                </w:tcPr>
                <w:p>
                  <w:pPr>
                    <w:pStyle w:val="49"/>
                    <w:jc w:val="both"/>
                  </w:pPr>
                  <w:r>
                    <w:t>（</w:t>
                  </w:r>
                  <w:r>
                    <w:rPr>
                      <w:rFonts w:hint="eastAsia"/>
                    </w:rPr>
                    <w:t xml:space="preserve"> / </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85"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24" w:type="pct"/>
                  <w:tcBorders>
                    <w:top w:val="single" w:color="auto" w:sz="4" w:space="0"/>
                    <w:left w:val="single" w:color="auto" w:sz="4" w:space="0"/>
                    <w:bottom w:val="single" w:color="auto" w:sz="4" w:space="0"/>
                    <w:right w:val="single" w:color="auto" w:sz="4" w:space="0"/>
                  </w:tcBorders>
                  <w:vAlign w:val="center"/>
                </w:tcPr>
                <w:p>
                  <w:pPr>
                    <w:pStyle w:val="49"/>
                  </w:pPr>
                  <w:r>
                    <w:t>评价标准</w:t>
                  </w:r>
                </w:p>
              </w:tc>
              <w:tc>
                <w:tcPr>
                  <w:tcW w:w="3990" w:type="pct"/>
                  <w:gridSpan w:val="12"/>
                  <w:tcBorders>
                    <w:top w:val="single" w:color="auto" w:sz="4" w:space="0"/>
                    <w:left w:val="single" w:color="auto" w:sz="4" w:space="0"/>
                    <w:bottom w:val="single" w:color="auto" w:sz="4" w:space="0"/>
                    <w:right w:val="single" w:color="auto" w:sz="4" w:space="0"/>
                  </w:tcBorders>
                  <w:vAlign w:val="center"/>
                </w:tcPr>
                <w:p>
                  <w:pPr>
                    <w:pStyle w:val="49"/>
                    <w:jc w:val="both"/>
                  </w:pPr>
                  <w:r>
                    <w:t xml:space="preserve">河流、湖库、河口：Ⅰ类 □；Ⅱ类 □；Ⅲ类 </w:t>
                  </w:r>
                  <w:r>
                    <w:rPr/>
                    <w:sym w:font="Wingdings 2" w:char="0052"/>
                  </w:r>
                  <w:r>
                    <w:t xml:space="preserve">；Ⅳ类 </w:t>
                  </w:r>
                  <w:r>
                    <w:rPr/>
                    <w:sym w:font="Wingdings 2" w:char="00A3"/>
                  </w:r>
                  <w:r>
                    <w:t>；Ⅴ类 □</w:t>
                  </w:r>
                </w:p>
                <w:p>
                  <w:pPr>
                    <w:pStyle w:val="49"/>
                    <w:jc w:val="both"/>
                  </w:pPr>
                  <w:r>
                    <w:t>近岸海域：第一类 □；第二类 □；第三类 □；第四类 □</w:t>
                  </w:r>
                </w:p>
                <w:p>
                  <w:pPr>
                    <w:pStyle w:val="49"/>
                    <w:jc w:val="both"/>
                  </w:pPr>
                  <w:r>
                    <w:t>规划年评价标准（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85"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24" w:type="pct"/>
                  <w:tcBorders>
                    <w:top w:val="single" w:color="auto" w:sz="4" w:space="0"/>
                    <w:left w:val="single" w:color="auto" w:sz="4" w:space="0"/>
                    <w:bottom w:val="single" w:color="auto" w:sz="4" w:space="0"/>
                    <w:right w:val="single" w:color="auto" w:sz="4" w:space="0"/>
                  </w:tcBorders>
                  <w:vAlign w:val="center"/>
                </w:tcPr>
                <w:p>
                  <w:pPr>
                    <w:pStyle w:val="49"/>
                  </w:pPr>
                  <w:r>
                    <w:t>评价时期</w:t>
                  </w:r>
                </w:p>
              </w:tc>
              <w:tc>
                <w:tcPr>
                  <w:tcW w:w="3990" w:type="pct"/>
                  <w:gridSpan w:val="12"/>
                  <w:tcBorders>
                    <w:top w:val="single" w:color="auto" w:sz="4" w:space="0"/>
                    <w:left w:val="single" w:color="auto" w:sz="4" w:space="0"/>
                    <w:bottom w:val="single" w:color="auto" w:sz="4" w:space="0"/>
                    <w:right w:val="single" w:color="auto" w:sz="4" w:space="0"/>
                  </w:tcBorders>
                  <w:vAlign w:val="center"/>
                </w:tcPr>
                <w:p>
                  <w:pPr>
                    <w:pStyle w:val="49"/>
                    <w:jc w:val="both"/>
                  </w:pPr>
                  <w:r>
                    <w:t>丰水期 □；平水期 □；枯水期 □；冰封期 □</w:t>
                  </w:r>
                </w:p>
                <w:p>
                  <w:pPr>
                    <w:pStyle w:val="49"/>
                    <w:jc w:val="both"/>
                  </w:pPr>
                  <w:r>
                    <w:t>春季□；夏季 □；秋季□；冬季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85"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24" w:type="pct"/>
                  <w:tcBorders>
                    <w:top w:val="single" w:color="auto" w:sz="4" w:space="0"/>
                    <w:left w:val="single" w:color="auto" w:sz="4" w:space="0"/>
                    <w:bottom w:val="single" w:color="auto" w:sz="4" w:space="0"/>
                    <w:right w:val="single" w:color="auto" w:sz="4" w:space="0"/>
                  </w:tcBorders>
                  <w:vAlign w:val="center"/>
                </w:tcPr>
                <w:p>
                  <w:pPr>
                    <w:pStyle w:val="49"/>
                  </w:pPr>
                  <w:r>
                    <w:t>评价结论</w:t>
                  </w:r>
                </w:p>
              </w:tc>
              <w:tc>
                <w:tcPr>
                  <w:tcW w:w="3384" w:type="pct"/>
                  <w:gridSpan w:val="11"/>
                  <w:tcBorders>
                    <w:top w:val="single" w:color="auto" w:sz="4" w:space="0"/>
                    <w:left w:val="single" w:color="auto" w:sz="4" w:space="0"/>
                    <w:bottom w:val="single" w:color="auto" w:sz="4" w:space="0"/>
                    <w:right w:val="single" w:color="auto" w:sz="4" w:space="0"/>
                  </w:tcBorders>
                  <w:vAlign w:val="center"/>
                </w:tcPr>
                <w:p>
                  <w:pPr>
                    <w:pStyle w:val="49"/>
                    <w:jc w:val="left"/>
                  </w:pPr>
                  <w:r>
                    <w:t>水环境功能区或水功能区、近岸海域环境功能区水质达标状况 □；达标 □；不达标□</w:t>
                  </w:r>
                </w:p>
                <w:p>
                  <w:pPr>
                    <w:pStyle w:val="49"/>
                    <w:jc w:val="left"/>
                  </w:pPr>
                  <w:r>
                    <w:t>水环境控制单元或断面水质达标状况 □；达标 □；不达标 □</w:t>
                  </w:r>
                </w:p>
                <w:p>
                  <w:pPr>
                    <w:pStyle w:val="49"/>
                    <w:jc w:val="left"/>
                  </w:pPr>
                  <w:r>
                    <w:t xml:space="preserve">水环境保护目标质量状况 </w:t>
                  </w:r>
                  <w:r>
                    <w:rPr/>
                    <w:sym w:font="Wingdings 2" w:char="00A3"/>
                  </w:r>
                  <w:r>
                    <w:t>：达标 □；不达标 □</w:t>
                  </w:r>
                </w:p>
                <w:p>
                  <w:pPr>
                    <w:pStyle w:val="49"/>
                    <w:jc w:val="left"/>
                  </w:pPr>
                  <w:r>
                    <w:t>对照断面、控制断面等代表性断面的水质状况 □：达标 □；不达标 □</w:t>
                  </w:r>
                </w:p>
                <w:p>
                  <w:pPr>
                    <w:pStyle w:val="49"/>
                    <w:jc w:val="left"/>
                  </w:pPr>
                  <w:r>
                    <w:t>底泥污染评价 □</w:t>
                  </w:r>
                </w:p>
                <w:p>
                  <w:pPr>
                    <w:pStyle w:val="49"/>
                    <w:jc w:val="left"/>
                  </w:pPr>
                  <w:r>
                    <w:t>水资源与开发利用程度及其水文情势评价 □</w:t>
                  </w:r>
                </w:p>
                <w:p>
                  <w:pPr>
                    <w:pStyle w:val="49"/>
                    <w:jc w:val="left"/>
                  </w:pPr>
                  <w:r>
                    <w:t>水环境质量回顾评价 □</w:t>
                  </w:r>
                </w:p>
                <w:p>
                  <w:pPr>
                    <w:pStyle w:val="49"/>
                    <w:jc w:val="left"/>
                  </w:pPr>
                  <w:r>
                    <w:t>流域（区域）水资源（包括水能资源）与开发利用总体状况、生态流量管理要求与现状满足程度、建设项目占用水域空间的水流状况与河湖演变状况 □</w:t>
                  </w:r>
                </w:p>
              </w:tc>
              <w:tc>
                <w:tcPr>
                  <w:tcW w:w="606" w:type="pct"/>
                  <w:tcBorders>
                    <w:top w:val="single" w:color="auto" w:sz="4" w:space="0"/>
                    <w:left w:val="single" w:color="auto" w:sz="4" w:space="0"/>
                    <w:bottom w:val="single" w:color="auto" w:sz="4" w:space="0"/>
                    <w:right w:val="single" w:color="auto" w:sz="4" w:space="0"/>
                  </w:tcBorders>
                  <w:vAlign w:val="center"/>
                </w:tcPr>
                <w:p>
                  <w:pPr>
                    <w:pStyle w:val="49"/>
                  </w:pPr>
                  <w:r>
                    <w:t>达标区 □</w:t>
                  </w:r>
                </w:p>
                <w:p>
                  <w:pPr>
                    <w:pStyle w:val="49"/>
                  </w:pPr>
                  <w:r>
                    <w:t>不达标区□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85" w:type="pct"/>
                  <w:vMerge w:val="restart"/>
                  <w:tcBorders>
                    <w:top w:val="single" w:color="auto" w:sz="4" w:space="0"/>
                    <w:left w:val="single" w:color="auto" w:sz="4" w:space="0"/>
                    <w:bottom w:val="single" w:color="auto" w:sz="4" w:space="0"/>
                    <w:right w:val="single" w:color="auto" w:sz="4" w:space="0"/>
                  </w:tcBorders>
                  <w:vAlign w:val="center"/>
                </w:tcPr>
                <w:p>
                  <w:pPr>
                    <w:pStyle w:val="49"/>
                  </w:pPr>
                  <w:r>
                    <w:t>影响预测（不开展）</w:t>
                  </w:r>
                </w:p>
              </w:tc>
              <w:tc>
                <w:tcPr>
                  <w:tcW w:w="724" w:type="pct"/>
                  <w:tcBorders>
                    <w:top w:val="single" w:color="auto" w:sz="4" w:space="0"/>
                    <w:left w:val="single" w:color="auto" w:sz="4" w:space="0"/>
                    <w:bottom w:val="single" w:color="auto" w:sz="4" w:space="0"/>
                    <w:right w:val="single" w:color="auto" w:sz="4" w:space="0"/>
                  </w:tcBorders>
                  <w:vAlign w:val="center"/>
                </w:tcPr>
                <w:p>
                  <w:pPr>
                    <w:pStyle w:val="49"/>
                  </w:pPr>
                  <w:r>
                    <w:t>预测范围</w:t>
                  </w:r>
                </w:p>
              </w:tc>
              <w:tc>
                <w:tcPr>
                  <w:tcW w:w="3990" w:type="pct"/>
                  <w:gridSpan w:val="12"/>
                  <w:tcBorders>
                    <w:top w:val="single" w:color="auto" w:sz="4" w:space="0"/>
                    <w:left w:val="single" w:color="auto" w:sz="4" w:space="0"/>
                    <w:bottom w:val="single" w:color="auto" w:sz="4" w:space="0"/>
                    <w:right w:val="single" w:color="auto" w:sz="4" w:space="0"/>
                  </w:tcBorders>
                  <w:vAlign w:val="center"/>
                </w:tcPr>
                <w:p>
                  <w:pPr>
                    <w:pStyle w:val="49"/>
                    <w:jc w:val="both"/>
                  </w:pPr>
                  <w:r>
                    <w:t>河流：长度（ / ）km；湖库、河口及近岸海域：面积（ / ）km</w:t>
                  </w:r>
                  <w:r>
                    <w:rPr>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85"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24" w:type="pct"/>
                  <w:tcBorders>
                    <w:top w:val="single" w:color="auto" w:sz="4" w:space="0"/>
                    <w:left w:val="single" w:color="auto" w:sz="4" w:space="0"/>
                    <w:bottom w:val="single" w:color="auto" w:sz="4" w:space="0"/>
                    <w:right w:val="single" w:color="auto" w:sz="4" w:space="0"/>
                  </w:tcBorders>
                  <w:vAlign w:val="center"/>
                </w:tcPr>
                <w:p>
                  <w:pPr>
                    <w:pStyle w:val="49"/>
                  </w:pPr>
                  <w:r>
                    <w:t>预测因子</w:t>
                  </w:r>
                </w:p>
              </w:tc>
              <w:tc>
                <w:tcPr>
                  <w:tcW w:w="3990" w:type="pct"/>
                  <w:gridSpan w:val="12"/>
                  <w:tcBorders>
                    <w:top w:val="single" w:color="auto" w:sz="4" w:space="0"/>
                    <w:left w:val="single" w:color="auto" w:sz="4" w:space="0"/>
                    <w:bottom w:val="single" w:color="auto" w:sz="4" w:space="0"/>
                    <w:right w:val="single" w:color="auto" w:sz="4" w:space="0"/>
                  </w:tcBorders>
                  <w:vAlign w:val="center"/>
                </w:tcPr>
                <w:p>
                  <w:pPr>
                    <w:pStyle w:val="49"/>
                    <w:jc w:val="both"/>
                  </w:pPr>
                  <w:r>
                    <w:t>（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85"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24" w:type="pct"/>
                  <w:tcBorders>
                    <w:top w:val="single" w:color="auto" w:sz="4" w:space="0"/>
                    <w:left w:val="single" w:color="auto" w:sz="4" w:space="0"/>
                    <w:bottom w:val="single" w:color="auto" w:sz="4" w:space="0"/>
                    <w:right w:val="single" w:color="auto" w:sz="4" w:space="0"/>
                  </w:tcBorders>
                  <w:vAlign w:val="center"/>
                </w:tcPr>
                <w:p>
                  <w:pPr>
                    <w:pStyle w:val="49"/>
                  </w:pPr>
                  <w:r>
                    <w:t>预测时期</w:t>
                  </w:r>
                </w:p>
              </w:tc>
              <w:tc>
                <w:tcPr>
                  <w:tcW w:w="3990" w:type="pct"/>
                  <w:gridSpan w:val="12"/>
                  <w:tcBorders>
                    <w:top w:val="single" w:color="auto" w:sz="4" w:space="0"/>
                    <w:left w:val="single" w:color="auto" w:sz="4" w:space="0"/>
                    <w:bottom w:val="single" w:color="auto" w:sz="4" w:space="0"/>
                    <w:right w:val="single" w:color="auto" w:sz="4" w:space="0"/>
                  </w:tcBorders>
                  <w:vAlign w:val="center"/>
                </w:tcPr>
                <w:p>
                  <w:pPr>
                    <w:pStyle w:val="49"/>
                    <w:jc w:val="left"/>
                  </w:pPr>
                  <w:r>
                    <w:t>丰水期 □；平水期 □；枯水期 □；冰封期 □</w:t>
                  </w:r>
                </w:p>
                <w:p>
                  <w:pPr>
                    <w:pStyle w:val="49"/>
                    <w:jc w:val="left"/>
                  </w:pPr>
                  <w:r>
                    <w:t>春季 □；夏季 □；秋季 □；冬季 □</w:t>
                  </w:r>
                </w:p>
                <w:p>
                  <w:pPr>
                    <w:pStyle w:val="49"/>
                    <w:jc w:val="left"/>
                  </w:pPr>
                  <w:r>
                    <w:t>设计水文条件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85"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24" w:type="pct"/>
                  <w:tcBorders>
                    <w:top w:val="single" w:color="auto" w:sz="4" w:space="0"/>
                    <w:left w:val="single" w:color="auto" w:sz="4" w:space="0"/>
                    <w:bottom w:val="single" w:color="auto" w:sz="4" w:space="0"/>
                    <w:right w:val="single" w:color="auto" w:sz="4" w:space="0"/>
                  </w:tcBorders>
                  <w:vAlign w:val="center"/>
                </w:tcPr>
                <w:p>
                  <w:pPr>
                    <w:pStyle w:val="49"/>
                  </w:pPr>
                  <w:r>
                    <w:t>预测情景</w:t>
                  </w:r>
                </w:p>
              </w:tc>
              <w:tc>
                <w:tcPr>
                  <w:tcW w:w="3990" w:type="pct"/>
                  <w:gridSpan w:val="12"/>
                  <w:tcBorders>
                    <w:top w:val="single" w:color="auto" w:sz="4" w:space="0"/>
                    <w:left w:val="single" w:color="auto" w:sz="4" w:space="0"/>
                    <w:bottom w:val="single" w:color="auto" w:sz="4" w:space="0"/>
                    <w:right w:val="single" w:color="auto" w:sz="4" w:space="0"/>
                  </w:tcBorders>
                  <w:vAlign w:val="center"/>
                </w:tcPr>
                <w:p>
                  <w:pPr>
                    <w:pStyle w:val="49"/>
                    <w:jc w:val="left"/>
                  </w:pPr>
                  <w:r>
                    <w:t>建设期 □；生产运行期 □；服务期满后 □</w:t>
                  </w:r>
                </w:p>
                <w:p>
                  <w:pPr>
                    <w:pStyle w:val="49"/>
                    <w:jc w:val="left"/>
                  </w:pPr>
                  <w:r>
                    <w:t>正常工况 □；非正常工况 □</w:t>
                  </w:r>
                </w:p>
                <w:p>
                  <w:pPr>
                    <w:pStyle w:val="49"/>
                    <w:jc w:val="left"/>
                  </w:pPr>
                  <w:r>
                    <w:t>污染控制和减缓措施方案 □</w:t>
                  </w:r>
                </w:p>
                <w:p>
                  <w:pPr>
                    <w:pStyle w:val="49"/>
                    <w:jc w:val="left"/>
                  </w:pPr>
                  <w:r>
                    <w:t>区（流）域环境质量改善目标要求情景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85"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24" w:type="pct"/>
                  <w:tcBorders>
                    <w:top w:val="single" w:color="auto" w:sz="4" w:space="0"/>
                    <w:left w:val="single" w:color="auto" w:sz="4" w:space="0"/>
                    <w:bottom w:val="single" w:color="auto" w:sz="4" w:space="0"/>
                    <w:right w:val="single" w:color="auto" w:sz="4" w:space="0"/>
                  </w:tcBorders>
                  <w:vAlign w:val="center"/>
                </w:tcPr>
                <w:p>
                  <w:pPr>
                    <w:pStyle w:val="49"/>
                  </w:pPr>
                  <w:r>
                    <w:t>预测方法</w:t>
                  </w:r>
                </w:p>
              </w:tc>
              <w:tc>
                <w:tcPr>
                  <w:tcW w:w="3990" w:type="pct"/>
                  <w:gridSpan w:val="12"/>
                  <w:tcBorders>
                    <w:top w:val="single" w:color="auto" w:sz="4" w:space="0"/>
                    <w:left w:val="single" w:color="auto" w:sz="4" w:space="0"/>
                    <w:bottom w:val="single" w:color="auto" w:sz="4" w:space="0"/>
                    <w:right w:val="single" w:color="auto" w:sz="4" w:space="0"/>
                  </w:tcBorders>
                  <w:vAlign w:val="center"/>
                </w:tcPr>
                <w:p>
                  <w:pPr>
                    <w:pStyle w:val="49"/>
                    <w:jc w:val="left"/>
                  </w:pPr>
                  <w:r>
                    <w:t>数值解 □；解析解 □；其他 □</w:t>
                  </w:r>
                </w:p>
                <w:p>
                  <w:pPr>
                    <w:pStyle w:val="49"/>
                    <w:jc w:val="left"/>
                  </w:pPr>
                  <w:r>
                    <w:t>导则推荐模式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85" w:type="pct"/>
                  <w:vMerge w:val="restart"/>
                  <w:tcBorders>
                    <w:top w:val="single" w:color="auto" w:sz="4" w:space="0"/>
                    <w:left w:val="single" w:color="auto" w:sz="4" w:space="0"/>
                    <w:bottom w:val="single" w:color="auto" w:sz="4" w:space="0"/>
                    <w:right w:val="single" w:color="auto" w:sz="4" w:space="0"/>
                  </w:tcBorders>
                  <w:vAlign w:val="center"/>
                </w:tcPr>
                <w:p>
                  <w:pPr>
                    <w:pStyle w:val="49"/>
                  </w:pPr>
                  <w:r>
                    <w:t>影响评价</w:t>
                  </w:r>
                </w:p>
              </w:tc>
              <w:tc>
                <w:tcPr>
                  <w:tcW w:w="724" w:type="pct"/>
                  <w:tcBorders>
                    <w:top w:val="single" w:color="auto" w:sz="4" w:space="0"/>
                    <w:left w:val="single" w:color="auto" w:sz="4" w:space="0"/>
                    <w:bottom w:val="single" w:color="auto" w:sz="4" w:space="0"/>
                    <w:right w:val="single" w:color="auto" w:sz="4" w:space="0"/>
                  </w:tcBorders>
                  <w:vAlign w:val="center"/>
                </w:tcPr>
                <w:p>
                  <w:pPr>
                    <w:pStyle w:val="49"/>
                  </w:pPr>
                  <w:r>
                    <w:t>水污染控制和水环境影响减缓措施的有效性评价（不开展）</w:t>
                  </w:r>
                </w:p>
              </w:tc>
              <w:tc>
                <w:tcPr>
                  <w:tcW w:w="3990" w:type="pct"/>
                  <w:gridSpan w:val="12"/>
                  <w:tcBorders>
                    <w:top w:val="single" w:color="auto" w:sz="4" w:space="0"/>
                    <w:left w:val="single" w:color="auto" w:sz="4" w:space="0"/>
                    <w:bottom w:val="single" w:color="auto" w:sz="4" w:space="0"/>
                    <w:right w:val="single" w:color="auto" w:sz="4" w:space="0"/>
                  </w:tcBorders>
                  <w:vAlign w:val="center"/>
                </w:tcPr>
                <w:p>
                  <w:pPr>
                    <w:pStyle w:val="49"/>
                    <w:jc w:val="left"/>
                  </w:pPr>
                  <w:bookmarkStart w:id="156" w:name="_Hlk2860327"/>
                  <w:r>
                    <w:t>区（流）域水环境质量改善目标</w:t>
                  </w:r>
                  <w:bookmarkEnd w:id="156"/>
                  <w:r>
                    <w:t>□；替代削减源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85"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24" w:type="pct"/>
                  <w:tcBorders>
                    <w:top w:val="single" w:color="auto" w:sz="4" w:space="0"/>
                    <w:left w:val="single" w:color="auto" w:sz="4" w:space="0"/>
                    <w:bottom w:val="single" w:color="auto" w:sz="4" w:space="0"/>
                    <w:right w:val="single" w:color="auto" w:sz="4" w:space="0"/>
                  </w:tcBorders>
                  <w:vAlign w:val="center"/>
                </w:tcPr>
                <w:p>
                  <w:pPr>
                    <w:pStyle w:val="49"/>
                  </w:pPr>
                  <w:r>
                    <w:t>水环境影响评价</w:t>
                  </w:r>
                </w:p>
              </w:tc>
              <w:tc>
                <w:tcPr>
                  <w:tcW w:w="3990" w:type="pct"/>
                  <w:gridSpan w:val="12"/>
                  <w:tcBorders>
                    <w:top w:val="single" w:color="auto" w:sz="4" w:space="0"/>
                    <w:left w:val="single" w:color="auto" w:sz="4" w:space="0"/>
                    <w:bottom w:val="single" w:color="auto" w:sz="4" w:space="0"/>
                    <w:right w:val="single" w:color="auto" w:sz="4" w:space="0"/>
                  </w:tcBorders>
                  <w:vAlign w:val="center"/>
                </w:tcPr>
                <w:p>
                  <w:pPr>
                    <w:pStyle w:val="49"/>
                    <w:jc w:val="left"/>
                  </w:pPr>
                  <w:r>
                    <w:t>排放口混合区外满足环境管理要求 □</w:t>
                  </w:r>
                </w:p>
                <w:p>
                  <w:pPr>
                    <w:pStyle w:val="49"/>
                    <w:jc w:val="left"/>
                  </w:pPr>
                  <w:r>
                    <w:t>水环境功能区或水功能区、近岸海域环境功能区水质达标 □</w:t>
                  </w:r>
                </w:p>
                <w:p>
                  <w:pPr>
                    <w:pStyle w:val="49"/>
                    <w:jc w:val="left"/>
                  </w:pPr>
                  <w:r>
                    <w:t>满足水环境保护目标水域水环境质量要求 □</w:t>
                  </w:r>
                </w:p>
                <w:p>
                  <w:pPr>
                    <w:pStyle w:val="49"/>
                    <w:jc w:val="left"/>
                  </w:pPr>
                  <w:r>
                    <w:t>水环境控制单元或断面水质达标 □</w:t>
                  </w:r>
                </w:p>
                <w:p>
                  <w:pPr>
                    <w:pStyle w:val="49"/>
                    <w:jc w:val="left"/>
                  </w:pPr>
                  <w:r>
                    <w:t>满足重点水污染物排放总量控制指标要求，重点行业建设项目，主要污染物排放满足等量或减量替代要求 □</w:t>
                  </w:r>
                </w:p>
                <w:p>
                  <w:pPr>
                    <w:pStyle w:val="49"/>
                    <w:jc w:val="left"/>
                  </w:pPr>
                  <w:r>
                    <w:t>满足区（流）域水环境质量改善目标要求 □</w:t>
                  </w:r>
                </w:p>
                <w:p>
                  <w:pPr>
                    <w:pStyle w:val="49"/>
                    <w:jc w:val="left"/>
                  </w:pPr>
                  <w:r>
                    <w:t>水文要素型建设项目同时应包括水文情势变化评价、主要水文特征值影响评价、生态流量符合性评价 □</w:t>
                  </w:r>
                </w:p>
                <w:p>
                  <w:pPr>
                    <w:pStyle w:val="49"/>
                    <w:jc w:val="left"/>
                  </w:pPr>
                  <w:r>
                    <w:t>对于新设或调整入河（湖库、近岸海域）排放口的建设项目，应包括排放口设置的环境合理性评价 □</w:t>
                  </w:r>
                </w:p>
                <w:p>
                  <w:pPr>
                    <w:pStyle w:val="49"/>
                    <w:jc w:val="left"/>
                  </w:pPr>
                  <w:r>
                    <w:t xml:space="preserve">满足生态保护红线、水环境质量底线、资源利用上线和环境准入清单管理要求 </w:t>
                  </w:r>
                  <w:r>
                    <w:rPr/>
                    <w:sym w:font="Wingdings 2" w:char="F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85"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24" w:type="pct"/>
                  <w:vMerge w:val="restart"/>
                  <w:tcBorders>
                    <w:top w:val="single" w:color="auto" w:sz="4" w:space="0"/>
                    <w:left w:val="single" w:color="auto" w:sz="4" w:space="0"/>
                    <w:bottom w:val="single" w:color="auto" w:sz="4" w:space="0"/>
                    <w:right w:val="single" w:color="auto" w:sz="4" w:space="0"/>
                  </w:tcBorders>
                  <w:vAlign w:val="center"/>
                </w:tcPr>
                <w:p>
                  <w:pPr>
                    <w:pStyle w:val="49"/>
                  </w:pPr>
                  <w:r>
                    <w:t>污染源排放量核算</w:t>
                  </w:r>
                </w:p>
              </w:tc>
              <w:tc>
                <w:tcPr>
                  <w:tcW w:w="1453" w:type="pct"/>
                  <w:gridSpan w:val="4"/>
                  <w:tcBorders>
                    <w:top w:val="single" w:color="auto" w:sz="4" w:space="0"/>
                    <w:left w:val="single" w:color="auto" w:sz="4" w:space="0"/>
                    <w:bottom w:val="single" w:color="auto" w:sz="4" w:space="0"/>
                    <w:right w:val="single" w:color="auto" w:sz="4" w:space="0"/>
                  </w:tcBorders>
                  <w:vAlign w:val="center"/>
                </w:tcPr>
                <w:p>
                  <w:pPr>
                    <w:pStyle w:val="49"/>
                  </w:pPr>
                  <w:r>
                    <w:t>污染物名称</w:t>
                  </w:r>
                </w:p>
              </w:tc>
              <w:tc>
                <w:tcPr>
                  <w:tcW w:w="1257" w:type="pct"/>
                  <w:gridSpan w:val="5"/>
                  <w:tcBorders>
                    <w:top w:val="single" w:color="auto" w:sz="4" w:space="0"/>
                    <w:left w:val="single" w:color="auto" w:sz="4" w:space="0"/>
                    <w:bottom w:val="single" w:color="auto" w:sz="4" w:space="0"/>
                    <w:right w:val="single" w:color="auto" w:sz="4" w:space="0"/>
                  </w:tcBorders>
                  <w:vAlign w:val="center"/>
                </w:tcPr>
                <w:p>
                  <w:pPr>
                    <w:pStyle w:val="49"/>
                  </w:pPr>
                  <w:r>
                    <w:t>排放量/（t/a）</w:t>
                  </w:r>
                </w:p>
              </w:tc>
              <w:tc>
                <w:tcPr>
                  <w:tcW w:w="1279" w:type="pct"/>
                  <w:gridSpan w:val="3"/>
                  <w:tcBorders>
                    <w:top w:val="single" w:color="auto" w:sz="4" w:space="0"/>
                    <w:left w:val="single" w:color="auto" w:sz="4" w:space="0"/>
                    <w:bottom w:val="single" w:color="auto" w:sz="4" w:space="0"/>
                    <w:right w:val="single" w:color="auto" w:sz="4" w:space="0"/>
                  </w:tcBorders>
                  <w:vAlign w:val="center"/>
                </w:tcPr>
                <w:p>
                  <w:pPr>
                    <w:pStyle w:val="49"/>
                  </w:pPr>
                  <w: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85"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24"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1453" w:type="pct"/>
                  <w:gridSpan w:val="4"/>
                  <w:tcBorders>
                    <w:top w:val="single" w:color="auto" w:sz="4" w:space="0"/>
                    <w:left w:val="single" w:color="auto" w:sz="4" w:space="0"/>
                    <w:bottom w:val="single" w:color="auto" w:sz="4" w:space="0"/>
                    <w:right w:val="single" w:color="auto" w:sz="4" w:space="0"/>
                  </w:tcBorders>
                  <w:vAlign w:val="center"/>
                </w:tcPr>
                <w:p>
                  <w:pPr>
                    <w:pStyle w:val="49"/>
                  </w:pPr>
                  <w:r>
                    <w:t>（COD</w:t>
                  </w:r>
                  <w:r>
                    <w:rPr>
                      <w:vertAlign w:val="subscript"/>
                    </w:rPr>
                    <w:t>Cr</w:t>
                  </w:r>
                  <w:r>
                    <w:t>）</w:t>
                  </w:r>
                </w:p>
              </w:tc>
              <w:tc>
                <w:tcPr>
                  <w:tcW w:w="1257" w:type="pct"/>
                  <w:gridSpan w:val="5"/>
                  <w:tcBorders>
                    <w:top w:val="single" w:color="auto" w:sz="4" w:space="0"/>
                    <w:left w:val="single" w:color="auto" w:sz="4" w:space="0"/>
                    <w:bottom w:val="single" w:color="auto" w:sz="4" w:space="0"/>
                    <w:right w:val="single" w:color="auto" w:sz="4" w:space="0"/>
                  </w:tcBorders>
                  <w:vAlign w:val="center"/>
                </w:tcPr>
                <w:p>
                  <w:pPr>
                    <w:pStyle w:val="49"/>
                  </w:pPr>
                  <w:r>
                    <w:t>（0.0</w:t>
                  </w:r>
                  <w:r>
                    <w:rPr>
                      <w:rFonts w:hint="eastAsia"/>
                    </w:rPr>
                    <w:t>20</w:t>
                  </w:r>
                  <w:r>
                    <w:t>）</w:t>
                  </w:r>
                </w:p>
              </w:tc>
              <w:tc>
                <w:tcPr>
                  <w:tcW w:w="1279" w:type="pct"/>
                  <w:gridSpan w:val="3"/>
                  <w:tcBorders>
                    <w:top w:val="single" w:color="auto" w:sz="4" w:space="0"/>
                    <w:left w:val="single" w:color="auto" w:sz="4" w:space="0"/>
                    <w:bottom w:val="single" w:color="auto" w:sz="4" w:space="0"/>
                    <w:right w:val="single" w:color="auto" w:sz="4" w:space="0"/>
                  </w:tcBorders>
                  <w:vAlign w:val="center"/>
                </w:tcPr>
                <w:p>
                  <w:pPr>
                    <w:pStyle w:val="49"/>
                  </w:pPr>
                  <w: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85"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24"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1453" w:type="pct"/>
                  <w:gridSpan w:val="4"/>
                  <w:tcBorders>
                    <w:top w:val="single" w:color="auto" w:sz="4" w:space="0"/>
                    <w:left w:val="single" w:color="auto" w:sz="4" w:space="0"/>
                    <w:bottom w:val="single" w:color="auto" w:sz="4" w:space="0"/>
                    <w:right w:val="single" w:color="auto" w:sz="4" w:space="0"/>
                  </w:tcBorders>
                  <w:vAlign w:val="center"/>
                </w:tcPr>
                <w:p>
                  <w:pPr>
                    <w:pStyle w:val="49"/>
                  </w:pPr>
                  <w:r>
                    <w:t>（NH</w:t>
                  </w:r>
                  <w:r>
                    <w:rPr>
                      <w:vertAlign w:val="subscript"/>
                    </w:rPr>
                    <w:t>3</w:t>
                  </w:r>
                  <w:r>
                    <w:t>-N）</w:t>
                  </w:r>
                </w:p>
              </w:tc>
              <w:tc>
                <w:tcPr>
                  <w:tcW w:w="1257" w:type="pct"/>
                  <w:gridSpan w:val="5"/>
                  <w:tcBorders>
                    <w:top w:val="single" w:color="auto" w:sz="4" w:space="0"/>
                    <w:left w:val="single" w:color="auto" w:sz="4" w:space="0"/>
                    <w:bottom w:val="single" w:color="auto" w:sz="4" w:space="0"/>
                    <w:right w:val="single" w:color="auto" w:sz="4" w:space="0"/>
                  </w:tcBorders>
                  <w:vAlign w:val="center"/>
                </w:tcPr>
                <w:p>
                  <w:pPr>
                    <w:pStyle w:val="49"/>
                  </w:pPr>
                  <w:r>
                    <w:t>（0.00</w:t>
                  </w:r>
                  <w:r>
                    <w:rPr>
                      <w:rFonts w:hint="eastAsia"/>
                    </w:rPr>
                    <w:t>2</w:t>
                  </w:r>
                  <w:r>
                    <w:t>）</w:t>
                  </w:r>
                </w:p>
              </w:tc>
              <w:tc>
                <w:tcPr>
                  <w:tcW w:w="1279" w:type="pct"/>
                  <w:gridSpan w:val="3"/>
                  <w:tcBorders>
                    <w:top w:val="single" w:color="auto" w:sz="4" w:space="0"/>
                    <w:left w:val="single" w:color="auto" w:sz="4" w:space="0"/>
                    <w:bottom w:val="single" w:color="auto" w:sz="4" w:space="0"/>
                    <w:right w:val="single" w:color="auto" w:sz="4" w:space="0"/>
                  </w:tcBorders>
                  <w:vAlign w:val="center"/>
                </w:tcPr>
                <w:p>
                  <w:pPr>
                    <w:pStyle w:val="49"/>
                  </w:pP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85"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24" w:type="pct"/>
                  <w:vMerge w:val="restart"/>
                  <w:tcBorders>
                    <w:top w:val="single" w:color="auto" w:sz="4" w:space="0"/>
                    <w:left w:val="single" w:color="auto" w:sz="4" w:space="0"/>
                    <w:bottom w:val="single" w:color="auto" w:sz="4" w:space="0"/>
                    <w:right w:val="single" w:color="auto" w:sz="4" w:space="0"/>
                  </w:tcBorders>
                  <w:vAlign w:val="center"/>
                </w:tcPr>
                <w:p>
                  <w:pPr>
                    <w:pStyle w:val="49"/>
                  </w:pPr>
                  <w:r>
                    <w:t>替代源排放情况</w:t>
                  </w:r>
                </w:p>
              </w:tc>
              <w:tc>
                <w:tcPr>
                  <w:tcW w:w="954" w:type="pct"/>
                  <w:tcBorders>
                    <w:top w:val="single" w:color="auto" w:sz="4" w:space="0"/>
                    <w:left w:val="single" w:color="auto" w:sz="4" w:space="0"/>
                    <w:bottom w:val="single" w:color="auto" w:sz="4" w:space="0"/>
                    <w:right w:val="single" w:color="auto" w:sz="4" w:space="0"/>
                  </w:tcBorders>
                  <w:vAlign w:val="center"/>
                </w:tcPr>
                <w:p>
                  <w:pPr>
                    <w:pStyle w:val="49"/>
                  </w:pPr>
                  <w:r>
                    <w:t>污染源名称</w:t>
                  </w:r>
                </w:p>
              </w:tc>
              <w:tc>
                <w:tcPr>
                  <w:tcW w:w="877" w:type="pct"/>
                  <w:gridSpan w:val="4"/>
                  <w:tcBorders>
                    <w:top w:val="single" w:color="auto" w:sz="4" w:space="0"/>
                    <w:left w:val="single" w:color="auto" w:sz="4" w:space="0"/>
                    <w:bottom w:val="single" w:color="auto" w:sz="4" w:space="0"/>
                    <w:right w:val="single" w:color="auto" w:sz="4" w:space="0"/>
                  </w:tcBorders>
                  <w:vAlign w:val="center"/>
                </w:tcPr>
                <w:p>
                  <w:pPr>
                    <w:pStyle w:val="49"/>
                  </w:pPr>
                  <w:r>
                    <w:t>排污许可证编号</w:t>
                  </w:r>
                </w:p>
              </w:tc>
              <w:tc>
                <w:tcPr>
                  <w:tcW w:w="633" w:type="pct"/>
                  <w:gridSpan w:val="2"/>
                  <w:tcBorders>
                    <w:top w:val="single" w:color="auto" w:sz="4" w:space="0"/>
                    <w:left w:val="single" w:color="auto" w:sz="4" w:space="0"/>
                    <w:bottom w:val="single" w:color="auto" w:sz="4" w:space="0"/>
                    <w:right w:val="single" w:color="auto" w:sz="4" w:space="0"/>
                  </w:tcBorders>
                  <w:vAlign w:val="center"/>
                </w:tcPr>
                <w:p>
                  <w:pPr>
                    <w:pStyle w:val="49"/>
                  </w:pPr>
                  <w:r>
                    <w:t>污染物名称</w:t>
                  </w:r>
                </w:p>
              </w:tc>
              <w:tc>
                <w:tcPr>
                  <w:tcW w:w="919" w:type="pct"/>
                  <w:gridSpan w:val="4"/>
                  <w:tcBorders>
                    <w:top w:val="single" w:color="auto" w:sz="4" w:space="0"/>
                    <w:left w:val="single" w:color="auto" w:sz="4" w:space="0"/>
                    <w:bottom w:val="single" w:color="auto" w:sz="4" w:space="0"/>
                    <w:right w:val="single" w:color="auto" w:sz="4" w:space="0"/>
                  </w:tcBorders>
                  <w:vAlign w:val="center"/>
                </w:tcPr>
                <w:p>
                  <w:pPr>
                    <w:pStyle w:val="49"/>
                  </w:pPr>
                  <w:r>
                    <w:t>排放量/（t/a）</w:t>
                  </w:r>
                </w:p>
              </w:tc>
              <w:tc>
                <w:tcPr>
                  <w:tcW w:w="606" w:type="pct"/>
                  <w:tcBorders>
                    <w:top w:val="single" w:color="auto" w:sz="4" w:space="0"/>
                    <w:left w:val="single" w:color="auto" w:sz="4" w:space="0"/>
                    <w:bottom w:val="single" w:color="auto" w:sz="4" w:space="0"/>
                    <w:right w:val="single" w:color="auto" w:sz="4" w:space="0"/>
                  </w:tcBorders>
                  <w:vAlign w:val="center"/>
                </w:tcPr>
                <w:p>
                  <w:pPr>
                    <w:pStyle w:val="49"/>
                  </w:pPr>
                  <w: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85"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24"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954" w:type="pct"/>
                  <w:tcBorders>
                    <w:top w:val="single" w:color="auto" w:sz="4" w:space="0"/>
                    <w:left w:val="single" w:color="auto" w:sz="4" w:space="0"/>
                    <w:bottom w:val="single" w:color="auto" w:sz="4" w:space="0"/>
                    <w:right w:val="single" w:color="auto" w:sz="4" w:space="0"/>
                  </w:tcBorders>
                  <w:vAlign w:val="center"/>
                </w:tcPr>
                <w:p>
                  <w:pPr>
                    <w:pStyle w:val="49"/>
                  </w:pPr>
                  <w:r>
                    <w:t>（ / ）</w:t>
                  </w:r>
                </w:p>
              </w:tc>
              <w:tc>
                <w:tcPr>
                  <w:tcW w:w="877" w:type="pct"/>
                  <w:gridSpan w:val="4"/>
                  <w:tcBorders>
                    <w:top w:val="single" w:color="auto" w:sz="4" w:space="0"/>
                    <w:left w:val="single" w:color="auto" w:sz="4" w:space="0"/>
                    <w:bottom w:val="single" w:color="auto" w:sz="4" w:space="0"/>
                    <w:right w:val="single" w:color="auto" w:sz="4" w:space="0"/>
                  </w:tcBorders>
                  <w:vAlign w:val="center"/>
                </w:tcPr>
                <w:p>
                  <w:pPr>
                    <w:pStyle w:val="49"/>
                  </w:pPr>
                  <w:r>
                    <w:t>（ / ）</w:t>
                  </w:r>
                </w:p>
              </w:tc>
              <w:tc>
                <w:tcPr>
                  <w:tcW w:w="633" w:type="pct"/>
                  <w:gridSpan w:val="2"/>
                  <w:tcBorders>
                    <w:top w:val="single" w:color="auto" w:sz="4" w:space="0"/>
                    <w:left w:val="single" w:color="auto" w:sz="4" w:space="0"/>
                    <w:bottom w:val="single" w:color="auto" w:sz="4" w:space="0"/>
                    <w:right w:val="single" w:color="auto" w:sz="4" w:space="0"/>
                  </w:tcBorders>
                  <w:vAlign w:val="center"/>
                </w:tcPr>
                <w:p>
                  <w:pPr>
                    <w:pStyle w:val="49"/>
                  </w:pPr>
                  <w:r>
                    <w:t>（ / ）</w:t>
                  </w:r>
                </w:p>
              </w:tc>
              <w:tc>
                <w:tcPr>
                  <w:tcW w:w="919" w:type="pct"/>
                  <w:gridSpan w:val="4"/>
                  <w:tcBorders>
                    <w:top w:val="single" w:color="auto" w:sz="4" w:space="0"/>
                    <w:left w:val="single" w:color="auto" w:sz="4" w:space="0"/>
                    <w:bottom w:val="single" w:color="auto" w:sz="4" w:space="0"/>
                    <w:right w:val="single" w:color="auto" w:sz="4" w:space="0"/>
                  </w:tcBorders>
                  <w:vAlign w:val="center"/>
                </w:tcPr>
                <w:p>
                  <w:pPr>
                    <w:pStyle w:val="49"/>
                  </w:pPr>
                  <w:r>
                    <w:t>（ / ）</w:t>
                  </w:r>
                </w:p>
              </w:tc>
              <w:tc>
                <w:tcPr>
                  <w:tcW w:w="606" w:type="pct"/>
                  <w:tcBorders>
                    <w:top w:val="single" w:color="auto" w:sz="4" w:space="0"/>
                    <w:left w:val="single" w:color="auto" w:sz="4" w:space="0"/>
                    <w:bottom w:val="single" w:color="auto" w:sz="4" w:space="0"/>
                    <w:right w:val="single" w:color="auto" w:sz="4" w:space="0"/>
                  </w:tcBorders>
                  <w:vAlign w:val="center"/>
                </w:tcPr>
                <w:p>
                  <w:pPr>
                    <w:pStyle w:val="49"/>
                  </w:pPr>
                  <w:r>
                    <w:t>（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85"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24" w:type="pct"/>
                  <w:tcBorders>
                    <w:top w:val="single" w:color="auto" w:sz="4" w:space="0"/>
                    <w:left w:val="single" w:color="auto" w:sz="4" w:space="0"/>
                    <w:bottom w:val="single" w:color="auto" w:sz="4" w:space="0"/>
                    <w:right w:val="single" w:color="auto" w:sz="4" w:space="0"/>
                  </w:tcBorders>
                  <w:vAlign w:val="center"/>
                </w:tcPr>
                <w:p>
                  <w:pPr>
                    <w:pStyle w:val="49"/>
                  </w:pPr>
                  <w:r>
                    <w:t>生态流量确定</w:t>
                  </w:r>
                </w:p>
              </w:tc>
              <w:tc>
                <w:tcPr>
                  <w:tcW w:w="3990" w:type="pct"/>
                  <w:gridSpan w:val="12"/>
                  <w:tcBorders>
                    <w:top w:val="single" w:color="auto" w:sz="4" w:space="0"/>
                    <w:left w:val="single" w:color="auto" w:sz="4" w:space="0"/>
                    <w:bottom w:val="single" w:color="auto" w:sz="4" w:space="0"/>
                    <w:right w:val="single" w:color="auto" w:sz="4" w:space="0"/>
                  </w:tcBorders>
                  <w:vAlign w:val="center"/>
                </w:tcPr>
                <w:p>
                  <w:pPr>
                    <w:pStyle w:val="49"/>
                    <w:jc w:val="both"/>
                  </w:pPr>
                  <w:r>
                    <w:t>生态流量：一般水期（ / ）m</w:t>
                  </w:r>
                  <w:r>
                    <w:rPr>
                      <w:vertAlign w:val="superscript"/>
                    </w:rPr>
                    <w:t>3</w:t>
                  </w:r>
                  <w:r>
                    <w:t>/s；鱼类繁殖期（ / ）m</w:t>
                  </w:r>
                  <w:r>
                    <w:rPr>
                      <w:vertAlign w:val="superscript"/>
                    </w:rPr>
                    <w:t>3</w:t>
                  </w:r>
                  <w:r>
                    <w:t>/s；其他（ / ）m</w:t>
                  </w:r>
                  <w:r>
                    <w:rPr>
                      <w:vertAlign w:val="superscript"/>
                    </w:rPr>
                    <w:t>3</w:t>
                  </w:r>
                  <w:r>
                    <w:t>/s</w:t>
                  </w:r>
                </w:p>
                <w:p>
                  <w:pPr>
                    <w:pStyle w:val="49"/>
                    <w:jc w:val="both"/>
                  </w:pPr>
                  <w:r>
                    <w:t>生态水位：一般水期（ / ）m；鱼类繁殖期（ / ）m；其他（ /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85" w:type="pct"/>
                  <w:vMerge w:val="restart"/>
                  <w:tcBorders>
                    <w:top w:val="single" w:color="auto" w:sz="4" w:space="0"/>
                    <w:left w:val="single" w:color="auto" w:sz="4" w:space="0"/>
                    <w:bottom w:val="single" w:color="auto" w:sz="4" w:space="0"/>
                    <w:right w:val="single" w:color="auto" w:sz="4" w:space="0"/>
                  </w:tcBorders>
                  <w:vAlign w:val="center"/>
                </w:tcPr>
                <w:p>
                  <w:pPr>
                    <w:pStyle w:val="49"/>
                  </w:pPr>
                  <w:r>
                    <w:t>防治措施</w:t>
                  </w:r>
                </w:p>
              </w:tc>
              <w:tc>
                <w:tcPr>
                  <w:tcW w:w="724" w:type="pct"/>
                  <w:tcBorders>
                    <w:top w:val="single" w:color="auto" w:sz="4" w:space="0"/>
                    <w:left w:val="single" w:color="auto" w:sz="4" w:space="0"/>
                    <w:bottom w:val="single" w:color="auto" w:sz="4" w:space="0"/>
                    <w:right w:val="single" w:color="auto" w:sz="4" w:space="0"/>
                  </w:tcBorders>
                  <w:vAlign w:val="center"/>
                </w:tcPr>
                <w:p>
                  <w:pPr>
                    <w:pStyle w:val="49"/>
                  </w:pPr>
                  <w:r>
                    <w:t>环保措施</w:t>
                  </w:r>
                </w:p>
              </w:tc>
              <w:tc>
                <w:tcPr>
                  <w:tcW w:w="3990" w:type="pct"/>
                  <w:gridSpan w:val="12"/>
                  <w:tcBorders>
                    <w:top w:val="single" w:color="auto" w:sz="4" w:space="0"/>
                    <w:left w:val="single" w:color="auto" w:sz="4" w:space="0"/>
                    <w:bottom w:val="single" w:color="auto" w:sz="4" w:space="0"/>
                    <w:right w:val="single" w:color="auto" w:sz="4" w:space="0"/>
                  </w:tcBorders>
                  <w:vAlign w:val="center"/>
                </w:tcPr>
                <w:p>
                  <w:pPr>
                    <w:pStyle w:val="49"/>
                    <w:jc w:val="both"/>
                  </w:pPr>
                  <w:r>
                    <w:t>污水处理设施 □；水文减缓设施 □；生态流量保障设施 □；区域削减 □；依托其他工程措施</w:t>
                  </w:r>
                  <w:r>
                    <w:rPr/>
                    <w:sym w:font="Wingdings 2" w:char="F052"/>
                  </w:r>
                  <w:r>
                    <w:t>；其他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85"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24" w:type="pct"/>
                  <w:vMerge w:val="restart"/>
                  <w:tcBorders>
                    <w:top w:val="single" w:color="auto" w:sz="4" w:space="0"/>
                    <w:left w:val="single" w:color="auto" w:sz="4" w:space="0"/>
                    <w:bottom w:val="single" w:color="auto" w:sz="4" w:space="0"/>
                    <w:right w:val="single" w:color="auto" w:sz="4" w:space="0"/>
                  </w:tcBorders>
                  <w:vAlign w:val="center"/>
                </w:tcPr>
                <w:p>
                  <w:pPr>
                    <w:pStyle w:val="49"/>
                  </w:pPr>
                  <w:r>
                    <w:t>监测计划</w:t>
                  </w:r>
                </w:p>
              </w:tc>
              <w:tc>
                <w:tcPr>
                  <w:tcW w:w="1051" w:type="pct"/>
                  <w:gridSpan w:val="2"/>
                  <w:tcBorders>
                    <w:top w:val="single" w:color="auto" w:sz="4" w:space="0"/>
                    <w:left w:val="single" w:color="auto" w:sz="4" w:space="0"/>
                    <w:bottom w:val="single" w:color="auto" w:sz="4" w:space="0"/>
                    <w:right w:val="single" w:color="auto" w:sz="4" w:space="0"/>
                  </w:tcBorders>
                  <w:vAlign w:val="center"/>
                </w:tcPr>
                <w:p>
                  <w:pPr>
                    <w:pStyle w:val="49"/>
                  </w:pPr>
                </w:p>
              </w:tc>
              <w:tc>
                <w:tcPr>
                  <w:tcW w:w="1545" w:type="pct"/>
                  <w:gridSpan w:val="6"/>
                  <w:tcBorders>
                    <w:top w:val="single" w:color="auto" w:sz="4" w:space="0"/>
                    <w:left w:val="single" w:color="auto" w:sz="4" w:space="0"/>
                    <w:bottom w:val="single" w:color="auto" w:sz="4" w:space="0"/>
                    <w:right w:val="single" w:color="auto" w:sz="4" w:space="0"/>
                  </w:tcBorders>
                  <w:vAlign w:val="center"/>
                </w:tcPr>
                <w:p>
                  <w:pPr>
                    <w:pStyle w:val="49"/>
                  </w:pPr>
                  <w:r>
                    <w:t>环境质量</w:t>
                  </w:r>
                </w:p>
              </w:tc>
              <w:tc>
                <w:tcPr>
                  <w:tcW w:w="1393" w:type="pct"/>
                  <w:gridSpan w:val="4"/>
                  <w:tcBorders>
                    <w:top w:val="single" w:color="auto" w:sz="4" w:space="0"/>
                    <w:left w:val="single" w:color="auto" w:sz="4" w:space="0"/>
                    <w:bottom w:val="single" w:color="auto" w:sz="4" w:space="0"/>
                    <w:right w:val="single" w:color="auto" w:sz="4" w:space="0"/>
                  </w:tcBorders>
                  <w:vAlign w:val="center"/>
                </w:tcPr>
                <w:p>
                  <w:pPr>
                    <w:pStyle w:val="49"/>
                  </w:pPr>
                  <w:r>
                    <w:t>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85"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24"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1051" w:type="pct"/>
                  <w:gridSpan w:val="2"/>
                  <w:tcBorders>
                    <w:top w:val="single" w:color="auto" w:sz="4" w:space="0"/>
                    <w:left w:val="single" w:color="auto" w:sz="4" w:space="0"/>
                    <w:bottom w:val="single" w:color="auto" w:sz="4" w:space="0"/>
                    <w:right w:val="single" w:color="auto" w:sz="4" w:space="0"/>
                  </w:tcBorders>
                  <w:vAlign w:val="center"/>
                </w:tcPr>
                <w:p>
                  <w:pPr>
                    <w:pStyle w:val="49"/>
                  </w:pPr>
                  <w:r>
                    <w:t>监测方式</w:t>
                  </w:r>
                </w:p>
              </w:tc>
              <w:tc>
                <w:tcPr>
                  <w:tcW w:w="1545" w:type="pct"/>
                  <w:gridSpan w:val="6"/>
                  <w:tcBorders>
                    <w:top w:val="single" w:color="auto" w:sz="4" w:space="0"/>
                    <w:left w:val="single" w:color="auto" w:sz="4" w:space="0"/>
                    <w:bottom w:val="single" w:color="auto" w:sz="4" w:space="0"/>
                    <w:right w:val="single" w:color="auto" w:sz="4" w:space="0"/>
                  </w:tcBorders>
                  <w:vAlign w:val="center"/>
                </w:tcPr>
                <w:p>
                  <w:pPr>
                    <w:pStyle w:val="49"/>
                  </w:pPr>
                  <w:r>
                    <w:t>手动 □；自动 □；无监测</w:t>
                  </w:r>
                  <w:r>
                    <w:rPr/>
                    <w:sym w:font="Wingdings 2" w:char="F052"/>
                  </w:r>
                </w:p>
              </w:tc>
              <w:tc>
                <w:tcPr>
                  <w:tcW w:w="1393" w:type="pct"/>
                  <w:gridSpan w:val="4"/>
                  <w:tcBorders>
                    <w:top w:val="single" w:color="auto" w:sz="4" w:space="0"/>
                    <w:left w:val="single" w:color="auto" w:sz="4" w:space="0"/>
                    <w:bottom w:val="single" w:color="auto" w:sz="4" w:space="0"/>
                    <w:right w:val="single" w:color="auto" w:sz="4" w:space="0"/>
                  </w:tcBorders>
                  <w:vAlign w:val="center"/>
                </w:tcPr>
                <w:p>
                  <w:pPr>
                    <w:pStyle w:val="49"/>
                  </w:pPr>
                  <w:r>
                    <w:t>手动</w:t>
                  </w:r>
                  <w:r>
                    <w:rPr/>
                    <w:sym w:font="Wingdings 2" w:char="F052"/>
                  </w:r>
                  <w:r>
                    <w:t>；自动 □；无监测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85"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24"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1051" w:type="pct"/>
                  <w:gridSpan w:val="2"/>
                  <w:tcBorders>
                    <w:top w:val="single" w:color="auto" w:sz="4" w:space="0"/>
                    <w:left w:val="single" w:color="auto" w:sz="4" w:space="0"/>
                    <w:bottom w:val="single" w:color="auto" w:sz="4" w:space="0"/>
                    <w:right w:val="single" w:color="auto" w:sz="4" w:space="0"/>
                  </w:tcBorders>
                  <w:vAlign w:val="center"/>
                </w:tcPr>
                <w:p>
                  <w:pPr>
                    <w:pStyle w:val="49"/>
                  </w:pPr>
                  <w:r>
                    <w:t>监测点位</w:t>
                  </w:r>
                </w:p>
              </w:tc>
              <w:tc>
                <w:tcPr>
                  <w:tcW w:w="1545" w:type="pct"/>
                  <w:gridSpan w:val="6"/>
                  <w:tcBorders>
                    <w:top w:val="single" w:color="auto" w:sz="4" w:space="0"/>
                    <w:left w:val="single" w:color="auto" w:sz="4" w:space="0"/>
                    <w:bottom w:val="single" w:color="auto" w:sz="4" w:space="0"/>
                    <w:right w:val="single" w:color="auto" w:sz="4" w:space="0"/>
                  </w:tcBorders>
                  <w:vAlign w:val="center"/>
                </w:tcPr>
                <w:p>
                  <w:pPr>
                    <w:pStyle w:val="49"/>
                  </w:pPr>
                  <w:r>
                    <w:t>（ / ）</w:t>
                  </w:r>
                </w:p>
              </w:tc>
              <w:tc>
                <w:tcPr>
                  <w:tcW w:w="1393" w:type="pct"/>
                  <w:gridSpan w:val="4"/>
                  <w:tcBorders>
                    <w:top w:val="single" w:color="auto" w:sz="4" w:space="0"/>
                    <w:left w:val="single" w:color="auto" w:sz="4" w:space="0"/>
                    <w:bottom w:val="single" w:color="auto" w:sz="4" w:space="0"/>
                    <w:right w:val="single" w:color="auto" w:sz="4" w:space="0"/>
                  </w:tcBorders>
                  <w:vAlign w:val="center"/>
                </w:tcPr>
                <w:p>
                  <w:pPr>
                    <w:pStyle w:val="49"/>
                  </w:pPr>
                  <w:r>
                    <w:t>厂区总排口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85"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24"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1051" w:type="pct"/>
                  <w:gridSpan w:val="2"/>
                  <w:tcBorders>
                    <w:top w:val="single" w:color="auto" w:sz="4" w:space="0"/>
                    <w:left w:val="single" w:color="auto" w:sz="4" w:space="0"/>
                    <w:bottom w:val="single" w:color="auto" w:sz="4" w:space="0"/>
                    <w:right w:val="single" w:color="auto" w:sz="4" w:space="0"/>
                  </w:tcBorders>
                  <w:vAlign w:val="center"/>
                </w:tcPr>
                <w:p>
                  <w:pPr>
                    <w:pStyle w:val="49"/>
                  </w:pPr>
                  <w:r>
                    <w:t>监测因子</w:t>
                  </w:r>
                </w:p>
              </w:tc>
              <w:tc>
                <w:tcPr>
                  <w:tcW w:w="1545" w:type="pct"/>
                  <w:gridSpan w:val="6"/>
                  <w:tcBorders>
                    <w:top w:val="single" w:color="auto" w:sz="4" w:space="0"/>
                    <w:left w:val="single" w:color="auto" w:sz="4" w:space="0"/>
                    <w:bottom w:val="single" w:color="auto" w:sz="4" w:space="0"/>
                    <w:right w:val="single" w:color="auto" w:sz="4" w:space="0"/>
                  </w:tcBorders>
                  <w:vAlign w:val="center"/>
                </w:tcPr>
                <w:p>
                  <w:pPr>
                    <w:pStyle w:val="49"/>
                  </w:pPr>
                  <w:r>
                    <w:t>（ / ）</w:t>
                  </w:r>
                </w:p>
              </w:tc>
              <w:tc>
                <w:tcPr>
                  <w:tcW w:w="1393" w:type="pct"/>
                  <w:gridSpan w:val="4"/>
                  <w:tcBorders>
                    <w:top w:val="single" w:color="auto" w:sz="4" w:space="0"/>
                    <w:left w:val="single" w:color="auto" w:sz="4" w:space="0"/>
                    <w:bottom w:val="single" w:color="auto" w:sz="4" w:space="0"/>
                    <w:right w:val="single" w:color="auto" w:sz="4" w:space="0"/>
                  </w:tcBorders>
                  <w:vAlign w:val="center"/>
                </w:tcPr>
                <w:p>
                  <w:pPr>
                    <w:pStyle w:val="49"/>
                  </w:pPr>
                  <w:r>
                    <w:t>（COD</w:t>
                  </w:r>
                  <w:r>
                    <w:rPr>
                      <w:vertAlign w:val="subscript"/>
                    </w:rPr>
                    <w:t>Cr</w:t>
                  </w:r>
                  <w:r>
                    <w:t>、NH</w:t>
                  </w:r>
                  <w:r>
                    <w:rPr>
                      <w:vertAlign w:val="subscript"/>
                    </w:rPr>
                    <w:t>3</w:t>
                  </w:r>
                  <w: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85"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724" w:type="pct"/>
                  <w:tcBorders>
                    <w:top w:val="single" w:color="auto" w:sz="4" w:space="0"/>
                    <w:left w:val="single" w:color="auto" w:sz="4" w:space="0"/>
                    <w:bottom w:val="single" w:color="auto" w:sz="4" w:space="0"/>
                    <w:right w:val="single" w:color="auto" w:sz="4" w:space="0"/>
                  </w:tcBorders>
                  <w:vAlign w:val="center"/>
                </w:tcPr>
                <w:p>
                  <w:pPr>
                    <w:pStyle w:val="49"/>
                  </w:pPr>
                  <w:r>
                    <w:t>污染物排放清单</w:t>
                  </w:r>
                </w:p>
              </w:tc>
              <w:tc>
                <w:tcPr>
                  <w:tcW w:w="3990" w:type="pct"/>
                  <w:gridSpan w:val="12"/>
                  <w:tcBorders>
                    <w:top w:val="single" w:color="auto" w:sz="4" w:space="0"/>
                    <w:left w:val="single" w:color="auto" w:sz="4" w:space="0"/>
                    <w:bottom w:val="single" w:color="auto" w:sz="4" w:space="0"/>
                    <w:right w:val="single" w:color="auto" w:sz="4" w:space="0"/>
                  </w:tcBorders>
                  <w:vAlign w:val="center"/>
                </w:tcPr>
                <w:p>
                  <w:pPr>
                    <w:pStyle w:val="49"/>
                  </w:pPr>
                  <w:r>
                    <w:rPr/>
                    <w:sym w:font="Wingdings 2" w:char="F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09" w:type="pct"/>
                  <w:gridSpan w:val="2"/>
                  <w:tcBorders>
                    <w:top w:val="single" w:color="auto" w:sz="4" w:space="0"/>
                    <w:left w:val="single" w:color="auto" w:sz="4" w:space="0"/>
                    <w:bottom w:val="single" w:color="auto" w:sz="4" w:space="0"/>
                    <w:right w:val="single" w:color="auto" w:sz="4" w:space="0"/>
                  </w:tcBorders>
                  <w:vAlign w:val="center"/>
                </w:tcPr>
                <w:p>
                  <w:pPr>
                    <w:pStyle w:val="49"/>
                  </w:pPr>
                  <w:r>
                    <w:t>评价结论</w:t>
                  </w:r>
                </w:p>
              </w:tc>
              <w:tc>
                <w:tcPr>
                  <w:tcW w:w="3990" w:type="pct"/>
                  <w:gridSpan w:val="12"/>
                  <w:tcBorders>
                    <w:top w:val="single" w:color="auto" w:sz="4" w:space="0"/>
                    <w:left w:val="single" w:color="auto" w:sz="4" w:space="0"/>
                    <w:bottom w:val="single" w:color="auto" w:sz="4" w:space="0"/>
                    <w:right w:val="single" w:color="auto" w:sz="4" w:space="0"/>
                  </w:tcBorders>
                  <w:vAlign w:val="center"/>
                </w:tcPr>
                <w:p>
                  <w:pPr>
                    <w:pStyle w:val="49"/>
                  </w:pPr>
                  <w:r>
                    <w:t>可以接受</w:t>
                  </w:r>
                  <w:r>
                    <w:rPr/>
                    <w:sym w:font="Wingdings 2" w:char="F052"/>
                  </w:r>
                  <w:r>
                    <w:t>；不可以接受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000" w:type="pct"/>
                  <w:gridSpan w:val="14"/>
                  <w:tcBorders>
                    <w:top w:val="single" w:color="auto" w:sz="4" w:space="0"/>
                    <w:left w:val="single" w:color="auto" w:sz="4" w:space="0"/>
                    <w:bottom w:val="single" w:color="auto" w:sz="4" w:space="0"/>
                    <w:right w:val="single" w:color="auto" w:sz="4" w:space="0"/>
                  </w:tcBorders>
                  <w:vAlign w:val="center"/>
                </w:tcPr>
                <w:p>
                  <w:pPr>
                    <w:pStyle w:val="49"/>
                    <w:jc w:val="both"/>
                  </w:pPr>
                  <w:r>
                    <w:t>注：“□”为勾选项，填“√”；“（  ）”为内容填写项；“备注”为其他补充内容。</w:t>
                  </w:r>
                </w:p>
              </w:tc>
            </w:tr>
          </w:tbl>
          <w:p>
            <w:pPr>
              <w:pStyle w:val="6"/>
              <w:spacing w:before="120" w:beforeLines="50"/>
            </w:pPr>
            <w:bookmarkStart w:id="157" w:name="_Toc29388591"/>
            <w:bookmarkStart w:id="158" w:name="_Toc29380640"/>
            <w:bookmarkStart w:id="159" w:name="_Toc29388592"/>
            <w:bookmarkStart w:id="160" w:name="_Toc29380641"/>
            <w:r>
              <w:t>7.2.2</w:t>
            </w:r>
            <w:r>
              <w:rPr>
                <w:rFonts w:hint="eastAsia"/>
              </w:rPr>
              <w:t>地下水环境影响分析</w:t>
            </w:r>
            <w:bookmarkEnd w:id="157"/>
            <w:bookmarkEnd w:id="158"/>
          </w:p>
          <w:p>
            <w:pPr>
              <w:ind w:firstLine="480"/>
            </w:pPr>
            <w:r>
              <w:rPr>
                <w:rFonts w:hint="eastAsia"/>
              </w:rPr>
              <w:t>1、地下水环境影响评价工作等级</w:t>
            </w:r>
          </w:p>
          <w:p>
            <w:pPr>
              <w:ind w:firstLine="480"/>
            </w:pPr>
            <w:r>
              <w:rPr>
                <w:rFonts w:hint="eastAsia"/>
              </w:rPr>
              <w:t>本项目主要从事精密配件、后倾离心风机的生产，根据《环境影响评价技术导则</w:t>
            </w:r>
            <w:r>
              <w:t xml:space="preserve"> </w:t>
            </w:r>
            <w:r>
              <w:rPr>
                <w:rFonts w:hint="eastAsia"/>
              </w:rPr>
              <w:t>地下水环境》（</w:t>
            </w:r>
            <w:r>
              <w:t>HJ610-2016</w:t>
            </w:r>
            <w:r>
              <w:rPr>
                <w:rFonts w:hint="eastAsia"/>
              </w:rPr>
              <w:t>）附录</w:t>
            </w:r>
            <w:r>
              <w:t>A</w:t>
            </w:r>
            <w:r>
              <w:rPr>
                <w:rFonts w:hint="eastAsia"/>
              </w:rPr>
              <w:t>“地下水环境影响评价行业分类表”，结合《建设项目环境影响评价分类管理名录（2021年版）》，本项目地下水环境影响评价分类判定见下表。</w:t>
            </w:r>
          </w:p>
          <w:p>
            <w:pPr>
              <w:pStyle w:val="46"/>
              <w:spacing w:before="48" w:after="24"/>
            </w:pPr>
            <w:r>
              <w:rPr>
                <w:rFonts w:hint="eastAsia"/>
              </w:rPr>
              <w:t>表</w:t>
            </w:r>
            <w:r>
              <w:t xml:space="preserve">7-7  </w:t>
            </w:r>
            <w:r>
              <w:rPr>
                <w:rFonts w:hint="eastAsia"/>
              </w:rPr>
              <w:t>地下水环境影响评价分类表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72"/>
              <w:gridCol w:w="2144"/>
              <w:gridCol w:w="1083"/>
              <w:gridCol w:w="1104"/>
              <w:gridCol w:w="1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7" w:type="pct"/>
                  <w:vMerge w:val="restart"/>
                  <w:tcBorders>
                    <w:top w:val="single" w:color="auto" w:sz="4" w:space="0"/>
                    <w:left w:val="single" w:color="auto" w:sz="4" w:space="0"/>
                    <w:bottom w:val="single" w:color="auto" w:sz="4" w:space="0"/>
                    <w:right w:val="single" w:color="auto" w:sz="4" w:space="0"/>
                    <w:tl2br w:val="single" w:color="auto" w:sz="4" w:space="0"/>
                  </w:tcBorders>
                  <w:vAlign w:val="center"/>
                </w:tcPr>
                <w:p>
                  <w:pPr>
                    <w:pStyle w:val="46"/>
                    <w:jc w:val="right"/>
                  </w:pPr>
                  <w:r>
                    <w:rPr>
                      <w:rFonts w:hint="eastAsia"/>
                    </w:rPr>
                    <w:t>环评类别</w:t>
                  </w:r>
                </w:p>
                <w:p>
                  <w:pPr>
                    <w:pStyle w:val="46"/>
                    <w:jc w:val="left"/>
                  </w:pPr>
                  <w:r>
                    <w:rPr>
                      <w:rFonts w:hint="eastAsia"/>
                    </w:rPr>
                    <w:t>行业类别</w:t>
                  </w:r>
                </w:p>
              </w:tc>
              <w:tc>
                <w:tcPr>
                  <w:tcW w:w="1230" w:type="pct"/>
                  <w:vMerge w:val="restart"/>
                  <w:tcBorders>
                    <w:top w:val="single" w:color="auto" w:sz="4" w:space="0"/>
                    <w:left w:val="single" w:color="auto" w:sz="4" w:space="0"/>
                    <w:bottom w:val="single" w:color="auto" w:sz="4" w:space="0"/>
                    <w:right w:val="single" w:color="auto" w:sz="4" w:space="0"/>
                  </w:tcBorders>
                  <w:vAlign w:val="center"/>
                </w:tcPr>
                <w:p>
                  <w:pPr>
                    <w:pStyle w:val="46"/>
                  </w:pPr>
                  <w:r>
                    <w:rPr>
                      <w:rFonts w:hint="eastAsia"/>
                    </w:rPr>
                    <w:t>报告书</w:t>
                  </w:r>
                </w:p>
              </w:tc>
              <w:tc>
                <w:tcPr>
                  <w:tcW w:w="621" w:type="pct"/>
                  <w:vMerge w:val="restart"/>
                  <w:tcBorders>
                    <w:top w:val="single" w:color="auto" w:sz="4" w:space="0"/>
                    <w:left w:val="single" w:color="auto" w:sz="4" w:space="0"/>
                    <w:bottom w:val="single" w:color="auto" w:sz="4" w:space="0"/>
                    <w:right w:val="single" w:color="auto" w:sz="4" w:space="0"/>
                  </w:tcBorders>
                  <w:vAlign w:val="center"/>
                </w:tcPr>
                <w:p>
                  <w:pPr>
                    <w:pStyle w:val="46"/>
                  </w:pPr>
                  <w:r>
                    <w:rPr>
                      <w:rFonts w:hint="eastAsia"/>
                    </w:rPr>
                    <w:t>报告表</w:t>
                  </w:r>
                </w:p>
              </w:tc>
              <w:tc>
                <w:tcPr>
                  <w:tcW w:w="1270" w:type="pct"/>
                  <w:gridSpan w:val="2"/>
                  <w:tcBorders>
                    <w:top w:val="single" w:color="auto" w:sz="4" w:space="0"/>
                    <w:left w:val="single" w:color="auto" w:sz="4" w:space="0"/>
                    <w:bottom w:val="single" w:color="auto" w:sz="4" w:space="0"/>
                    <w:right w:val="single" w:color="auto" w:sz="4" w:space="0"/>
                  </w:tcBorders>
                  <w:vAlign w:val="center"/>
                </w:tcPr>
                <w:p>
                  <w:pPr>
                    <w:pStyle w:val="46"/>
                  </w:pPr>
                  <w:r>
                    <w:rPr>
                      <w:rFonts w:hint="eastAsia"/>
                    </w:rPr>
                    <w:t>评价项目类别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7" w:type="pct"/>
                  <w:vMerge w:val="continue"/>
                  <w:tcBorders>
                    <w:top w:val="single" w:color="auto" w:sz="4" w:space="0"/>
                    <w:left w:val="single" w:color="auto" w:sz="4" w:space="0"/>
                    <w:bottom w:val="single" w:color="auto" w:sz="4" w:space="0"/>
                    <w:right w:val="single" w:color="auto" w:sz="4" w:space="0"/>
                    <w:tl2br w:val="single" w:color="auto" w:sz="4" w:space="0"/>
                  </w:tcBorders>
                  <w:vAlign w:val="center"/>
                </w:tcPr>
                <w:p>
                  <w:pPr>
                    <w:pStyle w:val="46"/>
                  </w:pPr>
                </w:p>
              </w:tc>
              <w:tc>
                <w:tcPr>
                  <w:tcW w:w="1230" w:type="pct"/>
                  <w:vMerge w:val="continue"/>
                  <w:tcBorders>
                    <w:top w:val="single" w:color="auto" w:sz="4" w:space="0"/>
                    <w:left w:val="single" w:color="auto" w:sz="4" w:space="0"/>
                    <w:bottom w:val="single" w:color="auto" w:sz="4" w:space="0"/>
                    <w:right w:val="single" w:color="auto" w:sz="4" w:space="0"/>
                  </w:tcBorders>
                  <w:vAlign w:val="center"/>
                </w:tcPr>
                <w:p>
                  <w:pPr>
                    <w:pStyle w:val="46"/>
                  </w:pPr>
                </w:p>
              </w:tc>
              <w:tc>
                <w:tcPr>
                  <w:tcW w:w="621" w:type="pct"/>
                  <w:vMerge w:val="continue"/>
                  <w:tcBorders>
                    <w:top w:val="single" w:color="auto" w:sz="4" w:space="0"/>
                    <w:left w:val="single" w:color="auto" w:sz="4" w:space="0"/>
                    <w:bottom w:val="single" w:color="auto" w:sz="4" w:space="0"/>
                    <w:right w:val="single" w:color="auto" w:sz="4" w:space="0"/>
                  </w:tcBorders>
                  <w:vAlign w:val="center"/>
                </w:tcPr>
                <w:p>
                  <w:pPr>
                    <w:pStyle w:val="46"/>
                  </w:pPr>
                </w:p>
              </w:tc>
              <w:tc>
                <w:tcPr>
                  <w:tcW w:w="633" w:type="pct"/>
                  <w:tcBorders>
                    <w:top w:val="single" w:color="auto" w:sz="4" w:space="0"/>
                    <w:left w:val="single" w:color="auto" w:sz="4" w:space="0"/>
                    <w:bottom w:val="single" w:color="auto" w:sz="4" w:space="0"/>
                    <w:right w:val="single" w:color="auto" w:sz="4" w:space="0"/>
                  </w:tcBorders>
                  <w:vAlign w:val="center"/>
                </w:tcPr>
                <w:p>
                  <w:pPr>
                    <w:pStyle w:val="46"/>
                  </w:pPr>
                  <w:r>
                    <w:rPr>
                      <w:rFonts w:hint="eastAsia"/>
                    </w:rPr>
                    <w:t>报告书</w:t>
                  </w:r>
                </w:p>
              </w:tc>
              <w:tc>
                <w:tcPr>
                  <w:tcW w:w="637" w:type="pct"/>
                  <w:tcBorders>
                    <w:top w:val="single" w:color="auto" w:sz="4" w:space="0"/>
                    <w:left w:val="single" w:color="auto" w:sz="4" w:space="0"/>
                    <w:bottom w:val="single" w:color="auto" w:sz="4" w:space="0"/>
                    <w:right w:val="single" w:color="auto" w:sz="4" w:space="0"/>
                  </w:tcBorders>
                  <w:vAlign w:val="center"/>
                </w:tcPr>
                <w:p>
                  <w:pPr>
                    <w:pStyle w:val="46"/>
                  </w:pPr>
                  <w:r>
                    <w:rPr>
                      <w:rFonts w:hint="eastAsia"/>
                    </w:rPr>
                    <w:t>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pPr>
                    <w:pStyle w:val="47"/>
                    <w:jc w:val="left"/>
                  </w:pPr>
                  <w:r>
                    <w:rPr>
                      <w:rFonts w:hint="eastAsia"/>
                    </w:rPr>
                    <w:t>K</w:t>
                  </w:r>
                  <w:r>
                    <w:t xml:space="preserve"> </w:t>
                  </w:r>
                  <w:r>
                    <w:rPr>
                      <w:rFonts w:hint="eastAsia"/>
                    </w:rPr>
                    <w:t>机械、电子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7"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71、通用、专用设备制造及维修</w:t>
                  </w:r>
                </w:p>
              </w:tc>
              <w:tc>
                <w:tcPr>
                  <w:tcW w:w="1230"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有电镀或喷漆工艺的</w:t>
                  </w:r>
                </w:p>
              </w:tc>
              <w:tc>
                <w:tcPr>
                  <w:tcW w:w="62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其他</w:t>
                  </w:r>
                </w:p>
              </w:tc>
              <w:tc>
                <w:tcPr>
                  <w:tcW w:w="633" w:type="pct"/>
                  <w:tcBorders>
                    <w:top w:val="single" w:color="auto" w:sz="4" w:space="0"/>
                    <w:left w:val="single" w:color="auto" w:sz="4" w:space="0"/>
                    <w:bottom w:val="single" w:color="auto" w:sz="4" w:space="0"/>
                    <w:right w:val="single" w:color="auto" w:sz="4" w:space="0"/>
                  </w:tcBorders>
                  <w:vAlign w:val="center"/>
                </w:tcPr>
                <w:p>
                  <w:pPr>
                    <w:pStyle w:val="47"/>
                  </w:pPr>
                  <w:r>
                    <w:t>Ⅲ类</w:t>
                  </w:r>
                </w:p>
              </w:tc>
              <w:tc>
                <w:tcPr>
                  <w:tcW w:w="637" w:type="pct"/>
                  <w:tcBorders>
                    <w:top w:val="single" w:color="auto" w:sz="4" w:space="0"/>
                    <w:left w:val="single" w:color="auto" w:sz="4" w:space="0"/>
                    <w:bottom w:val="single" w:color="auto" w:sz="4" w:space="0"/>
                    <w:right w:val="single" w:color="auto" w:sz="4" w:space="0"/>
                  </w:tcBorders>
                  <w:vAlign w:val="center"/>
                </w:tcPr>
                <w:p>
                  <w:pPr>
                    <w:pStyle w:val="47"/>
                  </w:pPr>
                  <w:r>
                    <w:t>Ⅳ类</w:t>
                  </w:r>
                </w:p>
              </w:tc>
            </w:tr>
          </w:tbl>
          <w:p>
            <w:pPr>
              <w:ind w:firstLine="480"/>
            </w:pPr>
            <w:r>
              <w:t>根据上表分析，本项目</w:t>
            </w:r>
            <w:r>
              <w:rPr>
                <w:rFonts w:hint="eastAsia"/>
              </w:rPr>
              <w:t>不涉及电镀或喷漆工艺，</w:t>
            </w:r>
            <w:r>
              <w:t>属于“K 机械、电子”中的“71、通用、专用设备制造及维修</w:t>
            </w:r>
            <w:r>
              <w:rPr>
                <w:rFonts w:hint="eastAsia"/>
              </w:rPr>
              <w:t>—</w:t>
            </w:r>
            <w:r>
              <w:t>其他”，属于Ⅳ类建设项目，根据《环境影响评价技术导则 地下水环境》（HJ610-2016）中“4.1 一般性原则”，Ⅳ类建设项目不开展地下水环境影响评价。</w:t>
            </w:r>
          </w:p>
          <w:p>
            <w:pPr>
              <w:pStyle w:val="6"/>
            </w:pPr>
            <w:r>
              <w:t>7.2.</w:t>
            </w:r>
            <w:r>
              <w:rPr>
                <w:rFonts w:hint="eastAsia"/>
              </w:rPr>
              <w:t>3</w:t>
            </w:r>
            <w:r>
              <w:t>大气环境影响分析</w:t>
            </w:r>
            <w:bookmarkEnd w:id="159"/>
            <w:bookmarkEnd w:id="160"/>
          </w:p>
          <w:p>
            <w:pPr>
              <w:ind w:firstLine="480"/>
            </w:pPr>
            <w:r>
              <w:t>本项目</w:t>
            </w:r>
            <w:r>
              <w:rPr>
                <w:rFonts w:hint="eastAsia"/>
              </w:rPr>
              <w:t>运营期产生的</w:t>
            </w:r>
            <w:r>
              <w:t>废气主要为焊接</w:t>
            </w:r>
            <w:r>
              <w:rPr>
                <w:rFonts w:hint="eastAsia"/>
              </w:rPr>
              <w:t>工序</w:t>
            </w:r>
            <w:r>
              <w:t>中产生的焊接烟尘</w:t>
            </w:r>
            <w:r>
              <w:rPr>
                <w:rFonts w:hint="eastAsia"/>
              </w:rPr>
              <w:t>以及浸漆、烘干工序</w:t>
            </w:r>
            <w:r>
              <w:t>产生的有机废气</w:t>
            </w:r>
            <w:r>
              <w:rPr>
                <w:rFonts w:hint="eastAsia"/>
              </w:rPr>
              <w:t>和恶臭</w:t>
            </w:r>
            <w:r>
              <w:t>。</w:t>
            </w:r>
          </w:p>
          <w:p>
            <w:pPr>
              <w:pStyle w:val="7"/>
            </w:pPr>
            <w:r>
              <w:t>7.2.</w:t>
            </w:r>
            <w:r>
              <w:rPr>
                <w:rFonts w:hint="eastAsia"/>
              </w:rPr>
              <w:t>3</w:t>
            </w:r>
            <w:r>
              <w:t>.1废气排放达标性分析</w:t>
            </w:r>
          </w:p>
          <w:p>
            <w:pPr>
              <w:ind w:firstLine="480"/>
            </w:pPr>
            <w:r>
              <w:rPr>
                <w:rFonts w:hint="eastAsia"/>
              </w:rPr>
              <w:t>1、 焊接烟尘</w:t>
            </w:r>
          </w:p>
          <w:p>
            <w:pPr>
              <w:ind w:firstLine="480"/>
            </w:pPr>
            <w:r>
              <w:t>根据工程分析，本项目焊接过程中产生</w:t>
            </w:r>
            <w:r>
              <w:rPr>
                <w:rFonts w:hint="eastAsia"/>
              </w:rPr>
              <w:t>少量</w:t>
            </w:r>
            <w:r>
              <w:t>焊接烟尘</w:t>
            </w:r>
            <w:r>
              <w:rPr>
                <w:rFonts w:hint="eastAsia"/>
              </w:rPr>
              <w:t>，</w:t>
            </w:r>
            <w:r>
              <w:t>产生量为</w:t>
            </w:r>
            <w:r>
              <w:rPr>
                <w:rFonts w:hint="eastAsia"/>
              </w:rPr>
              <w:t>0.003</w:t>
            </w:r>
            <w:r>
              <w:t>t/a，</w:t>
            </w:r>
            <w:r>
              <w:rPr>
                <w:rFonts w:hint="eastAsia"/>
              </w:rPr>
              <w:t>要求企业在焊接设备上方设置集气罩（收集率按大于80%），收集的烟尘使用移动式焊接烟尘净化器处理（滤芯除尘，处理效率按</w:t>
            </w:r>
            <w:r>
              <w:t>9</w:t>
            </w:r>
            <w:r>
              <w:rPr>
                <w:rFonts w:hint="eastAsia"/>
              </w:rPr>
              <w:t>0</w:t>
            </w:r>
            <w:r>
              <w:t>%</w:t>
            </w:r>
            <w:r>
              <w:rPr>
                <w:rFonts w:hint="eastAsia"/>
              </w:rPr>
              <w:t>计）后，尾气在车间内无组织排放。本项目</w:t>
            </w:r>
            <w:r>
              <w:t>焊接烟尘的排放量为0.00</w:t>
            </w:r>
            <w:r>
              <w:rPr>
                <w:rFonts w:hint="eastAsia"/>
              </w:rPr>
              <w:t>1</w:t>
            </w:r>
            <w:r>
              <w:t>t/a，排放速率为0.00</w:t>
            </w:r>
            <w:r>
              <w:rPr>
                <w:rFonts w:hint="eastAsia"/>
              </w:rPr>
              <w:t>04</w:t>
            </w:r>
            <w:r>
              <w:t>kg/h。</w:t>
            </w:r>
          </w:p>
          <w:p>
            <w:pPr>
              <w:ind w:firstLine="480"/>
            </w:pPr>
            <w:r>
              <w:rPr>
                <w:rFonts w:hint="eastAsia"/>
              </w:rPr>
              <w:t>2、有机废气</w:t>
            </w:r>
          </w:p>
          <w:p>
            <w:pPr>
              <w:ind w:firstLine="480"/>
            </w:pPr>
            <w:r>
              <w:t>根据工程分析，本项目</w:t>
            </w:r>
            <w:r>
              <w:rPr>
                <w:rFonts w:hint="eastAsia"/>
              </w:rPr>
              <w:t>浸漆、烘干工序使用环保型绝缘漆，过程中会产生</w:t>
            </w:r>
            <w:r>
              <w:t>有机废气</w:t>
            </w:r>
            <w:r>
              <w:rPr>
                <w:rFonts w:hint="eastAsia"/>
              </w:rPr>
              <w:t>，产生量约为0.460t/a，全部</w:t>
            </w:r>
            <w:r>
              <w:t>以非甲烷总烃计，</w:t>
            </w:r>
            <w:r>
              <w:rPr>
                <w:rFonts w:hint="eastAsia"/>
              </w:rPr>
              <w:t>参照《温州市电器及元件制造业挥发性有机物污染整治规范》，要求企业将浸漆、烘干相关设备</w:t>
            </w:r>
            <w:r>
              <w:t>置于独立密闭车间内，保持微负压状态对废气进行收集，</w:t>
            </w:r>
            <w:r>
              <w:rPr>
                <w:rFonts w:hint="eastAsia"/>
                <w:szCs w:val="22"/>
              </w:rPr>
              <w:t>再</w:t>
            </w:r>
            <w:r>
              <w:t>经</w:t>
            </w:r>
            <w:r>
              <w:rPr>
                <w:rFonts w:hint="eastAsia"/>
              </w:rPr>
              <w:t>“一级活性炭+二级活性炭”吸附装置处理</w:t>
            </w:r>
            <w:r>
              <w:t>后通过</w:t>
            </w:r>
            <w:r>
              <w:rPr>
                <w:rFonts w:hint="eastAsia"/>
              </w:rPr>
              <w:t>20</w:t>
            </w:r>
            <w:r>
              <w:t>m高以上排气筒</w:t>
            </w:r>
            <w:r>
              <w:rPr>
                <w:rFonts w:hint="eastAsia"/>
              </w:rPr>
              <w:t>（DA</w:t>
            </w:r>
            <w:r>
              <w:t>001</w:t>
            </w:r>
            <w:r>
              <w:rPr>
                <w:rFonts w:hint="eastAsia"/>
              </w:rPr>
              <w:t>）</w:t>
            </w:r>
            <w:r>
              <w:t>高空排放，废气收集效率以90%计，净化效率以90%计，配套风机额定风量为5000m</w:t>
            </w:r>
            <w:r>
              <w:rPr>
                <w:vertAlign w:val="superscript"/>
              </w:rPr>
              <w:t>3</w:t>
            </w:r>
            <w:r>
              <w:t>/h（可达到整体密闭车间换风次数不小于8次/h的要求）。则本项目</w:t>
            </w:r>
            <w:r>
              <w:rPr>
                <w:rFonts w:hint="eastAsia"/>
              </w:rPr>
              <w:t>浸漆、烘干</w:t>
            </w:r>
            <w:r>
              <w:t>工序中非甲</w:t>
            </w:r>
            <w:r>
              <w:rPr>
                <w:szCs w:val="22"/>
              </w:rPr>
              <w:t>烷总烃排放量为0.</w:t>
            </w:r>
            <w:r>
              <w:rPr>
                <w:rFonts w:hint="eastAsia"/>
                <w:szCs w:val="22"/>
              </w:rPr>
              <w:t>087</w:t>
            </w:r>
            <w:r>
              <w:rPr>
                <w:szCs w:val="22"/>
              </w:rPr>
              <w:t>t/a，其中有组织排放量为0.0</w:t>
            </w:r>
            <w:r>
              <w:rPr>
                <w:rFonts w:hint="eastAsia"/>
                <w:szCs w:val="22"/>
              </w:rPr>
              <w:t>41</w:t>
            </w:r>
            <w:r>
              <w:rPr>
                <w:szCs w:val="22"/>
              </w:rPr>
              <w:t>t/a，无组织排放量为0.0</w:t>
            </w:r>
            <w:r>
              <w:rPr>
                <w:rFonts w:hint="eastAsia"/>
                <w:szCs w:val="22"/>
              </w:rPr>
              <w:t>46</w:t>
            </w:r>
            <w:r>
              <w:rPr>
                <w:szCs w:val="22"/>
              </w:rPr>
              <w:t>t/a。</w:t>
            </w:r>
          </w:p>
          <w:p>
            <w:pPr>
              <w:ind w:firstLine="480"/>
            </w:pPr>
            <w:r>
              <w:rPr>
                <w:rFonts w:hint="eastAsia"/>
              </w:rPr>
              <w:t>综上，本项目生产工序产生的废气污染物经处理后的有组织排放情况见下表。</w:t>
            </w:r>
          </w:p>
          <w:p>
            <w:pPr>
              <w:pStyle w:val="46"/>
            </w:pPr>
            <w:r>
              <w:rPr>
                <w:rFonts w:hint="eastAsia"/>
              </w:rPr>
              <w:t>表7-8  有组织废气排放量及排放速率</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322"/>
              <w:gridCol w:w="1366"/>
              <w:gridCol w:w="2463"/>
              <w:gridCol w:w="1216"/>
              <w:gridCol w:w="1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6" w:type="pct"/>
                  <w:vAlign w:val="center"/>
                </w:tcPr>
                <w:p>
                  <w:pPr>
                    <w:pStyle w:val="46"/>
                  </w:pPr>
                  <w:r>
                    <w:rPr>
                      <w:rFonts w:hint="eastAsia"/>
                    </w:rPr>
                    <w:t>区域</w:t>
                  </w:r>
                </w:p>
              </w:tc>
              <w:tc>
                <w:tcPr>
                  <w:tcW w:w="758" w:type="pct"/>
                  <w:vAlign w:val="center"/>
                </w:tcPr>
                <w:p>
                  <w:pPr>
                    <w:pStyle w:val="46"/>
                  </w:pPr>
                  <w:r>
                    <w:rPr>
                      <w:rFonts w:hint="eastAsia"/>
                    </w:rPr>
                    <w:t>废气</w:t>
                  </w:r>
                </w:p>
              </w:tc>
              <w:tc>
                <w:tcPr>
                  <w:tcW w:w="783" w:type="pct"/>
                  <w:vAlign w:val="center"/>
                </w:tcPr>
                <w:p>
                  <w:pPr>
                    <w:pStyle w:val="46"/>
                  </w:pPr>
                  <w:r>
                    <w:rPr>
                      <w:rFonts w:hint="eastAsia"/>
                    </w:rPr>
                    <w:t>产生工序</w:t>
                  </w:r>
                </w:p>
              </w:tc>
              <w:tc>
                <w:tcPr>
                  <w:tcW w:w="1411" w:type="pct"/>
                  <w:vAlign w:val="center"/>
                </w:tcPr>
                <w:p>
                  <w:pPr>
                    <w:pStyle w:val="46"/>
                  </w:pPr>
                  <w:r>
                    <w:rPr>
                      <w:rFonts w:hint="eastAsia"/>
                    </w:rPr>
                    <w:t>有组织排放量、排放速率</w:t>
                  </w:r>
                </w:p>
              </w:tc>
              <w:tc>
                <w:tcPr>
                  <w:tcW w:w="697" w:type="pct"/>
                  <w:vAlign w:val="center"/>
                </w:tcPr>
                <w:p>
                  <w:pPr>
                    <w:pStyle w:val="46"/>
                  </w:pPr>
                  <w:r>
                    <w:rPr>
                      <w:rFonts w:hint="eastAsia"/>
                    </w:rPr>
                    <w:t>排放浓度</w:t>
                  </w:r>
                </w:p>
              </w:tc>
              <w:tc>
                <w:tcPr>
                  <w:tcW w:w="833" w:type="pct"/>
                  <w:vAlign w:val="center"/>
                </w:tcPr>
                <w:p>
                  <w:pPr>
                    <w:pStyle w:val="46"/>
                  </w:pPr>
                  <w:r>
                    <w:rPr>
                      <w:rFonts w:hint="eastAsia"/>
                    </w:rPr>
                    <w:t>排气筒风量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6" w:type="pct"/>
                  <w:vAlign w:val="center"/>
                </w:tcPr>
                <w:p>
                  <w:pPr>
                    <w:pStyle w:val="47"/>
                  </w:pPr>
                  <w:r>
                    <w:rPr>
                      <w:rFonts w:hint="eastAsia"/>
                    </w:rPr>
                    <w:t>DA001</w:t>
                  </w:r>
                </w:p>
              </w:tc>
              <w:tc>
                <w:tcPr>
                  <w:tcW w:w="758" w:type="pct"/>
                  <w:vAlign w:val="center"/>
                </w:tcPr>
                <w:p>
                  <w:pPr>
                    <w:pStyle w:val="47"/>
                  </w:pPr>
                  <w:r>
                    <w:rPr>
                      <w:rFonts w:hint="eastAsia"/>
                    </w:rPr>
                    <w:t>非甲烷总烃</w:t>
                  </w:r>
                </w:p>
              </w:tc>
              <w:tc>
                <w:tcPr>
                  <w:tcW w:w="783" w:type="pct"/>
                  <w:vAlign w:val="center"/>
                </w:tcPr>
                <w:p>
                  <w:pPr>
                    <w:pStyle w:val="47"/>
                  </w:pPr>
                  <w:r>
                    <w:rPr>
                      <w:rFonts w:hint="eastAsia"/>
                    </w:rPr>
                    <w:t>浸漆、烘干</w:t>
                  </w:r>
                </w:p>
              </w:tc>
              <w:tc>
                <w:tcPr>
                  <w:tcW w:w="1411" w:type="pct"/>
                  <w:vAlign w:val="center"/>
                </w:tcPr>
                <w:p>
                  <w:pPr>
                    <w:pStyle w:val="47"/>
                  </w:pPr>
                  <w:r>
                    <w:rPr>
                      <w:rFonts w:hint="eastAsia"/>
                    </w:rPr>
                    <w:t>0.041t/a（0.017kg/h）</w:t>
                  </w:r>
                </w:p>
              </w:tc>
              <w:tc>
                <w:tcPr>
                  <w:tcW w:w="697" w:type="pct"/>
                  <w:vAlign w:val="center"/>
                </w:tcPr>
                <w:p>
                  <w:pPr>
                    <w:pStyle w:val="47"/>
                  </w:pPr>
                  <w:r>
                    <w:rPr>
                      <w:rFonts w:hint="eastAsia"/>
                    </w:rPr>
                    <w:t>3.4mg/m</w:t>
                  </w:r>
                  <w:r>
                    <w:rPr>
                      <w:rFonts w:hint="eastAsia"/>
                      <w:vertAlign w:val="superscript"/>
                    </w:rPr>
                    <w:t>3</w:t>
                  </w:r>
                </w:p>
              </w:tc>
              <w:tc>
                <w:tcPr>
                  <w:tcW w:w="833" w:type="pct"/>
                  <w:vAlign w:val="center"/>
                </w:tcPr>
                <w:p>
                  <w:pPr>
                    <w:pStyle w:val="47"/>
                  </w:pPr>
                  <w:r>
                    <w:rPr>
                      <w:rFonts w:hint="eastAsia"/>
                    </w:rPr>
                    <w:t>5000m</w:t>
                  </w:r>
                  <w:r>
                    <w:rPr>
                      <w:rFonts w:hint="eastAsia"/>
                      <w:vertAlign w:val="superscript"/>
                    </w:rPr>
                    <w:t>3</w:t>
                  </w:r>
                  <w:r>
                    <w:rPr>
                      <w:rFonts w:hint="eastAsia"/>
                    </w:rPr>
                    <w:t>/h</w:t>
                  </w:r>
                </w:p>
              </w:tc>
            </w:tr>
          </w:tbl>
          <w:p>
            <w:pPr>
              <w:ind w:firstLine="480"/>
            </w:pPr>
            <w:r>
              <w:rPr>
                <w:rFonts w:hint="eastAsia"/>
              </w:rPr>
              <w:t>由上表可知，本项目生产过程中产生的非甲烷总烃有组织排放浓度能够达到</w:t>
            </w:r>
            <w:r>
              <w:t>《</w:t>
            </w:r>
            <w:r>
              <w:rPr>
                <w:rFonts w:hint="eastAsia"/>
              </w:rPr>
              <w:t>工业涂装工序大气污染物排放标准</w:t>
            </w:r>
            <w:r>
              <w:t>》（</w:t>
            </w:r>
            <w:r>
              <w:rPr>
                <w:rFonts w:hint="eastAsia"/>
              </w:rPr>
              <w:t>DB33/2146-2018</w:t>
            </w:r>
            <w:r>
              <w:t>）中的相关标准</w:t>
            </w:r>
            <w:r>
              <w:rPr>
                <w:rFonts w:hint="eastAsia"/>
              </w:rPr>
              <w:t>（即非甲烷总烃排放浓度≤80mg/m</w:t>
            </w:r>
            <w:r>
              <w:rPr>
                <w:rFonts w:hint="eastAsia"/>
                <w:vertAlign w:val="superscript"/>
              </w:rPr>
              <w:t>3</w:t>
            </w:r>
            <w:r>
              <w:rPr>
                <w:rFonts w:hint="eastAsia"/>
              </w:rPr>
              <w:t>），对周围大气环境影响较小。</w:t>
            </w:r>
          </w:p>
          <w:p>
            <w:pPr>
              <w:ind w:firstLine="480"/>
            </w:pPr>
            <w:r>
              <w:rPr>
                <w:rFonts w:hint="eastAsia"/>
              </w:rPr>
              <w:t>为进一步分析项目废气对周围环境的影响，环评根据《环境影响评价技术导则大气环境》（</w:t>
            </w:r>
            <w:r>
              <w:t>HJ2.2-2018</w:t>
            </w:r>
            <w:r>
              <w:rPr>
                <w:rFonts w:hint="eastAsia"/>
              </w:rPr>
              <w:t>）要求，对项目废气进行环境影响的量化分析。</w:t>
            </w:r>
          </w:p>
          <w:p>
            <w:pPr>
              <w:ind w:firstLine="480"/>
            </w:pPr>
            <w:r>
              <w:rPr>
                <w:rFonts w:hint="eastAsia"/>
              </w:rPr>
              <w:t>结合本项目工程分析结果，选择主要污染物及排放参数，采用估算模式计算各污染物的最大影响程度。本项目大气污染物主要为PM</w:t>
            </w:r>
            <w:r>
              <w:rPr>
                <w:vertAlign w:val="subscript"/>
              </w:rPr>
              <w:t>10</w:t>
            </w:r>
            <w:r>
              <w:rPr>
                <w:rFonts w:hint="eastAsia"/>
              </w:rPr>
              <w:t>和非甲烷总烃。</w:t>
            </w:r>
          </w:p>
          <w:p>
            <w:pPr>
              <w:pStyle w:val="6"/>
            </w:pPr>
            <w:r>
              <w:t>7.2.</w:t>
            </w:r>
            <w:r>
              <w:rPr>
                <w:rFonts w:hint="eastAsia"/>
              </w:rPr>
              <w:t>3</w:t>
            </w:r>
            <w:r>
              <w:t>.2</w:t>
            </w:r>
            <w:r>
              <w:rPr>
                <w:rFonts w:hint="eastAsia"/>
              </w:rPr>
              <w:t>大气环境影响预测</w:t>
            </w:r>
          </w:p>
          <w:p>
            <w:pPr>
              <w:ind w:firstLine="480"/>
            </w:pPr>
            <w:r>
              <w:rPr>
                <w:rFonts w:hint="eastAsia"/>
              </w:rPr>
              <w:t>1、评价因子和评价标准</w:t>
            </w:r>
          </w:p>
          <w:p>
            <w:pPr>
              <w:ind w:firstLine="480"/>
            </w:pPr>
            <w:r>
              <w:rPr>
                <w:rFonts w:hint="eastAsia"/>
              </w:rPr>
              <w:t>结合本项目工程分析，确定本项目大气环境影响评价因子和评价标准件下表。</w:t>
            </w:r>
          </w:p>
          <w:p>
            <w:pPr>
              <w:pStyle w:val="46"/>
            </w:pPr>
            <w:r>
              <w:rPr>
                <w:rFonts w:hint="eastAsia"/>
              </w:rPr>
              <w:t>表7-9 评价因子和评价标准</w:t>
            </w:r>
          </w:p>
          <w:tbl>
            <w:tblPr>
              <w:tblStyle w:val="34"/>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2"/>
              <w:gridCol w:w="736"/>
              <w:gridCol w:w="1416"/>
              <w:gridCol w:w="1764"/>
              <w:gridCol w:w="38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80" w:type="pct"/>
                  <w:gridSpan w:val="2"/>
                  <w:tcBorders>
                    <w:top w:val="single" w:color="000000" w:sz="4" w:space="0"/>
                    <w:left w:val="single" w:color="000000" w:sz="4" w:space="0"/>
                    <w:bottom w:val="single" w:color="000000" w:sz="4" w:space="0"/>
                    <w:right w:val="single" w:color="000000" w:sz="4" w:space="0"/>
                  </w:tcBorders>
                  <w:vAlign w:val="center"/>
                </w:tcPr>
                <w:p>
                  <w:pPr>
                    <w:pStyle w:val="46"/>
                  </w:pPr>
                  <w:r>
                    <w:t>评价因子</w:t>
                  </w:r>
                </w:p>
              </w:tc>
              <w:tc>
                <w:tcPr>
                  <w:tcW w:w="812" w:type="pct"/>
                  <w:tcBorders>
                    <w:top w:val="single" w:color="000000" w:sz="4" w:space="0"/>
                    <w:left w:val="single" w:color="000000" w:sz="4" w:space="0"/>
                    <w:bottom w:val="single" w:color="000000" w:sz="4" w:space="0"/>
                    <w:right w:val="single" w:color="000000" w:sz="4" w:space="0"/>
                  </w:tcBorders>
                  <w:vAlign w:val="center"/>
                </w:tcPr>
                <w:p>
                  <w:pPr>
                    <w:pStyle w:val="46"/>
                  </w:pPr>
                  <w:r>
                    <w:t>平均时段</w:t>
                  </w:r>
                </w:p>
              </w:tc>
              <w:tc>
                <w:tcPr>
                  <w:tcW w:w="1012" w:type="pct"/>
                  <w:tcBorders>
                    <w:top w:val="single" w:color="000000" w:sz="4" w:space="0"/>
                    <w:left w:val="single" w:color="000000" w:sz="4" w:space="0"/>
                    <w:bottom w:val="single" w:color="000000" w:sz="4" w:space="0"/>
                    <w:right w:val="single" w:color="000000" w:sz="4" w:space="0"/>
                  </w:tcBorders>
                  <w:vAlign w:val="center"/>
                </w:tcPr>
                <w:p>
                  <w:pPr>
                    <w:pStyle w:val="46"/>
                  </w:pPr>
                  <w:r>
                    <w:t>标准值/（µg/m</w:t>
                  </w:r>
                  <w:r>
                    <w:rPr>
                      <w:vertAlign w:val="superscript"/>
                    </w:rPr>
                    <w:t>3</w:t>
                  </w:r>
                  <w:r>
                    <w:t>）</w:t>
                  </w:r>
                </w:p>
              </w:tc>
              <w:tc>
                <w:tcPr>
                  <w:tcW w:w="2193" w:type="pct"/>
                  <w:tcBorders>
                    <w:top w:val="single" w:color="000000" w:sz="4" w:space="0"/>
                    <w:left w:val="single" w:color="000000" w:sz="4" w:space="0"/>
                    <w:bottom w:val="single" w:color="000000" w:sz="4" w:space="0"/>
                    <w:right w:val="single" w:color="000000" w:sz="4" w:space="0"/>
                  </w:tcBorders>
                  <w:vAlign w:val="center"/>
                </w:tcPr>
                <w:p>
                  <w:pPr>
                    <w:pStyle w:val="46"/>
                  </w:pPr>
                  <w:r>
                    <w:t>标准来源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8" w:type="pct"/>
                  <w:tcBorders>
                    <w:top w:val="single" w:color="000000" w:sz="4" w:space="0"/>
                    <w:left w:val="single" w:color="000000" w:sz="4" w:space="0"/>
                    <w:bottom w:val="single" w:color="auto" w:sz="4" w:space="0"/>
                    <w:right w:val="single" w:color="auto" w:sz="4" w:space="0"/>
                  </w:tcBorders>
                  <w:vAlign w:val="center"/>
                </w:tcPr>
                <w:p>
                  <w:pPr>
                    <w:pStyle w:val="47"/>
                  </w:pPr>
                  <w:r>
                    <w:rPr>
                      <w:rFonts w:hint="eastAsia"/>
                    </w:rPr>
                    <w:t>无组织</w:t>
                  </w:r>
                </w:p>
              </w:tc>
              <w:tc>
                <w:tcPr>
                  <w:tcW w:w="422" w:type="pct"/>
                  <w:tcBorders>
                    <w:top w:val="single" w:color="000000" w:sz="4" w:space="0"/>
                    <w:left w:val="single" w:color="auto" w:sz="4" w:space="0"/>
                    <w:bottom w:val="single" w:color="auto" w:sz="4" w:space="0"/>
                    <w:right w:val="single" w:color="000000" w:sz="4" w:space="0"/>
                  </w:tcBorders>
                  <w:vAlign w:val="center"/>
                </w:tcPr>
                <w:p>
                  <w:pPr>
                    <w:pStyle w:val="47"/>
                  </w:pPr>
                  <w:r>
                    <w:rPr>
                      <w:rFonts w:hint="eastAsia"/>
                    </w:rPr>
                    <w:t>PM</w:t>
                  </w:r>
                  <w:r>
                    <w:rPr>
                      <w:rFonts w:hint="eastAsia"/>
                      <w:vertAlign w:val="subscript"/>
                    </w:rPr>
                    <w:t>10</w:t>
                  </w:r>
                </w:p>
              </w:tc>
              <w:tc>
                <w:tcPr>
                  <w:tcW w:w="812" w:type="pct"/>
                  <w:tcBorders>
                    <w:top w:val="single" w:color="000000" w:sz="4" w:space="0"/>
                    <w:left w:val="single" w:color="000000" w:sz="4" w:space="0"/>
                    <w:right w:val="single" w:color="000000" w:sz="4" w:space="0"/>
                  </w:tcBorders>
                  <w:vAlign w:val="center"/>
                </w:tcPr>
                <w:p>
                  <w:pPr>
                    <w:pStyle w:val="47"/>
                  </w:pPr>
                  <w:r>
                    <w:t>1</w:t>
                  </w:r>
                  <w:r>
                    <w:rPr>
                      <w:rFonts w:hint="eastAsia"/>
                    </w:rPr>
                    <w:t>小时平均*</w:t>
                  </w:r>
                </w:p>
              </w:tc>
              <w:tc>
                <w:tcPr>
                  <w:tcW w:w="1012" w:type="pct"/>
                  <w:tcBorders>
                    <w:top w:val="single" w:color="000000" w:sz="4" w:space="0"/>
                    <w:left w:val="single" w:color="000000" w:sz="4" w:space="0"/>
                    <w:bottom w:val="single" w:color="auto" w:sz="4" w:space="0"/>
                    <w:right w:val="single" w:color="000000" w:sz="4" w:space="0"/>
                  </w:tcBorders>
                  <w:vAlign w:val="center"/>
                </w:tcPr>
                <w:p>
                  <w:pPr>
                    <w:pStyle w:val="47"/>
                  </w:pPr>
                  <w:r>
                    <w:t>450</w:t>
                  </w:r>
                </w:p>
              </w:tc>
              <w:tc>
                <w:tcPr>
                  <w:tcW w:w="2193" w:type="pct"/>
                  <w:tcBorders>
                    <w:top w:val="single" w:color="000000" w:sz="4" w:space="0"/>
                    <w:left w:val="single" w:color="000000" w:sz="4" w:space="0"/>
                    <w:right w:val="single" w:color="000000" w:sz="4" w:space="0"/>
                  </w:tcBorders>
                  <w:vAlign w:val="center"/>
                </w:tcPr>
                <w:p>
                  <w:pPr>
                    <w:pStyle w:val="47"/>
                  </w:pPr>
                  <w:r>
                    <w:rPr>
                      <w:rFonts w:hint="eastAsia"/>
                    </w:rPr>
                    <w:t>《环境空气质量标准》（</w:t>
                  </w:r>
                  <w:r>
                    <w:t>GB3095-2012</w:t>
                  </w:r>
                  <w:r>
                    <w:rPr>
                      <w:rFonts w:hint="eastAsia"/>
                    </w:rPr>
                    <w:t>）中的二级标准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80" w:type="pct"/>
                  <w:gridSpan w:val="2"/>
                  <w:tcBorders>
                    <w:top w:val="single" w:color="000000" w:sz="4" w:space="0"/>
                    <w:left w:val="single" w:color="000000" w:sz="4" w:space="0"/>
                    <w:bottom w:val="single" w:color="000000" w:sz="4" w:space="0"/>
                    <w:right w:val="single" w:color="000000" w:sz="4" w:space="0"/>
                  </w:tcBorders>
                  <w:vAlign w:val="center"/>
                </w:tcPr>
                <w:p>
                  <w:pPr>
                    <w:pStyle w:val="47"/>
                  </w:pPr>
                  <w:r>
                    <w:t>非甲烷总烃</w:t>
                  </w:r>
                </w:p>
              </w:tc>
              <w:tc>
                <w:tcPr>
                  <w:tcW w:w="812" w:type="pct"/>
                  <w:tcBorders>
                    <w:top w:val="single" w:color="000000" w:sz="4" w:space="0"/>
                    <w:left w:val="single" w:color="000000" w:sz="4" w:space="0"/>
                    <w:bottom w:val="single" w:color="000000" w:sz="4" w:space="0"/>
                    <w:right w:val="single" w:color="000000" w:sz="4" w:space="0"/>
                  </w:tcBorders>
                  <w:vAlign w:val="center"/>
                </w:tcPr>
                <w:p>
                  <w:pPr>
                    <w:pStyle w:val="47"/>
                  </w:pPr>
                  <w:r>
                    <w:t>一次值</w:t>
                  </w:r>
                </w:p>
              </w:tc>
              <w:tc>
                <w:tcPr>
                  <w:tcW w:w="1012" w:type="pct"/>
                  <w:tcBorders>
                    <w:top w:val="single" w:color="000000" w:sz="4" w:space="0"/>
                    <w:left w:val="single" w:color="000000" w:sz="4" w:space="0"/>
                    <w:bottom w:val="single" w:color="000000" w:sz="4" w:space="0"/>
                    <w:right w:val="single" w:color="000000" w:sz="4" w:space="0"/>
                  </w:tcBorders>
                  <w:vAlign w:val="center"/>
                </w:tcPr>
                <w:p>
                  <w:pPr>
                    <w:pStyle w:val="47"/>
                  </w:pPr>
                  <w:r>
                    <w:t>2000</w:t>
                  </w:r>
                </w:p>
              </w:tc>
              <w:tc>
                <w:tcPr>
                  <w:tcW w:w="2193" w:type="pct"/>
                  <w:tcBorders>
                    <w:top w:val="single" w:color="000000" w:sz="4" w:space="0"/>
                    <w:left w:val="single" w:color="000000" w:sz="4" w:space="0"/>
                    <w:bottom w:val="single" w:color="000000" w:sz="4" w:space="0"/>
                    <w:right w:val="single" w:color="000000" w:sz="4" w:space="0"/>
                  </w:tcBorders>
                  <w:vAlign w:val="center"/>
                </w:tcPr>
                <w:p>
                  <w:pPr>
                    <w:pStyle w:val="47"/>
                  </w:pPr>
                  <w:r>
                    <w:t>《大气污染物综合排放标准详解》</w:t>
                  </w:r>
                  <w:r>
                    <w:rPr>
                      <w:rFonts w:hint="eastAsia"/>
                    </w:rPr>
                    <w:t>（</w:t>
                  </w:r>
                  <w:r>
                    <w:t>GB16297-1996</w:t>
                  </w:r>
                  <w:r>
                    <w:rPr>
                      <w:rFonts w:hint="eastAsia"/>
                    </w:rPr>
                    <w:t>）</w:t>
                  </w:r>
                  <w:r>
                    <w:t>中的一次值浓度限值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000" w:type="pct"/>
                  <w:gridSpan w:val="5"/>
                  <w:tcBorders>
                    <w:top w:val="single" w:color="000000" w:sz="4" w:space="0"/>
                    <w:left w:val="single" w:color="000000" w:sz="4" w:space="0"/>
                    <w:right w:val="single" w:color="000000" w:sz="4" w:space="0"/>
                  </w:tcBorders>
                  <w:vAlign w:val="center"/>
                </w:tcPr>
                <w:p>
                  <w:pPr>
                    <w:pStyle w:val="49"/>
                    <w:jc w:val="left"/>
                  </w:pPr>
                  <w:r>
                    <w:rPr>
                      <w:rFonts w:hint="eastAsia"/>
                    </w:rPr>
                    <w:t>注：</w:t>
                  </w:r>
                  <w:r>
                    <w:t>*1</w:t>
                  </w:r>
                  <w:r>
                    <w:rPr>
                      <w:rFonts w:hint="eastAsia"/>
                    </w:rPr>
                    <w:t>小时平均值以日均值的3倍计</w:t>
                  </w:r>
                </w:p>
              </w:tc>
            </w:tr>
          </w:tbl>
          <w:p>
            <w:pPr>
              <w:spacing w:before="120" w:beforeLines="50"/>
              <w:ind w:firstLine="480"/>
              <w:rPr>
                <w:rFonts w:hint="eastAsia"/>
              </w:rPr>
            </w:pPr>
          </w:p>
          <w:p>
            <w:pPr>
              <w:spacing w:before="120" w:beforeLines="50"/>
              <w:ind w:firstLine="480"/>
              <w:rPr>
                <w:rFonts w:hint="eastAsia"/>
              </w:rPr>
            </w:pPr>
          </w:p>
          <w:p>
            <w:pPr>
              <w:spacing w:before="120" w:beforeLines="50"/>
              <w:ind w:firstLine="480"/>
              <w:rPr>
                <w:rFonts w:hint="eastAsia"/>
              </w:rPr>
            </w:pPr>
          </w:p>
          <w:p>
            <w:pPr>
              <w:spacing w:before="120" w:beforeLines="50"/>
              <w:ind w:firstLine="480"/>
              <w:rPr>
                <w:rFonts w:hint="eastAsia"/>
              </w:rPr>
            </w:pPr>
          </w:p>
          <w:p>
            <w:pPr>
              <w:spacing w:before="120" w:beforeLines="50"/>
              <w:ind w:firstLine="480"/>
              <w:rPr>
                <w:rFonts w:hint="eastAsia"/>
              </w:rPr>
            </w:pPr>
          </w:p>
          <w:p>
            <w:pPr>
              <w:spacing w:before="120" w:beforeLines="50"/>
              <w:ind w:firstLine="480"/>
              <w:rPr>
                <w:rFonts w:hint="eastAsia"/>
              </w:rPr>
            </w:pPr>
          </w:p>
          <w:p>
            <w:pPr>
              <w:spacing w:before="120" w:beforeLines="50"/>
              <w:ind w:firstLine="480"/>
              <w:rPr>
                <w:rFonts w:hint="eastAsia"/>
              </w:rPr>
            </w:pPr>
          </w:p>
          <w:p>
            <w:pPr>
              <w:spacing w:before="120" w:beforeLines="50"/>
              <w:ind w:firstLine="480"/>
            </w:pPr>
            <w:r>
              <w:rPr>
                <w:rFonts w:hint="eastAsia"/>
              </w:rPr>
              <w:t>2、估算模型参数</w:t>
            </w:r>
          </w:p>
          <w:p>
            <w:pPr>
              <w:pStyle w:val="46"/>
            </w:pPr>
            <w:r>
              <w:t>表 7-</w:t>
            </w:r>
            <w:r>
              <w:rPr>
                <w:rFonts w:hint="eastAsia"/>
              </w:rPr>
              <w:t xml:space="preserve">10 </w:t>
            </w:r>
            <w:r>
              <w:t>估算模型参数表</w:t>
            </w:r>
          </w:p>
          <w:tbl>
            <w:tblPr>
              <w:tblStyle w:val="34"/>
              <w:tblW w:w="499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590"/>
              <w:gridCol w:w="672"/>
              <w:gridCol w:w="2803"/>
              <w:gridCol w:w="264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3480" w:type="pct"/>
                  <w:gridSpan w:val="3"/>
                  <w:tcBorders>
                    <w:top w:val="single" w:color="auto" w:sz="4" w:space="0"/>
                    <w:left w:val="single" w:color="auto" w:sz="4" w:space="0"/>
                    <w:bottom w:val="single" w:color="auto" w:sz="4" w:space="0"/>
                    <w:right w:val="single" w:color="auto" w:sz="4" w:space="0"/>
                  </w:tcBorders>
                  <w:vAlign w:val="center"/>
                </w:tcPr>
                <w:p>
                  <w:pPr>
                    <w:pStyle w:val="46"/>
                  </w:pPr>
                  <w:r>
                    <w:t>选项</w:t>
                  </w:r>
                </w:p>
              </w:tc>
              <w:tc>
                <w:tcPr>
                  <w:tcW w:w="1519" w:type="pct"/>
                  <w:tcBorders>
                    <w:top w:val="single" w:color="auto" w:sz="4" w:space="0"/>
                    <w:left w:val="single" w:color="auto" w:sz="4" w:space="0"/>
                    <w:bottom w:val="single" w:color="auto" w:sz="4" w:space="0"/>
                    <w:right w:val="single" w:color="auto" w:sz="4" w:space="0"/>
                  </w:tcBorders>
                  <w:vAlign w:val="center"/>
                </w:tcPr>
                <w:p>
                  <w:pPr>
                    <w:pStyle w:val="46"/>
                  </w:pPr>
                  <w:r>
                    <w:t>参数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486" w:type="pct"/>
                  <w:vMerge w:val="restart"/>
                  <w:tcBorders>
                    <w:top w:val="single" w:color="auto" w:sz="4" w:space="0"/>
                    <w:left w:val="single" w:color="auto" w:sz="4" w:space="0"/>
                    <w:bottom w:val="single" w:color="auto" w:sz="6" w:space="0"/>
                    <w:right w:val="single" w:color="auto" w:sz="4" w:space="0"/>
                  </w:tcBorders>
                  <w:vAlign w:val="center"/>
                </w:tcPr>
                <w:p>
                  <w:pPr>
                    <w:pStyle w:val="47"/>
                  </w:pPr>
                  <w:r>
                    <w:t>城市/农村选项</w:t>
                  </w:r>
                </w:p>
              </w:tc>
              <w:tc>
                <w:tcPr>
                  <w:tcW w:w="1994" w:type="pct"/>
                  <w:gridSpan w:val="2"/>
                  <w:tcBorders>
                    <w:top w:val="single" w:color="auto" w:sz="4" w:space="0"/>
                    <w:left w:val="single" w:color="auto" w:sz="4" w:space="0"/>
                    <w:bottom w:val="single" w:color="auto" w:sz="4" w:space="0"/>
                    <w:right w:val="single" w:color="auto" w:sz="4" w:space="0"/>
                  </w:tcBorders>
                  <w:vAlign w:val="center"/>
                </w:tcPr>
                <w:p>
                  <w:pPr>
                    <w:pStyle w:val="47"/>
                  </w:pPr>
                  <w:r>
                    <w:t>城市/农村</w:t>
                  </w:r>
                </w:p>
              </w:tc>
              <w:tc>
                <w:tcPr>
                  <w:tcW w:w="1519" w:type="pct"/>
                  <w:tcBorders>
                    <w:top w:val="single" w:color="auto" w:sz="4" w:space="0"/>
                    <w:left w:val="single" w:color="auto" w:sz="4" w:space="0"/>
                    <w:bottom w:val="single" w:color="auto" w:sz="6" w:space="0"/>
                    <w:right w:val="single" w:color="auto" w:sz="4" w:space="0"/>
                  </w:tcBorders>
                  <w:vAlign w:val="center"/>
                </w:tcPr>
                <w:p>
                  <w:pPr>
                    <w:pStyle w:val="47"/>
                  </w:pPr>
                  <w:r>
                    <w:rPr>
                      <w:rFonts w:hint="eastAsia"/>
                    </w:rPr>
                    <w:t>农村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486" w:type="pct"/>
                  <w:vMerge w:val="continue"/>
                  <w:tcBorders>
                    <w:top w:val="single" w:color="auto" w:sz="6" w:space="0"/>
                    <w:left w:val="single" w:color="auto" w:sz="4" w:space="0"/>
                    <w:bottom w:val="single" w:color="auto" w:sz="4" w:space="0"/>
                    <w:right w:val="single" w:color="auto" w:sz="4" w:space="0"/>
                  </w:tcBorders>
                  <w:vAlign w:val="center"/>
                </w:tcPr>
                <w:p>
                  <w:pPr>
                    <w:pStyle w:val="47"/>
                  </w:pPr>
                </w:p>
              </w:tc>
              <w:tc>
                <w:tcPr>
                  <w:tcW w:w="1994" w:type="pct"/>
                  <w:gridSpan w:val="2"/>
                  <w:tcBorders>
                    <w:top w:val="single" w:color="auto" w:sz="4" w:space="0"/>
                    <w:left w:val="single" w:color="auto" w:sz="4" w:space="0"/>
                    <w:bottom w:val="single" w:color="auto" w:sz="4" w:space="0"/>
                    <w:right w:val="single" w:color="auto" w:sz="4" w:space="0"/>
                  </w:tcBorders>
                  <w:vAlign w:val="center"/>
                </w:tcPr>
                <w:p>
                  <w:pPr>
                    <w:pStyle w:val="47"/>
                  </w:pPr>
                  <w:r>
                    <w:t>人口数（城市选项时）</w:t>
                  </w:r>
                </w:p>
              </w:tc>
              <w:tc>
                <w:tcPr>
                  <w:tcW w:w="1519" w:type="pct"/>
                  <w:tcBorders>
                    <w:top w:val="single" w:color="auto" w:sz="6" w:space="0"/>
                    <w:left w:val="single" w:color="auto" w:sz="4" w:space="0"/>
                    <w:bottom w:val="single" w:color="auto" w:sz="4" w:space="0"/>
                    <w:right w:val="single" w:color="auto" w:sz="4" w:space="0"/>
                  </w:tcBorders>
                  <w:vAlign w:val="center"/>
                </w:tcPr>
                <w:p>
                  <w:pPr>
                    <w:pStyle w:val="47"/>
                  </w:pPr>
                  <w:r>
                    <w:rPr>
                      <w:rFonts w:hint="eastAsia"/>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3480" w:type="pct"/>
                  <w:gridSpan w:val="3"/>
                  <w:tcBorders>
                    <w:top w:val="single" w:color="auto" w:sz="4" w:space="0"/>
                    <w:left w:val="single" w:color="auto" w:sz="4" w:space="0"/>
                    <w:bottom w:val="single" w:color="auto" w:sz="4" w:space="0"/>
                    <w:right w:val="single" w:color="auto" w:sz="4" w:space="0"/>
                  </w:tcBorders>
                  <w:vAlign w:val="center"/>
                </w:tcPr>
                <w:p>
                  <w:pPr>
                    <w:pStyle w:val="47"/>
                  </w:pPr>
                  <w:r>
                    <w:t>最高环境温度/℃</w:t>
                  </w:r>
                </w:p>
              </w:tc>
              <w:tc>
                <w:tcPr>
                  <w:tcW w:w="1519" w:type="pct"/>
                  <w:tcBorders>
                    <w:top w:val="single" w:color="auto" w:sz="4" w:space="0"/>
                    <w:left w:val="single" w:color="auto" w:sz="4" w:space="0"/>
                    <w:bottom w:val="single" w:color="auto" w:sz="4" w:space="0"/>
                    <w:right w:val="single" w:color="auto" w:sz="4" w:space="0"/>
                  </w:tcBorders>
                  <w:vAlign w:val="center"/>
                </w:tcPr>
                <w:p>
                  <w:pPr>
                    <w:pStyle w:val="47"/>
                  </w:pPr>
                  <w:r>
                    <w:t>39.5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3480" w:type="pct"/>
                  <w:gridSpan w:val="3"/>
                  <w:tcBorders>
                    <w:top w:val="single" w:color="auto" w:sz="4" w:space="0"/>
                    <w:left w:val="single" w:color="auto" w:sz="4" w:space="0"/>
                    <w:bottom w:val="single" w:color="auto" w:sz="4" w:space="0"/>
                    <w:right w:val="single" w:color="auto" w:sz="4" w:space="0"/>
                  </w:tcBorders>
                  <w:vAlign w:val="center"/>
                </w:tcPr>
                <w:p>
                  <w:pPr>
                    <w:pStyle w:val="47"/>
                  </w:pPr>
                  <w:r>
                    <w:t>最低环境温度/℃</w:t>
                  </w:r>
                </w:p>
              </w:tc>
              <w:tc>
                <w:tcPr>
                  <w:tcW w:w="1519" w:type="pct"/>
                  <w:tcBorders>
                    <w:top w:val="single" w:color="auto" w:sz="4" w:space="0"/>
                    <w:left w:val="single" w:color="auto" w:sz="4" w:space="0"/>
                    <w:bottom w:val="single" w:color="auto" w:sz="4" w:space="0"/>
                    <w:right w:val="single" w:color="auto" w:sz="4" w:space="0"/>
                  </w:tcBorders>
                  <w:vAlign w:val="center"/>
                </w:tcPr>
                <w:p>
                  <w:pPr>
                    <w:pStyle w:val="47"/>
                  </w:pPr>
                  <w:r>
                    <w:t>-11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3480" w:type="pct"/>
                  <w:gridSpan w:val="3"/>
                  <w:tcBorders>
                    <w:top w:val="single" w:color="auto" w:sz="4" w:space="0"/>
                    <w:left w:val="single" w:color="auto" w:sz="4" w:space="0"/>
                    <w:bottom w:val="single" w:color="auto" w:sz="4" w:space="0"/>
                    <w:right w:val="single" w:color="auto" w:sz="4" w:space="0"/>
                  </w:tcBorders>
                  <w:vAlign w:val="center"/>
                </w:tcPr>
                <w:p>
                  <w:pPr>
                    <w:pStyle w:val="47"/>
                  </w:pPr>
                  <w:r>
                    <w:t>土地利用类型</w:t>
                  </w:r>
                </w:p>
              </w:tc>
              <w:tc>
                <w:tcPr>
                  <w:tcW w:w="1519" w:type="pct"/>
                  <w:tcBorders>
                    <w:top w:val="single" w:color="auto" w:sz="4" w:space="0"/>
                    <w:left w:val="single" w:color="auto" w:sz="4" w:space="0"/>
                    <w:bottom w:val="single" w:color="auto" w:sz="4" w:space="0"/>
                    <w:right w:val="single" w:color="auto" w:sz="4" w:space="0"/>
                  </w:tcBorders>
                  <w:vAlign w:val="center"/>
                </w:tcPr>
                <w:p>
                  <w:pPr>
                    <w:pStyle w:val="47"/>
                  </w:pPr>
                  <w:r>
                    <w:t>工业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3480" w:type="pct"/>
                  <w:gridSpan w:val="3"/>
                  <w:tcBorders>
                    <w:top w:val="single" w:color="auto" w:sz="4" w:space="0"/>
                    <w:left w:val="single" w:color="auto" w:sz="4" w:space="0"/>
                    <w:bottom w:val="single" w:color="auto" w:sz="4" w:space="0"/>
                    <w:right w:val="single" w:color="auto" w:sz="4" w:space="0"/>
                  </w:tcBorders>
                  <w:vAlign w:val="center"/>
                </w:tcPr>
                <w:p>
                  <w:pPr>
                    <w:pStyle w:val="47"/>
                  </w:pPr>
                  <w:r>
                    <w:t>区域湿度条件</w:t>
                  </w:r>
                </w:p>
              </w:tc>
              <w:tc>
                <w:tcPr>
                  <w:tcW w:w="1519" w:type="pct"/>
                  <w:tcBorders>
                    <w:top w:val="single" w:color="auto" w:sz="4" w:space="0"/>
                    <w:left w:val="single" w:color="auto" w:sz="4" w:space="0"/>
                    <w:bottom w:val="single" w:color="auto" w:sz="4" w:space="0"/>
                    <w:right w:val="single" w:color="auto" w:sz="4" w:space="0"/>
                  </w:tcBorders>
                  <w:vAlign w:val="center"/>
                </w:tcPr>
                <w:p>
                  <w:pPr>
                    <w:pStyle w:val="47"/>
                  </w:pPr>
                  <w:r>
                    <w:t>81%（湿润区域）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871" w:type="pct"/>
                  <w:gridSpan w:val="2"/>
                  <w:vMerge w:val="restart"/>
                  <w:tcBorders>
                    <w:top w:val="single" w:color="auto" w:sz="4" w:space="0"/>
                    <w:left w:val="single" w:color="auto" w:sz="4" w:space="0"/>
                    <w:bottom w:val="single" w:color="auto" w:sz="6" w:space="0"/>
                    <w:right w:val="single" w:color="auto" w:sz="4" w:space="0"/>
                  </w:tcBorders>
                  <w:vAlign w:val="center"/>
                </w:tcPr>
                <w:p>
                  <w:pPr>
                    <w:pStyle w:val="47"/>
                  </w:pPr>
                  <w:r>
                    <w:t>是否考虑地形</w:t>
                  </w:r>
                </w:p>
              </w:tc>
              <w:tc>
                <w:tcPr>
                  <w:tcW w:w="1609" w:type="pct"/>
                  <w:tcBorders>
                    <w:top w:val="single" w:color="auto" w:sz="4" w:space="0"/>
                    <w:left w:val="single" w:color="auto" w:sz="4" w:space="0"/>
                    <w:bottom w:val="single" w:color="auto" w:sz="4" w:space="0"/>
                    <w:right w:val="single" w:color="auto" w:sz="4" w:space="0"/>
                  </w:tcBorders>
                  <w:vAlign w:val="center"/>
                </w:tcPr>
                <w:p>
                  <w:pPr>
                    <w:pStyle w:val="47"/>
                  </w:pPr>
                  <w:r>
                    <w:t>考虑地形</w:t>
                  </w:r>
                </w:p>
              </w:tc>
              <w:tc>
                <w:tcPr>
                  <w:tcW w:w="1519" w:type="pct"/>
                  <w:tcBorders>
                    <w:top w:val="single" w:color="auto" w:sz="4" w:space="0"/>
                    <w:left w:val="single" w:color="auto" w:sz="4" w:space="0"/>
                    <w:bottom w:val="single" w:color="auto" w:sz="4" w:space="0"/>
                    <w:right w:val="single" w:color="auto" w:sz="4" w:space="0"/>
                  </w:tcBorders>
                  <w:vAlign w:val="center"/>
                </w:tcPr>
                <w:p>
                  <w:pPr>
                    <w:pStyle w:val="47"/>
                  </w:pPr>
                  <w:r>
                    <w:t>□是 ■否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871" w:type="pct"/>
                  <w:gridSpan w:val="2"/>
                  <w:vMerge w:val="continue"/>
                  <w:tcBorders>
                    <w:top w:val="single" w:color="auto" w:sz="6" w:space="0"/>
                    <w:left w:val="single" w:color="auto" w:sz="4" w:space="0"/>
                    <w:bottom w:val="single" w:color="auto" w:sz="4" w:space="0"/>
                    <w:right w:val="single" w:color="auto" w:sz="4" w:space="0"/>
                  </w:tcBorders>
                  <w:vAlign w:val="center"/>
                </w:tcPr>
                <w:p>
                  <w:pPr>
                    <w:pStyle w:val="47"/>
                  </w:pPr>
                </w:p>
              </w:tc>
              <w:tc>
                <w:tcPr>
                  <w:tcW w:w="1609" w:type="pct"/>
                  <w:tcBorders>
                    <w:top w:val="single" w:color="auto" w:sz="4" w:space="0"/>
                    <w:left w:val="single" w:color="auto" w:sz="4" w:space="0"/>
                    <w:bottom w:val="single" w:color="auto" w:sz="4" w:space="0"/>
                    <w:right w:val="single" w:color="auto" w:sz="4" w:space="0"/>
                  </w:tcBorders>
                  <w:vAlign w:val="center"/>
                </w:tcPr>
                <w:p>
                  <w:pPr>
                    <w:pStyle w:val="47"/>
                  </w:pPr>
                  <w:r>
                    <w:t>地形数据分辨率/m</w:t>
                  </w:r>
                </w:p>
              </w:tc>
              <w:tc>
                <w:tcPr>
                  <w:tcW w:w="1519" w:type="pct"/>
                  <w:tcBorders>
                    <w:top w:val="single" w:color="auto" w:sz="4" w:space="0"/>
                    <w:left w:val="single" w:color="auto" w:sz="4" w:space="0"/>
                    <w:bottom w:val="single" w:color="auto" w:sz="4" w:space="0"/>
                    <w:right w:val="single" w:color="auto" w:sz="4" w:space="0"/>
                  </w:tcBorders>
                  <w:vAlign w:val="center"/>
                </w:tcPr>
                <w:p>
                  <w:pPr>
                    <w:pStyle w:val="47"/>
                  </w:pPr>
                  <w: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871" w:type="pct"/>
                  <w:gridSpan w:val="2"/>
                  <w:vMerge w:val="restart"/>
                  <w:tcBorders>
                    <w:top w:val="single" w:color="auto" w:sz="4" w:space="0"/>
                    <w:left w:val="single" w:color="auto" w:sz="4" w:space="0"/>
                    <w:bottom w:val="single" w:color="auto" w:sz="6" w:space="0"/>
                    <w:right w:val="single" w:color="auto" w:sz="4" w:space="0"/>
                  </w:tcBorders>
                  <w:vAlign w:val="center"/>
                </w:tcPr>
                <w:p>
                  <w:pPr>
                    <w:pStyle w:val="47"/>
                  </w:pPr>
                  <w:r>
                    <w:t>是否考虑海岸</w:t>
                  </w:r>
                  <w:r>
                    <w:br w:type="textWrapping"/>
                  </w:r>
                  <w:r>
                    <w:t>线熏烟</w:t>
                  </w:r>
                </w:p>
              </w:tc>
              <w:tc>
                <w:tcPr>
                  <w:tcW w:w="1609" w:type="pct"/>
                  <w:tcBorders>
                    <w:top w:val="single" w:color="auto" w:sz="4" w:space="0"/>
                    <w:left w:val="single" w:color="auto" w:sz="4" w:space="0"/>
                    <w:bottom w:val="single" w:color="auto" w:sz="4" w:space="0"/>
                    <w:right w:val="single" w:color="auto" w:sz="4" w:space="0"/>
                  </w:tcBorders>
                  <w:vAlign w:val="center"/>
                </w:tcPr>
                <w:p>
                  <w:pPr>
                    <w:pStyle w:val="47"/>
                  </w:pPr>
                  <w:r>
                    <w:t>考虑海岸线熏烟</w:t>
                  </w:r>
                </w:p>
              </w:tc>
              <w:tc>
                <w:tcPr>
                  <w:tcW w:w="1519" w:type="pct"/>
                  <w:tcBorders>
                    <w:top w:val="single" w:color="auto" w:sz="4" w:space="0"/>
                    <w:left w:val="single" w:color="auto" w:sz="4" w:space="0"/>
                    <w:bottom w:val="single" w:color="auto" w:sz="4" w:space="0"/>
                    <w:right w:val="single" w:color="auto" w:sz="4" w:space="0"/>
                  </w:tcBorders>
                  <w:vAlign w:val="center"/>
                </w:tcPr>
                <w:p>
                  <w:pPr>
                    <w:pStyle w:val="47"/>
                  </w:pPr>
                  <w:r>
                    <w:t>□是 ■否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871" w:type="pct"/>
                  <w:gridSpan w:val="2"/>
                  <w:vMerge w:val="continue"/>
                  <w:tcBorders>
                    <w:top w:val="single" w:color="auto" w:sz="6" w:space="0"/>
                    <w:left w:val="single" w:color="auto" w:sz="4" w:space="0"/>
                    <w:bottom w:val="single" w:color="auto" w:sz="6" w:space="0"/>
                    <w:right w:val="single" w:color="auto" w:sz="4" w:space="0"/>
                  </w:tcBorders>
                  <w:vAlign w:val="center"/>
                </w:tcPr>
                <w:p>
                  <w:pPr>
                    <w:pStyle w:val="47"/>
                  </w:pPr>
                </w:p>
              </w:tc>
              <w:tc>
                <w:tcPr>
                  <w:tcW w:w="1609" w:type="pct"/>
                  <w:tcBorders>
                    <w:top w:val="single" w:color="auto" w:sz="4" w:space="0"/>
                    <w:left w:val="single" w:color="auto" w:sz="4" w:space="0"/>
                    <w:bottom w:val="single" w:color="auto" w:sz="4" w:space="0"/>
                    <w:right w:val="single" w:color="auto" w:sz="4" w:space="0"/>
                  </w:tcBorders>
                  <w:vAlign w:val="center"/>
                </w:tcPr>
                <w:p>
                  <w:pPr>
                    <w:pStyle w:val="47"/>
                  </w:pPr>
                  <w:r>
                    <w:t>岸线距离/km</w:t>
                  </w:r>
                </w:p>
              </w:tc>
              <w:tc>
                <w:tcPr>
                  <w:tcW w:w="1519" w:type="pct"/>
                  <w:tcBorders>
                    <w:top w:val="single" w:color="auto" w:sz="4" w:space="0"/>
                    <w:left w:val="single" w:color="auto" w:sz="4" w:space="0"/>
                    <w:bottom w:val="single" w:color="auto" w:sz="4" w:space="0"/>
                    <w:right w:val="single" w:color="auto" w:sz="4" w:space="0"/>
                  </w:tcBorders>
                  <w:vAlign w:val="center"/>
                </w:tcPr>
                <w:p>
                  <w:pPr>
                    <w:pStyle w:val="47"/>
                  </w:pPr>
                  <w: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871" w:type="pct"/>
                  <w:gridSpan w:val="2"/>
                  <w:vMerge w:val="continue"/>
                  <w:tcBorders>
                    <w:top w:val="single" w:color="auto" w:sz="6" w:space="0"/>
                    <w:left w:val="single" w:color="auto" w:sz="4" w:space="0"/>
                    <w:bottom w:val="single" w:color="auto" w:sz="4" w:space="0"/>
                    <w:right w:val="single" w:color="auto" w:sz="4" w:space="0"/>
                  </w:tcBorders>
                  <w:vAlign w:val="center"/>
                </w:tcPr>
                <w:p>
                  <w:pPr>
                    <w:pStyle w:val="47"/>
                  </w:pPr>
                </w:p>
              </w:tc>
              <w:tc>
                <w:tcPr>
                  <w:tcW w:w="1609" w:type="pct"/>
                  <w:tcBorders>
                    <w:top w:val="single" w:color="auto" w:sz="4" w:space="0"/>
                    <w:left w:val="single" w:color="auto" w:sz="4" w:space="0"/>
                    <w:bottom w:val="single" w:color="auto" w:sz="4" w:space="0"/>
                    <w:right w:val="single" w:color="auto" w:sz="4" w:space="0"/>
                  </w:tcBorders>
                  <w:vAlign w:val="center"/>
                </w:tcPr>
                <w:p>
                  <w:pPr>
                    <w:pStyle w:val="47"/>
                  </w:pPr>
                  <w:r>
                    <w:t>岸线方向/°</w:t>
                  </w:r>
                </w:p>
              </w:tc>
              <w:tc>
                <w:tcPr>
                  <w:tcW w:w="1519" w:type="pct"/>
                  <w:tcBorders>
                    <w:top w:val="single" w:color="auto" w:sz="4" w:space="0"/>
                    <w:left w:val="single" w:color="auto" w:sz="4" w:space="0"/>
                    <w:bottom w:val="single" w:color="auto" w:sz="4" w:space="0"/>
                    <w:right w:val="single" w:color="auto" w:sz="4" w:space="0"/>
                  </w:tcBorders>
                  <w:vAlign w:val="center"/>
                </w:tcPr>
                <w:p>
                  <w:pPr>
                    <w:pStyle w:val="47"/>
                  </w:pPr>
                  <w:r>
                    <w:t>/</w:t>
                  </w:r>
                </w:p>
              </w:tc>
            </w:tr>
          </w:tbl>
          <w:p>
            <w:pPr>
              <w:ind w:firstLine="480"/>
            </w:pPr>
            <w:r>
              <w:rPr>
                <w:rFonts w:hint="eastAsia"/>
              </w:rPr>
              <w:t>3、污染源调查</w:t>
            </w:r>
          </w:p>
          <w:p>
            <w:pPr>
              <w:ind w:firstLine="480"/>
            </w:pPr>
            <w:r>
              <w:t>根据工程分析，项目废气污染物排放源汇总如表7-1</w:t>
            </w:r>
            <w:r>
              <w:rPr>
                <w:rFonts w:hint="eastAsia"/>
              </w:rPr>
              <w:t>1</w:t>
            </w:r>
            <w:r>
              <w:t>所示。</w:t>
            </w:r>
          </w:p>
          <w:p>
            <w:pPr>
              <w:pStyle w:val="46"/>
            </w:pPr>
            <w:r>
              <w:t>表7-1</w:t>
            </w:r>
            <w:r>
              <w:rPr>
                <w:rFonts w:hint="eastAsia"/>
              </w:rPr>
              <w:t xml:space="preserve">1a </w:t>
            </w:r>
            <w:r>
              <w:t xml:space="preserve"> 项目主要废气污染物排放强度（</w:t>
            </w:r>
            <w:r>
              <w:rPr>
                <w:rFonts w:hint="eastAsia"/>
              </w:rPr>
              <w:t>点</w:t>
            </w:r>
            <w:r>
              <w:t>源）</w:t>
            </w:r>
          </w:p>
          <w:tbl>
            <w:tblPr>
              <w:tblStyle w:val="34"/>
              <w:tblW w:w="492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30"/>
              <w:gridCol w:w="650"/>
              <w:gridCol w:w="859"/>
              <w:gridCol w:w="805"/>
              <w:gridCol w:w="674"/>
              <w:gridCol w:w="618"/>
              <w:gridCol w:w="618"/>
              <w:gridCol w:w="618"/>
              <w:gridCol w:w="618"/>
              <w:gridCol w:w="618"/>
              <w:gridCol w:w="618"/>
              <w:gridCol w:w="618"/>
              <w:gridCol w:w="63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vMerge w:val="restart"/>
                  <w:tcBorders>
                    <w:top w:val="single" w:color="auto" w:sz="4" w:space="0"/>
                    <w:left w:val="single" w:color="auto" w:sz="4" w:space="0"/>
                    <w:right w:val="single" w:color="auto" w:sz="4" w:space="0"/>
                  </w:tcBorders>
                  <w:vAlign w:val="center"/>
                </w:tcPr>
                <w:p>
                  <w:pPr>
                    <w:pStyle w:val="49"/>
                    <w:rPr>
                      <w:b/>
                      <w:bCs/>
                    </w:rPr>
                  </w:pPr>
                  <w:r>
                    <w:rPr>
                      <w:rFonts w:hint="eastAsia"/>
                      <w:b/>
                      <w:bCs/>
                    </w:rPr>
                    <w:t>编号</w:t>
                  </w:r>
                </w:p>
              </w:tc>
              <w:tc>
                <w:tcPr>
                  <w:tcW w:w="379" w:type="pct"/>
                  <w:vMerge w:val="restart"/>
                  <w:tcBorders>
                    <w:top w:val="single" w:color="auto" w:sz="4" w:space="0"/>
                    <w:left w:val="single" w:color="auto" w:sz="4" w:space="0"/>
                    <w:right w:val="single" w:color="auto" w:sz="4" w:space="0"/>
                  </w:tcBorders>
                  <w:vAlign w:val="center"/>
                </w:tcPr>
                <w:p>
                  <w:pPr>
                    <w:pStyle w:val="49"/>
                    <w:rPr>
                      <w:b/>
                      <w:bCs/>
                    </w:rPr>
                  </w:pPr>
                  <w:r>
                    <w:rPr>
                      <w:b/>
                      <w:bCs/>
                    </w:rPr>
                    <w:t>名称</w:t>
                  </w:r>
                </w:p>
              </w:tc>
              <w:tc>
                <w:tcPr>
                  <w:tcW w:w="970" w:type="pct"/>
                  <w:gridSpan w:val="2"/>
                  <w:tcBorders>
                    <w:top w:val="single" w:color="auto" w:sz="4" w:space="0"/>
                    <w:left w:val="single" w:color="auto" w:sz="4" w:space="0"/>
                    <w:bottom w:val="single" w:color="auto" w:sz="4" w:space="0"/>
                    <w:right w:val="single" w:color="auto" w:sz="4" w:space="0"/>
                  </w:tcBorders>
                  <w:vAlign w:val="center"/>
                </w:tcPr>
                <w:p>
                  <w:pPr>
                    <w:pStyle w:val="49"/>
                    <w:rPr>
                      <w:b/>
                      <w:bCs/>
                    </w:rPr>
                  </w:pPr>
                  <w:r>
                    <w:rPr>
                      <w:rFonts w:hint="eastAsia"/>
                      <w:b/>
                      <w:bCs/>
                    </w:rPr>
                    <w:t>排气筒底部中心坐标</w:t>
                  </w:r>
                </w:p>
              </w:tc>
              <w:tc>
                <w:tcPr>
                  <w:tcW w:w="393" w:type="pct"/>
                  <w:vMerge w:val="restart"/>
                  <w:tcBorders>
                    <w:top w:val="single" w:color="auto" w:sz="4" w:space="0"/>
                    <w:left w:val="single" w:color="auto" w:sz="4" w:space="0"/>
                    <w:right w:val="single" w:color="auto" w:sz="4" w:space="0"/>
                  </w:tcBorders>
                  <w:vAlign w:val="center"/>
                </w:tcPr>
                <w:p>
                  <w:pPr>
                    <w:pStyle w:val="49"/>
                    <w:rPr>
                      <w:b/>
                      <w:bCs/>
                    </w:rPr>
                  </w:pPr>
                  <w:r>
                    <w:rPr>
                      <w:rFonts w:hint="eastAsia"/>
                      <w:b/>
                      <w:bCs/>
                    </w:rPr>
                    <w:t>排气筒底部海拔高度</w:t>
                  </w:r>
                </w:p>
              </w:tc>
              <w:tc>
                <w:tcPr>
                  <w:tcW w:w="360" w:type="pct"/>
                  <w:vMerge w:val="restart"/>
                  <w:tcBorders>
                    <w:top w:val="single" w:color="auto" w:sz="4" w:space="0"/>
                    <w:left w:val="single" w:color="auto" w:sz="4" w:space="0"/>
                    <w:right w:val="single" w:color="auto" w:sz="4" w:space="0"/>
                  </w:tcBorders>
                  <w:vAlign w:val="center"/>
                </w:tcPr>
                <w:p>
                  <w:pPr>
                    <w:pStyle w:val="49"/>
                    <w:rPr>
                      <w:b/>
                      <w:bCs/>
                    </w:rPr>
                  </w:pPr>
                  <w:r>
                    <w:rPr>
                      <w:rFonts w:hint="eastAsia"/>
                      <w:b/>
                      <w:bCs/>
                    </w:rPr>
                    <w:t>排气筒高度</w:t>
                  </w:r>
                </w:p>
              </w:tc>
              <w:tc>
                <w:tcPr>
                  <w:tcW w:w="360" w:type="pct"/>
                  <w:vMerge w:val="restart"/>
                  <w:tcBorders>
                    <w:top w:val="single" w:color="auto" w:sz="4" w:space="0"/>
                    <w:left w:val="single" w:color="auto" w:sz="4" w:space="0"/>
                    <w:right w:val="single" w:color="auto" w:sz="4" w:space="0"/>
                  </w:tcBorders>
                  <w:vAlign w:val="center"/>
                </w:tcPr>
                <w:p>
                  <w:pPr>
                    <w:pStyle w:val="49"/>
                    <w:rPr>
                      <w:b/>
                      <w:bCs/>
                    </w:rPr>
                  </w:pPr>
                  <w:r>
                    <w:rPr>
                      <w:rFonts w:hint="eastAsia"/>
                      <w:b/>
                      <w:bCs/>
                    </w:rPr>
                    <w:t>排气筒出口内径</w:t>
                  </w:r>
                </w:p>
              </w:tc>
              <w:tc>
                <w:tcPr>
                  <w:tcW w:w="360" w:type="pct"/>
                  <w:vMerge w:val="restart"/>
                  <w:tcBorders>
                    <w:top w:val="single" w:color="auto" w:sz="4" w:space="0"/>
                    <w:left w:val="single" w:color="auto" w:sz="4" w:space="0"/>
                    <w:right w:val="single" w:color="auto" w:sz="4" w:space="0"/>
                  </w:tcBorders>
                  <w:vAlign w:val="center"/>
                </w:tcPr>
                <w:p>
                  <w:pPr>
                    <w:pStyle w:val="49"/>
                    <w:rPr>
                      <w:b/>
                      <w:bCs/>
                    </w:rPr>
                  </w:pPr>
                  <w:r>
                    <w:rPr>
                      <w:rFonts w:hint="eastAsia"/>
                      <w:b/>
                      <w:bCs/>
                    </w:rPr>
                    <w:t>烟气流速</w:t>
                  </w:r>
                </w:p>
              </w:tc>
              <w:tc>
                <w:tcPr>
                  <w:tcW w:w="360" w:type="pct"/>
                  <w:vMerge w:val="restart"/>
                  <w:tcBorders>
                    <w:top w:val="single" w:color="auto" w:sz="4" w:space="0"/>
                    <w:left w:val="single" w:color="auto" w:sz="4" w:space="0"/>
                    <w:right w:val="single" w:color="auto" w:sz="4" w:space="0"/>
                  </w:tcBorders>
                  <w:vAlign w:val="center"/>
                </w:tcPr>
                <w:p>
                  <w:pPr>
                    <w:pStyle w:val="49"/>
                    <w:rPr>
                      <w:b/>
                      <w:bCs/>
                    </w:rPr>
                  </w:pPr>
                  <w:r>
                    <w:rPr>
                      <w:rFonts w:hint="eastAsia"/>
                      <w:b/>
                      <w:bCs/>
                    </w:rPr>
                    <w:t>烟气温度</w:t>
                  </w:r>
                </w:p>
              </w:tc>
              <w:tc>
                <w:tcPr>
                  <w:tcW w:w="360" w:type="pct"/>
                  <w:vMerge w:val="restart"/>
                  <w:tcBorders>
                    <w:top w:val="single" w:color="auto" w:sz="4" w:space="0"/>
                    <w:left w:val="single" w:color="auto" w:sz="4" w:space="0"/>
                    <w:right w:val="single" w:color="auto" w:sz="4" w:space="0"/>
                  </w:tcBorders>
                  <w:vAlign w:val="center"/>
                </w:tcPr>
                <w:p>
                  <w:pPr>
                    <w:pStyle w:val="49"/>
                    <w:rPr>
                      <w:b/>
                      <w:bCs/>
                    </w:rPr>
                  </w:pPr>
                  <w:r>
                    <w:rPr>
                      <w:b/>
                      <w:bCs/>
                    </w:rPr>
                    <w:t>年排放小时数</w:t>
                  </w:r>
                </w:p>
              </w:tc>
              <w:tc>
                <w:tcPr>
                  <w:tcW w:w="360" w:type="pct"/>
                  <w:vMerge w:val="restart"/>
                  <w:tcBorders>
                    <w:top w:val="single" w:color="auto" w:sz="4" w:space="0"/>
                    <w:left w:val="single" w:color="auto" w:sz="4" w:space="0"/>
                    <w:right w:val="single" w:color="auto" w:sz="4" w:space="0"/>
                  </w:tcBorders>
                  <w:vAlign w:val="center"/>
                </w:tcPr>
                <w:p>
                  <w:pPr>
                    <w:pStyle w:val="49"/>
                    <w:rPr>
                      <w:b/>
                      <w:bCs/>
                    </w:rPr>
                  </w:pPr>
                  <w:r>
                    <w:rPr>
                      <w:b/>
                      <w:bCs/>
                    </w:rPr>
                    <w:t>排放</w:t>
                  </w:r>
                </w:p>
                <w:p>
                  <w:pPr>
                    <w:pStyle w:val="49"/>
                    <w:rPr>
                      <w:b/>
                      <w:bCs/>
                    </w:rPr>
                  </w:pPr>
                  <w:r>
                    <w:rPr>
                      <w:b/>
                      <w:bCs/>
                    </w:rPr>
                    <w:t>工况</w:t>
                  </w:r>
                </w:p>
              </w:tc>
              <w:tc>
                <w:tcPr>
                  <w:tcW w:w="360" w:type="pct"/>
                  <w:vMerge w:val="restart"/>
                  <w:tcBorders>
                    <w:top w:val="single" w:color="auto" w:sz="4" w:space="0"/>
                    <w:left w:val="single" w:color="auto" w:sz="4" w:space="0"/>
                    <w:right w:val="single" w:color="auto" w:sz="4" w:space="0"/>
                  </w:tcBorders>
                  <w:vAlign w:val="center"/>
                </w:tcPr>
                <w:p>
                  <w:pPr>
                    <w:pStyle w:val="49"/>
                    <w:rPr>
                      <w:b/>
                      <w:bCs/>
                    </w:rPr>
                  </w:pPr>
                  <w:r>
                    <w:rPr>
                      <w:b/>
                      <w:bCs/>
                    </w:rPr>
                    <w:t>排放</w:t>
                  </w:r>
                </w:p>
                <w:p>
                  <w:pPr>
                    <w:pStyle w:val="49"/>
                    <w:rPr>
                      <w:b/>
                      <w:bCs/>
                    </w:rPr>
                  </w:pPr>
                  <w:r>
                    <w:rPr>
                      <w:b/>
                      <w:bCs/>
                    </w:rPr>
                    <w:t>因子</w:t>
                  </w:r>
                </w:p>
              </w:tc>
              <w:tc>
                <w:tcPr>
                  <w:tcW w:w="363" w:type="pct"/>
                  <w:vMerge w:val="restart"/>
                  <w:tcBorders>
                    <w:top w:val="single" w:color="auto" w:sz="4" w:space="0"/>
                    <w:left w:val="single" w:color="auto" w:sz="4" w:space="0"/>
                    <w:right w:val="single" w:color="auto" w:sz="4" w:space="0"/>
                  </w:tcBorders>
                  <w:vAlign w:val="center"/>
                </w:tcPr>
                <w:p>
                  <w:pPr>
                    <w:pStyle w:val="49"/>
                    <w:rPr>
                      <w:b/>
                      <w:bCs/>
                    </w:rPr>
                  </w:pPr>
                  <w:r>
                    <w:rPr>
                      <w:b/>
                      <w:bCs/>
                    </w:rPr>
                    <w:t>污染物排放速率</w:t>
                  </w:r>
                </w:p>
                <w:p>
                  <w:pPr>
                    <w:pStyle w:val="49"/>
                    <w:rPr>
                      <w:b/>
                      <w:bC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3" w:hRule="atLeast"/>
                <w:jc w:val="center"/>
              </w:trPr>
              <w:tc>
                <w:tcPr>
                  <w:tcW w:w="368" w:type="pct"/>
                  <w:vMerge w:val="continue"/>
                  <w:tcBorders>
                    <w:left w:val="single" w:color="auto" w:sz="4" w:space="0"/>
                    <w:right w:val="single" w:color="auto" w:sz="4" w:space="0"/>
                  </w:tcBorders>
                  <w:vAlign w:val="center"/>
                </w:tcPr>
                <w:p>
                  <w:pPr>
                    <w:pStyle w:val="49"/>
                    <w:rPr>
                      <w:b/>
                      <w:bCs/>
                    </w:rPr>
                  </w:pPr>
                </w:p>
              </w:tc>
              <w:tc>
                <w:tcPr>
                  <w:tcW w:w="379" w:type="pct"/>
                  <w:vMerge w:val="continue"/>
                  <w:tcBorders>
                    <w:left w:val="single" w:color="auto" w:sz="4" w:space="0"/>
                    <w:right w:val="single" w:color="auto" w:sz="4" w:space="0"/>
                  </w:tcBorders>
                  <w:vAlign w:val="center"/>
                </w:tcPr>
                <w:p>
                  <w:pPr>
                    <w:pStyle w:val="49"/>
                    <w:rPr>
                      <w:b/>
                      <w:bCs/>
                    </w:rPr>
                  </w:pPr>
                </w:p>
              </w:tc>
              <w:tc>
                <w:tcPr>
                  <w:tcW w:w="501" w:type="pct"/>
                  <w:tcBorders>
                    <w:top w:val="single" w:color="auto" w:sz="4" w:space="0"/>
                    <w:left w:val="single" w:color="auto" w:sz="4" w:space="0"/>
                    <w:bottom w:val="single" w:color="auto" w:sz="6" w:space="0"/>
                    <w:right w:val="single" w:color="auto" w:sz="4" w:space="0"/>
                  </w:tcBorders>
                  <w:vAlign w:val="center"/>
                </w:tcPr>
                <w:p>
                  <w:pPr>
                    <w:pStyle w:val="49"/>
                    <w:rPr>
                      <w:b/>
                      <w:bCs/>
                    </w:rPr>
                  </w:pPr>
                  <w:r>
                    <w:rPr>
                      <w:rFonts w:hint="eastAsia"/>
                      <w:b/>
                      <w:bCs/>
                    </w:rPr>
                    <w:t>X</w:t>
                  </w:r>
                </w:p>
              </w:tc>
              <w:tc>
                <w:tcPr>
                  <w:tcW w:w="468" w:type="pct"/>
                  <w:tcBorders>
                    <w:top w:val="single" w:color="auto" w:sz="4" w:space="0"/>
                    <w:left w:val="single" w:color="auto" w:sz="4" w:space="0"/>
                    <w:bottom w:val="single" w:color="auto" w:sz="6" w:space="0"/>
                    <w:right w:val="single" w:color="auto" w:sz="4" w:space="0"/>
                  </w:tcBorders>
                  <w:vAlign w:val="center"/>
                </w:tcPr>
                <w:p>
                  <w:pPr>
                    <w:pStyle w:val="49"/>
                    <w:rPr>
                      <w:b/>
                      <w:bCs/>
                    </w:rPr>
                  </w:pPr>
                  <w:r>
                    <w:rPr>
                      <w:rFonts w:hint="eastAsia"/>
                      <w:b/>
                      <w:bCs/>
                    </w:rPr>
                    <w:t>Y</w:t>
                  </w:r>
                </w:p>
              </w:tc>
              <w:tc>
                <w:tcPr>
                  <w:tcW w:w="393" w:type="pct"/>
                  <w:vMerge w:val="continue"/>
                  <w:tcBorders>
                    <w:left w:val="single" w:color="auto" w:sz="4" w:space="0"/>
                    <w:bottom w:val="single" w:color="auto" w:sz="6" w:space="0"/>
                    <w:right w:val="single" w:color="auto" w:sz="4" w:space="0"/>
                  </w:tcBorders>
                  <w:vAlign w:val="center"/>
                </w:tcPr>
                <w:p>
                  <w:pPr>
                    <w:pStyle w:val="49"/>
                    <w:rPr>
                      <w:b/>
                      <w:bCs/>
                    </w:rPr>
                  </w:pPr>
                </w:p>
              </w:tc>
              <w:tc>
                <w:tcPr>
                  <w:tcW w:w="360" w:type="pct"/>
                  <w:vMerge w:val="continue"/>
                  <w:tcBorders>
                    <w:left w:val="single" w:color="auto" w:sz="4" w:space="0"/>
                    <w:bottom w:val="single" w:color="auto" w:sz="6" w:space="0"/>
                    <w:right w:val="single" w:color="auto" w:sz="4" w:space="0"/>
                  </w:tcBorders>
                  <w:vAlign w:val="center"/>
                </w:tcPr>
                <w:p>
                  <w:pPr>
                    <w:pStyle w:val="49"/>
                    <w:rPr>
                      <w:b/>
                      <w:bCs/>
                    </w:rPr>
                  </w:pPr>
                </w:p>
              </w:tc>
              <w:tc>
                <w:tcPr>
                  <w:tcW w:w="360" w:type="pct"/>
                  <w:vMerge w:val="continue"/>
                  <w:tcBorders>
                    <w:left w:val="single" w:color="auto" w:sz="4" w:space="0"/>
                    <w:bottom w:val="single" w:color="auto" w:sz="6" w:space="0"/>
                    <w:right w:val="single" w:color="auto" w:sz="4" w:space="0"/>
                  </w:tcBorders>
                  <w:vAlign w:val="center"/>
                </w:tcPr>
                <w:p>
                  <w:pPr>
                    <w:pStyle w:val="49"/>
                    <w:rPr>
                      <w:b/>
                      <w:bCs/>
                    </w:rPr>
                  </w:pPr>
                </w:p>
              </w:tc>
              <w:tc>
                <w:tcPr>
                  <w:tcW w:w="360" w:type="pct"/>
                  <w:vMerge w:val="continue"/>
                  <w:tcBorders>
                    <w:left w:val="single" w:color="auto" w:sz="4" w:space="0"/>
                    <w:bottom w:val="single" w:color="auto" w:sz="6" w:space="0"/>
                    <w:right w:val="single" w:color="auto" w:sz="4" w:space="0"/>
                  </w:tcBorders>
                  <w:vAlign w:val="center"/>
                </w:tcPr>
                <w:p>
                  <w:pPr>
                    <w:pStyle w:val="49"/>
                    <w:rPr>
                      <w:b/>
                      <w:bCs/>
                    </w:rPr>
                  </w:pPr>
                </w:p>
              </w:tc>
              <w:tc>
                <w:tcPr>
                  <w:tcW w:w="360" w:type="pct"/>
                  <w:vMerge w:val="continue"/>
                  <w:tcBorders>
                    <w:left w:val="single" w:color="auto" w:sz="4" w:space="0"/>
                    <w:bottom w:val="single" w:color="auto" w:sz="6" w:space="0"/>
                    <w:right w:val="single" w:color="auto" w:sz="4" w:space="0"/>
                  </w:tcBorders>
                  <w:vAlign w:val="center"/>
                </w:tcPr>
                <w:p>
                  <w:pPr>
                    <w:pStyle w:val="49"/>
                    <w:rPr>
                      <w:b/>
                      <w:bCs/>
                    </w:rPr>
                  </w:pPr>
                </w:p>
              </w:tc>
              <w:tc>
                <w:tcPr>
                  <w:tcW w:w="360" w:type="pct"/>
                  <w:vMerge w:val="continue"/>
                  <w:tcBorders>
                    <w:left w:val="single" w:color="auto" w:sz="4" w:space="0"/>
                    <w:bottom w:val="single" w:color="auto" w:sz="6" w:space="0"/>
                    <w:right w:val="single" w:color="auto" w:sz="4" w:space="0"/>
                  </w:tcBorders>
                  <w:vAlign w:val="center"/>
                </w:tcPr>
                <w:p>
                  <w:pPr>
                    <w:pStyle w:val="49"/>
                    <w:rPr>
                      <w:b/>
                      <w:bCs/>
                    </w:rPr>
                  </w:pPr>
                </w:p>
              </w:tc>
              <w:tc>
                <w:tcPr>
                  <w:tcW w:w="360" w:type="pct"/>
                  <w:vMerge w:val="continue"/>
                  <w:tcBorders>
                    <w:left w:val="single" w:color="auto" w:sz="4" w:space="0"/>
                    <w:bottom w:val="single" w:color="auto" w:sz="6" w:space="0"/>
                    <w:right w:val="single" w:color="auto" w:sz="4" w:space="0"/>
                  </w:tcBorders>
                  <w:vAlign w:val="center"/>
                </w:tcPr>
                <w:p>
                  <w:pPr>
                    <w:pStyle w:val="49"/>
                    <w:rPr>
                      <w:b/>
                      <w:bCs/>
                    </w:rPr>
                  </w:pPr>
                </w:p>
              </w:tc>
              <w:tc>
                <w:tcPr>
                  <w:tcW w:w="360" w:type="pct"/>
                  <w:vMerge w:val="continue"/>
                  <w:tcBorders>
                    <w:left w:val="single" w:color="auto" w:sz="4" w:space="0"/>
                    <w:bottom w:val="single" w:color="auto" w:sz="6" w:space="0"/>
                    <w:right w:val="single" w:color="auto" w:sz="4" w:space="0"/>
                  </w:tcBorders>
                  <w:vAlign w:val="center"/>
                </w:tcPr>
                <w:p>
                  <w:pPr>
                    <w:pStyle w:val="49"/>
                    <w:rPr>
                      <w:b/>
                      <w:bCs/>
                    </w:rPr>
                  </w:pPr>
                </w:p>
              </w:tc>
              <w:tc>
                <w:tcPr>
                  <w:tcW w:w="363" w:type="pct"/>
                  <w:vMerge w:val="continue"/>
                  <w:tcBorders>
                    <w:left w:val="single" w:color="auto" w:sz="4" w:space="0"/>
                    <w:bottom w:val="single" w:color="auto" w:sz="6" w:space="0"/>
                    <w:right w:val="single" w:color="auto" w:sz="4" w:space="0"/>
                  </w:tcBorders>
                  <w:vAlign w:val="center"/>
                </w:tcPr>
                <w:p>
                  <w:pPr>
                    <w:pStyle w:val="49"/>
                    <w:rPr>
                      <w:b/>
                      <w:bC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vMerge w:val="continue"/>
                  <w:tcBorders>
                    <w:left w:val="single" w:color="auto" w:sz="4" w:space="0"/>
                    <w:bottom w:val="single" w:color="auto" w:sz="6" w:space="0"/>
                    <w:right w:val="single" w:color="auto" w:sz="4" w:space="0"/>
                  </w:tcBorders>
                  <w:vAlign w:val="center"/>
                </w:tcPr>
                <w:p>
                  <w:pPr>
                    <w:pStyle w:val="49"/>
                    <w:rPr>
                      <w:b/>
                      <w:bCs/>
                    </w:rPr>
                  </w:pPr>
                </w:p>
              </w:tc>
              <w:tc>
                <w:tcPr>
                  <w:tcW w:w="379" w:type="pct"/>
                  <w:vMerge w:val="continue"/>
                  <w:tcBorders>
                    <w:left w:val="single" w:color="auto" w:sz="4" w:space="0"/>
                    <w:bottom w:val="single" w:color="auto" w:sz="6" w:space="0"/>
                    <w:right w:val="single" w:color="auto" w:sz="4" w:space="0"/>
                  </w:tcBorders>
                  <w:vAlign w:val="center"/>
                </w:tcPr>
                <w:p>
                  <w:pPr>
                    <w:pStyle w:val="49"/>
                    <w:rPr>
                      <w:b/>
                      <w:bCs/>
                    </w:rPr>
                  </w:pPr>
                </w:p>
              </w:tc>
              <w:tc>
                <w:tcPr>
                  <w:tcW w:w="501" w:type="pct"/>
                  <w:tcBorders>
                    <w:top w:val="single" w:color="auto" w:sz="4" w:space="0"/>
                    <w:left w:val="single" w:color="auto" w:sz="4" w:space="0"/>
                    <w:bottom w:val="single" w:color="auto" w:sz="6" w:space="0"/>
                    <w:right w:val="single" w:color="auto" w:sz="4" w:space="0"/>
                  </w:tcBorders>
                  <w:vAlign w:val="center"/>
                </w:tcPr>
                <w:p>
                  <w:pPr>
                    <w:pStyle w:val="49"/>
                    <w:rPr>
                      <w:b/>
                      <w:bCs/>
                    </w:rPr>
                  </w:pPr>
                  <w:r>
                    <w:rPr>
                      <w:b/>
                      <w:bCs/>
                    </w:rPr>
                    <w:t>m</w:t>
                  </w:r>
                  <w:r>
                    <w:rPr>
                      <w:rFonts w:hint="eastAsia"/>
                      <w:b/>
                      <w:bCs/>
                    </w:rPr>
                    <w:t>*</w:t>
                  </w:r>
                </w:p>
              </w:tc>
              <w:tc>
                <w:tcPr>
                  <w:tcW w:w="468" w:type="pct"/>
                  <w:tcBorders>
                    <w:top w:val="single" w:color="auto" w:sz="4" w:space="0"/>
                    <w:left w:val="single" w:color="auto" w:sz="4" w:space="0"/>
                    <w:bottom w:val="single" w:color="auto" w:sz="6" w:space="0"/>
                    <w:right w:val="single" w:color="auto" w:sz="4" w:space="0"/>
                  </w:tcBorders>
                  <w:vAlign w:val="center"/>
                </w:tcPr>
                <w:p>
                  <w:pPr>
                    <w:pStyle w:val="49"/>
                    <w:rPr>
                      <w:b/>
                      <w:bCs/>
                    </w:rPr>
                  </w:pPr>
                  <w:r>
                    <w:rPr>
                      <w:b/>
                      <w:bCs/>
                    </w:rPr>
                    <w:t>m</w:t>
                  </w:r>
                  <w:r>
                    <w:rPr>
                      <w:rFonts w:hint="eastAsia"/>
                      <w:b/>
                      <w:bCs/>
                    </w:rPr>
                    <w:t>*</w:t>
                  </w:r>
                </w:p>
              </w:tc>
              <w:tc>
                <w:tcPr>
                  <w:tcW w:w="393" w:type="pct"/>
                  <w:tcBorders>
                    <w:left w:val="single" w:color="auto" w:sz="4" w:space="0"/>
                    <w:bottom w:val="single" w:color="auto" w:sz="6" w:space="0"/>
                    <w:right w:val="single" w:color="auto" w:sz="4" w:space="0"/>
                  </w:tcBorders>
                  <w:vAlign w:val="center"/>
                </w:tcPr>
                <w:p>
                  <w:pPr>
                    <w:pStyle w:val="49"/>
                    <w:rPr>
                      <w:b/>
                      <w:bCs/>
                    </w:rPr>
                  </w:pPr>
                  <w:r>
                    <w:rPr>
                      <w:b/>
                      <w:bCs/>
                    </w:rPr>
                    <w:t>m</w:t>
                  </w:r>
                </w:p>
              </w:tc>
              <w:tc>
                <w:tcPr>
                  <w:tcW w:w="360" w:type="pct"/>
                  <w:tcBorders>
                    <w:left w:val="single" w:color="auto" w:sz="4" w:space="0"/>
                    <w:bottom w:val="single" w:color="auto" w:sz="6" w:space="0"/>
                    <w:right w:val="single" w:color="auto" w:sz="4" w:space="0"/>
                  </w:tcBorders>
                  <w:vAlign w:val="center"/>
                </w:tcPr>
                <w:p>
                  <w:pPr>
                    <w:pStyle w:val="49"/>
                    <w:rPr>
                      <w:b/>
                      <w:bCs/>
                    </w:rPr>
                  </w:pPr>
                  <w:r>
                    <w:rPr>
                      <w:b/>
                      <w:bCs/>
                    </w:rPr>
                    <w:t>m</w:t>
                  </w:r>
                </w:p>
              </w:tc>
              <w:tc>
                <w:tcPr>
                  <w:tcW w:w="360" w:type="pct"/>
                  <w:tcBorders>
                    <w:left w:val="single" w:color="auto" w:sz="4" w:space="0"/>
                    <w:bottom w:val="single" w:color="auto" w:sz="6" w:space="0"/>
                    <w:right w:val="single" w:color="auto" w:sz="4" w:space="0"/>
                  </w:tcBorders>
                  <w:vAlign w:val="center"/>
                </w:tcPr>
                <w:p>
                  <w:pPr>
                    <w:pStyle w:val="49"/>
                    <w:rPr>
                      <w:b/>
                      <w:bCs/>
                    </w:rPr>
                  </w:pPr>
                  <w:r>
                    <w:rPr>
                      <w:b/>
                      <w:bCs/>
                    </w:rPr>
                    <w:t>m</w:t>
                  </w:r>
                </w:p>
              </w:tc>
              <w:tc>
                <w:tcPr>
                  <w:tcW w:w="360" w:type="pct"/>
                  <w:tcBorders>
                    <w:left w:val="single" w:color="auto" w:sz="4" w:space="0"/>
                    <w:bottom w:val="single" w:color="auto" w:sz="6" w:space="0"/>
                    <w:right w:val="single" w:color="auto" w:sz="4" w:space="0"/>
                  </w:tcBorders>
                  <w:vAlign w:val="center"/>
                </w:tcPr>
                <w:p>
                  <w:pPr>
                    <w:pStyle w:val="49"/>
                    <w:rPr>
                      <w:b/>
                      <w:bCs/>
                    </w:rPr>
                  </w:pPr>
                  <w:r>
                    <w:rPr>
                      <w:rFonts w:hint="eastAsia"/>
                      <w:b/>
                      <w:bCs/>
                    </w:rPr>
                    <w:t>m/s</w:t>
                  </w:r>
                </w:p>
              </w:tc>
              <w:tc>
                <w:tcPr>
                  <w:tcW w:w="360" w:type="pct"/>
                  <w:tcBorders>
                    <w:left w:val="single" w:color="auto" w:sz="4" w:space="0"/>
                    <w:bottom w:val="single" w:color="auto" w:sz="6" w:space="0"/>
                    <w:right w:val="single" w:color="auto" w:sz="4" w:space="0"/>
                  </w:tcBorders>
                  <w:vAlign w:val="center"/>
                </w:tcPr>
                <w:p>
                  <w:pPr>
                    <w:pStyle w:val="49"/>
                    <w:rPr>
                      <w:b/>
                      <w:bCs/>
                    </w:rPr>
                  </w:pPr>
                  <w:r>
                    <w:rPr>
                      <w:rFonts w:hint="eastAsia"/>
                      <w:b/>
                      <w:bCs/>
                    </w:rPr>
                    <w:t>℃</w:t>
                  </w:r>
                </w:p>
              </w:tc>
              <w:tc>
                <w:tcPr>
                  <w:tcW w:w="360" w:type="pct"/>
                  <w:tcBorders>
                    <w:left w:val="single" w:color="auto" w:sz="4" w:space="0"/>
                    <w:bottom w:val="single" w:color="auto" w:sz="6" w:space="0"/>
                    <w:right w:val="single" w:color="auto" w:sz="4" w:space="0"/>
                  </w:tcBorders>
                  <w:vAlign w:val="center"/>
                </w:tcPr>
                <w:p>
                  <w:pPr>
                    <w:pStyle w:val="49"/>
                    <w:rPr>
                      <w:b/>
                      <w:bCs/>
                    </w:rPr>
                  </w:pPr>
                  <w:r>
                    <w:rPr>
                      <w:b/>
                      <w:bCs/>
                    </w:rPr>
                    <w:t>h</w:t>
                  </w:r>
                </w:p>
              </w:tc>
              <w:tc>
                <w:tcPr>
                  <w:tcW w:w="360" w:type="pct"/>
                  <w:tcBorders>
                    <w:left w:val="single" w:color="auto" w:sz="4" w:space="0"/>
                    <w:bottom w:val="single" w:color="auto" w:sz="6" w:space="0"/>
                    <w:right w:val="single" w:color="auto" w:sz="4" w:space="0"/>
                  </w:tcBorders>
                  <w:vAlign w:val="center"/>
                </w:tcPr>
                <w:p>
                  <w:pPr>
                    <w:pStyle w:val="49"/>
                    <w:rPr>
                      <w:b/>
                      <w:bCs/>
                    </w:rPr>
                  </w:pPr>
                  <w:r>
                    <w:rPr>
                      <w:rFonts w:hint="eastAsia"/>
                      <w:b/>
                      <w:bCs/>
                    </w:rPr>
                    <w:t>/</w:t>
                  </w:r>
                </w:p>
              </w:tc>
              <w:tc>
                <w:tcPr>
                  <w:tcW w:w="360" w:type="pct"/>
                  <w:tcBorders>
                    <w:left w:val="single" w:color="auto" w:sz="4" w:space="0"/>
                    <w:bottom w:val="single" w:color="auto" w:sz="6" w:space="0"/>
                    <w:right w:val="single" w:color="auto" w:sz="4" w:space="0"/>
                  </w:tcBorders>
                  <w:vAlign w:val="center"/>
                </w:tcPr>
                <w:p>
                  <w:pPr>
                    <w:pStyle w:val="49"/>
                    <w:rPr>
                      <w:b/>
                      <w:bCs/>
                    </w:rPr>
                  </w:pPr>
                  <w:r>
                    <w:rPr>
                      <w:rFonts w:hint="eastAsia"/>
                      <w:b/>
                      <w:bCs/>
                    </w:rPr>
                    <w:t>/</w:t>
                  </w:r>
                </w:p>
              </w:tc>
              <w:tc>
                <w:tcPr>
                  <w:tcW w:w="363" w:type="pct"/>
                  <w:tcBorders>
                    <w:left w:val="single" w:color="auto" w:sz="4" w:space="0"/>
                    <w:bottom w:val="single" w:color="auto" w:sz="6" w:space="0"/>
                    <w:right w:val="single" w:color="auto" w:sz="4" w:space="0"/>
                  </w:tcBorders>
                  <w:vAlign w:val="center"/>
                </w:tcPr>
                <w:p>
                  <w:pPr>
                    <w:pStyle w:val="49"/>
                    <w:rPr>
                      <w:b/>
                      <w:bCs/>
                    </w:rPr>
                  </w:pPr>
                  <w:r>
                    <w:rPr>
                      <w:b/>
                      <w:bCs/>
                    </w:rPr>
                    <w:t>kg/h</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tcBorders>
                    <w:top w:val="single" w:color="auto" w:sz="4" w:space="0"/>
                    <w:left w:val="single" w:color="auto" w:sz="4" w:space="0"/>
                    <w:right w:val="single" w:color="auto" w:sz="4" w:space="0"/>
                  </w:tcBorders>
                  <w:vAlign w:val="center"/>
                </w:tcPr>
                <w:p>
                  <w:pPr>
                    <w:pStyle w:val="49"/>
                  </w:pPr>
                  <w:r>
                    <w:rPr>
                      <w:rFonts w:hint="eastAsia"/>
                    </w:rPr>
                    <w:t>DA</w:t>
                  </w:r>
                </w:p>
                <w:p>
                  <w:pPr>
                    <w:pStyle w:val="49"/>
                  </w:pPr>
                  <w:r>
                    <w:rPr>
                      <w:rFonts w:hint="eastAsia"/>
                    </w:rPr>
                    <w:t>001</w:t>
                  </w:r>
                </w:p>
              </w:tc>
              <w:tc>
                <w:tcPr>
                  <w:tcW w:w="379" w:type="pct"/>
                  <w:tcBorders>
                    <w:top w:val="single" w:color="auto" w:sz="4" w:space="0"/>
                    <w:left w:val="single" w:color="auto" w:sz="4" w:space="0"/>
                    <w:right w:val="single" w:color="auto" w:sz="4" w:space="0"/>
                  </w:tcBorders>
                  <w:vAlign w:val="center"/>
                </w:tcPr>
                <w:p>
                  <w:pPr>
                    <w:pStyle w:val="49"/>
                  </w:pPr>
                  <w:r>
                    <w:rPr>
                      <w:rFonts w:hint="eastAsia"/>
                    </w:rPr>
                    <w:t>排气筒</w:t>
                  </w:r>
                </w:p>
              </w:tc>
              <w:tc>
                <w:tcPr>
                  <w:tcW w:w="501" w:type="pct"/>
                  <w:tcBorders>
                    <w:top w:val="single" w:color="auto" w:sz="4" w:space="0"/>
                    <w:left w:val="single" w:color="auto" w:sz="4" w:space="0"/>
                    <w:right w:val="single" w:color="auto" w:sz="4" w:space="0"/>
                  </w:tcBorders>
                  <w:vAlign w:val="center"/>
                </w:tcPr>
                <w:p>
                  <w:pPr>
                    <w:pStyle w:val="49"/>
                  </w:pPr>
                  <w:r>
                    <w:rPr>
                      <w:rFonts w:hint="eastAsia"/>
                    </w:rPr>
                    <w:t>E120.437261°</w:t>
                  </w:r>
                </w:p>
              </w:tc>
              <w:tc>
                <w:tcPr>
                  <w:tcW w:w="468" w:type="pct"/>
                  <w:tcBorders>
                    <w:top w:val="single" w:color="auto" w:sz="4" w:space="0"/>
                    <w:left w:val="single" w:color="auto" w:sz="4" w:space="0"/>
                    <w:right w:val="single" w:color="auto" w:sz="4" w:space="0"/>
                  </w:tcBorders>
                  <w:vAlign w:val="center"/>
                </w:tcPr>
                <w:p>
                  <w:pPr>
                    <w:pStyle w:val="49"/>
                  </w:pPr>
                  <w:r>
                    <w:rPr>
                      <w:rFonts w:hint="eastAsia"/>
                    </w:rPr>
                    <w:t>N30.547225°</w:t>
                  </w:r>
                </w:p>
              </w:tc>
              <w:tc>
                <w:tcPr>
                  <w:tcW w:w="393" w:type="pct"/>
                  <w:tcBorders>
                    <w:top w:val="single" w:color="auto" w:sz="4" w:space="0"/>
                    <w:left w:val="single" w:color="auto" w:sz="4" w:space="0"/>
                    <w:right w:val="single" w:color="auto" w:sz="4" w:space="0"/>
                  </w:tcBorders>
                  <w:vAlign w:val="center"/>
                </w:tcPr>
                <w:p>
                  <w:pPr>
                    <w:pStyle w:val="49"/>
                  </w:pPr>
                  <w:r>
                    <w:rPr>
                      <w:rFonts w:hint="eastAsia"/>
                    </w:rPr>
                    <w:t>11</w:t>
                  </w:r>
                </w:p>
              </w:tc>
              <w:tc>
                <w:tcPr>
                  <w:tcW w:w="360" w:type="pct"/>
                  <w:tcBorders>
                    <w:top w:val="single" w:color="auto" w:sz="6" w:space="0"/>
                    <w:left w:val="single" w:color="auto" w:sz="6" w:space="0"/>
                    <w:right w:val="single" w:color="auto" w:sz="6" w:space="0"/>
                  </w:tcBorders>
                  <w:vAlign w:val="center"/>
                </w:tcPr>
                <w:p>
                  <w:pPr>
                    <w:pStyle w:val="49"/>
                  </w:pPr>
                  <w:r>
                    <w:rPr>
                      <w:rFonts w:hint="eastAsia"/>
                    </w:rPr>
                    <w:t>20</w:t>
                  </w:r>
                </w:p>
              </w:tc>
              <w:tc>
                <w:tcPr>
                  <w:tcW w:w="360" w:type="pct"/>
                  <w:tcBorders>
                    <w:top w:val="single" w:color="auto" w:sz="6" w:space="0"/>
                    <w:left w:val="single" w:color="auto" w:sz="6" w:space="0"/>
                    <w:right w:val="single" w:color="auto" w:sz="6" w:space="0"/>
                  </w:tcBorders>
                  <w:vAlign w:val="center"/>
                </w:tcPr>
                <w:p>
                  <w:pPr>
                    <w:pStyle w:val="49"/>
                  </w:pPr>
                  <w:r>
                    <w:rPr>
                      <w:rFonts w:hint="eastAsia"/>
                    </w:rPr>
                    <w:t>0.4</w:t>
                  </w:r>
                </w:p>
              </w:tc>
              <w:tc>
                <w:tcPr>
                  <w:tcW w:w="360" w:type="pct"/>
                  <w:tcBorders>
                    <w:top w:val="single" w:color="auto" w:sz="6" w:space="0"/>
                    <w:left w:val="single" w:color="auto" w:sz="6" w:space="0"/>
                    <w:right w:val="single" w:color="auto" w:sz="6" w:space="0"/>
                  </w:tcBorders>
                  <w:vAlign w:val="center"/>
                </w:tcPr>
                <w:p>
                  <w:pPr>
                    <w:pStyle w:val="49"/>
                  </w:pPr>
                  <w:r>
                    <w:rPr>
                      <w:rFonts w:hint="eastAsia"/>
                    </w:rPr>
                    <w:t>11.1</w:t>
                  </w:r>
                </w:p>
              </w:tc>
              <w:tc>
                <w:tcPr>
                  <w:tcW w:w="360" w:type="pct"/>
                  <w:tcBorders>
                    <w:top w:val="single" w:color="auto" w:sz="6" w:space="0"/>
                    <w:left w:val="single" w:color="auto" w:sz="6" w:space="0"/>
                    <w:right w:val="single" w:color="auto" w:sz="6" w:space="0"/>
                  </w:tcBorders>
                  <w:vAlign w:val="center"/>
                </w:tcPr>
                <w:p>
                  <w:pPr>
                    <w:pStyle w:val="49"/>
                  </w:pPr>
                  <w:r>
                    <w:rPr>
                      <w:rFonts w:hint="eastAsia"/>
                    </w:rPr>
                    <w:t>25</w:t>
                  </w:r>
                </w:p>
              </w:tc>
              <w:tc>
                <w:tcPr>
                  <w:tcW w:w="360" w:type="pct"/>
                  <w:tcBorders>
                    <w:top w:val="single" w:color="auto" w:sz="6" w:space="0"/>
                    <w:left w:val="single" w:color="auto" w:sz="6" w:space="0"/>
                    <w:right w:val="single" w:color="auto" w:sz="6" w:space="0"/>
                  </w:tcBorders>
                  <w:vAlign w:val="center"/>
                </w:tcPr>
                <w:p>
                  <w:pPr>
                    <w:pStyle w:val="49"/>
                  </w:pPr>
                  <w:r>
                    <w:rPr>
                      <w:rFonts w:hint="eastAsia"/>
                    </w:rPr>
                    <w:t>2400</w:t>
                  </w:r>
                </w:p>
              </w:tc>
              <w:tc>
                <w:tcPr>
                  <w:tcW w:w="360" w:type="pct"/>
                  <w:tcBorders>
                    <w:top w:val="single" w:color="auto" w:sz="6" w:space="0"/>
                    <w:left w:val="single" w:color="auto" w:sz="6" w:space="0"/>
                    <w:right w:val="single" w:color="auto" w:sz="6" w:space="0"/>
                  </w:tcBorders>
                  <w:vAlign w:val="center"/>
                </w:tcPr>
                <w:p>
                  <w:pPr>
                    <w:pStyle w:val="49"/>
                  </w:pPr>
                  <w:r>
                    <w:t>正常</w:t>
                  </w:r>
                </w:p>
              </w:tc>
              <w:tc>
                <w:tcPr>
                  <w:tcW w:w="360" w:type="pct"/>
                  <w:tcBorders>
                    <w:top w:val="single" w:color="auto" w:sz="6" w:space="0"/>
                    <w:left w:val="single" w:color="auto" w:sz="6" w:space="0"/>
                    <w:right w:val="single" w:color="auto" w:sz="6" w:space="0"/>
                  </w:tcBorders>
                  <w:vAlign w:val="center"/>
                </w:tcPr>
                <w:p>
                  <w:pPr>
                    <w:pStyle w:val="49"/>
                  </w:pPr>
                  <w:r>
                    <w:rPr>
                      <w:rFonts w:hint="eastAsia"/>
                    </w:rPr>
                    <w:t>NM</w:t>
                  </w:r>
                </w:p>
                <w:p>
                  <w:pPr>
                    <w:pStyle w:val="49"/>
                  </w:pPr>
                  <w:r>
                    <w:rPr>
                      <w:rFonts w:hint="eastAsia"/>
                    </w:rPr>
                    <w:t>HC</w:t>
                  </w:r>
                </w:p>
              </w:tc>
              <w:tc>
                <w:tcPr>
                  <w:tcW w:w="363" w:type="pct"/>
                  <w:tcBorders>
                    <w:top w:val="single" w:color="auto" w:sz="6" w:space="0"/>
                    <w:left w:val="single" w:color="auto" w:sz="6" w:space="0"/>
                    <w:bottom w:val="single" w:color="auto" w:sz="6" w:space="0"/>
                    <w:right w:val="single" w:color="auto" w:sz="6" w:space="0"/>
                  </w:tcBorders>
                  <w:vAlign w:val="center"/>
                </w:tcPr>
                <w:p>
                  <w:pPr>
                    <w:pStyle w:val="49"/>
                  </w:pPr>
                  <w:r>
                    <w:t>0.0</w:t>
                  </w:r>
                  <w:r>
                    <w:rPr>
                      <w:rFonts w:hint="eastAsia"/>
                    </w:rPr>
                    <w:t>17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13"/>
                  <w:tcBorders>
                    <w:top w:val="single" w:color="auto" w:sz="4" w:space="0"/>
                    <w:left w:val="single" w:color="auto" w:sz="4" w:space="0"/>
                    <w:bottom w:val="single" w:color="auto" w:sz="4" w:space="0"/>
                    <w:right w:val="single" w:color="auto" w:sz="6" w:space="0"/>
                  </w:tcBorders>
                  <w:vAlign w:val="center"/>
                </w:tcPr>
                <w:p>
                  <w:pPr>
                    <w:pStyle w:val="49"/>
                    <w:jc w:val="left"/>
                  </w:pPr>
                  <w:r>
                    <w:rPr>
                      <w:rFonts w:hint="eastAsia"/>
                    </w:rPr>
                    <w:t>*注：</w:t>
                  </w:r>
                  <w:r>
                    <w:t>本项目坐标采用经纬度。</w:t>
                  </w:r>
                </w:p>
              </w:tc>
            </w:tr>
          </w:tbl>
          <w:p>
            <w:pPr>
              <w:pStyle w:val="46"/>
            </w:pPr>
            <w:r>
              <w:t>表7-1</w:t>
            </w:r>
            <w:r>
              <w:rPr>
                <w:rFonts w:hint="eastAsia"/>
              </w:rPr>
              <w:t>1b</w:t>
            </w:r>
            <w:r>
              <w:t xml:space="preserve"> 项目主要废气污染物排放强度（面源）</w:t>
            </w:r>
          </w:p>
          <w:tbl>
            <w:tblPr>
              <w:tblStyle w:val="34"/>
              <w:tblW w:w="4934"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88"/>
              <w:gridCol w:w="915"/>
              <w:gridCol w:w="817"/>
              <w:gridCol w:w="675"/>
              <w:gridCol w:w="675"/>
              <w:gridCol w:w="675"/>
              <w:gridCol w:w="675"/>
              <w:gridCol w:w="675"/>
              <w:gridCol w:w="675"/>
              <w:gridCol w:w="675"/>
              <w:gridCol w:w="675"/>
              <w:gridCol w:w="68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9" w:type="pct"/>
                  <w:vMerge w:val="restart"/>
                  <w:tcBorders>
                    <w:top w:val="single" w:color="auto" w:sz="4" w:space="0"/>
                    <w:left w:val="single" w:color="auto" w:sz="4" w:space="0"/>
                    <w:right w:val="single" w:color="auto" w:sz="4" w:space="0"/>
                  </w:tcBorders>
                  <w:vAlign w:val="center"/>
                </w:tcPr>
                <w:p>
                  <w:pPr>
                    <w:pStyle w:val="49"/>
                    <w:rPr>
                      <w:b/>
                      <w:bCs/>
                    </w:rPr>
                  </w:pPr>
                  <w:r>
                    <w:rPr>
                      <w:b/>
                      <w:bCs/>
                    </w:rPr>
                    <w:t>名称</w:t>
                  </w:r>
                </w:p>
              </w:tc>
              <w:tc>
                <w:tcPr>
                  <w:tcW w:w="1009" w:type="pct"/>
                  <w:gridSpan w:val="2"/>
                  <w:tcBorders>
                    <w:top w:val="single" w:color="auto" w:sz="4" w:space="0"/>
                    <w:left w:val="single" w:color="auto" w:sz="4" w:space="0"/>
                    <w:bottom w:val="single" w:color="auto" w:sz="4" w:space="0"/>
                    <w:right w:val="single" w:color="auto" w:sz="4" w:space="0"/>
                  </w:tcBorders>
                  <w:vAlign w:val="center"/>
                </w:tcPr>
                <w:p>
                  <w:pPr>
                    <w:pStyle w:val="49"/>
                    <w:rPr>
                      <w:b/>
                      <w:bCs/>
                    </w:rPr>
                  </w:pPr>
                  <w:r>
                    <w:rPr>
                      <w:b/>
                      <w:bCs/>
                    </w:rPr>
                    <w:t>面源起点坐标</w:t>
                  </w:r>
                </w:p>
              </w:tc>
              <w:tc>
                <w:tcPr>
                  <w:tcW w:w="392" w:type="pct"/>
                  <w:vMerge w:val="restart"/>
                  <w:tcBorders>
                    <w:top w:val="single" w:color="auto" w:sz="4" w:space="0"/>
                    <w:left w:val="single" w:color="auto" w:sz="4" w:space="0"/>
                    <w:right w:val="single" w:color="auto" w:sz="4" w:space="0"/>
                  </w:tcBorders>
                  <w:vAlign w:val="center"/>
                </w:tcPr>
                <w:p>
                  <w:pPr>
                    <w:pStyle w:val="49"/>
                    <w:rPr>
                      <w:b/>
                      <w:bCs/>
                    </w:rPr>
                  </w:pPr>
                  <w:r>
                    <w:rPr>
                      <w:b/>
                      <w:bCs/>
                    </w:rPr>
                    <w:t>面源海拔高度</w:t>
                  </w:r>
                </w:p>
              </w:tc>
              <w:tc>
                <w:tcPr>
                  <w:tcW w:w="392" w:type="pct"/>
                  <w:vMerge w:val="restart"/>
                  <w:tcBorders>
                    <w:top w:val="single" w:color="auto" w:sz="4" w:space="0"/>
                    <w:left w:val="single" w:color="auto" w:sz="4" w:space="0"/>
                    <w:right w:val="single" w:color="auto" w:sz="4" w:space="0"/>
                  </w:tcBorders>
                  <w:vAlign w:val="center"/>
                </w:tcPr>
                <w:p>
                  <w:pPr>
                    <w:pStyle w:val="49"/>
                    <w:rPr>
                      <w:b/>
                      <w:bCs/>
                    </w:rPr>
                  </w:pPr>
                  <w:r>
                    <w:rPr>
                      <w:b/>
                      <w:bCs/>
                    </w:rPr>
                    <w:t>面源长度</w:t>
                  </w:r>
                </w:p>
              </w:tc>
              <w:tc>
                <w:tcPr>
                  <w:tcW w:w="392" w:type="pct"/>
                  <w:vMerge w:val="restart"/>
                  <w:tcBorders>
                    <w:top w:val="single" w:color="auto" w:sz="4" w:space="0"/>
                    <w:left w:val="single" w:color="auto" w:sz="4" w:space="0"/>
                    <w:right w:val="single" w:color="auto" w:sz="4" w:space="0"/>
                  </w:tcBorders>
                  <w:vAlign w:val="center"/>
                </w:tcPr>
                <w:p>
                  <w:pPr>
                    <w:pStyle w:val="49"/>
                    <w:rPr>
                      <w:b/>
                      <w:bCs/>
                    </w:rPr>
                  </w:pPr>
                  <w:r>
                    <w:rPr>
                      <w:b/>
                      <w:bCs/>
                    </w:rPr>
                    <w:t>面源宽度</w:t>
                  </w:r>
                </w:p>
              </w:tc>
              <w:tc>
                <w:tcPr>
                  <w:tcW w:w="392" w:type="pct"/>
                  <w:vMerge w:val="restart"/>
                  <w:tcBorders>
                    <w:top w:val="single" w:color="auto" w:sz="4" w:space="0"/>
                    <w:left w:val="single" w:color="auto" w:sz="4" w:space="0"/>
                    <w:right w:val="single" w:color="auto" w:sz="4" w:space="0"/>
                  </w:tcBorders>
                  <w:vAlign w:val="center"/>
                </w:tcPr>
                <w:p>
                  <w:pPr>
                    <w:pStyle w:val="49"/>
                    <w:rPr>
                      <w:b/>
                      <w:bCs/>
                    </w:rPr>
                  </w:pPr>
                  <w:r>
                    <w:rPr>
                      <w:b/>
                      <w:bCs/>
                    </w:rPr>
                    <w:t>与正北向夹角</w:t>
                  </w:r>
                </w:p>
              </w:tc>
              <w:tc>
                <w:tcPr>
                  <w:tcW w:w="392" w:type="pct"/>
                  <w:vMerge w:val="restart"/>
                  <w:tcBorders>
                    <w:top w:val="single" w:color="auto" w:sz="4" w:space="0"/>
                    <w:left w:val="single" w:color="auto" w:sz="4" w:space="0"/>
                    <w:right w:val="single" w:color="auto" w:sz="4" w:space="0"/>
                  </w:tcBorders>
                  <w:vAlign w:val="center"/>
                </w:tcPr>
                <w:p>
                  <w:pPr>
                    <w:pStyle w:val="49"/>
                    <w:rPr>
                      <w:b/>
                      <w:bCs/>
                    </w:rPr>
                  </w:pPr>
                  <w:r>
                    <w:rPr>
                      <w:b/>
                      <w:bCs/>
                    </w:rPr>
                    <w:t>面源有效排放高度</w:t>
                  </w:r>
                </w:p>
              </w:tc>
              <w:tc>
                <w:tcPr>
                  <w:tcW w:w="392" w:type="pct"/>
                  <w:vMerge w:val="restart"/>
                  <w:tcBorders>
                    <w:top w:val="single" w:color="auto" w:sz="4" w:space="0"/>
                    <w:left w:val="single" w:color="auto" w:sz="4" w:space="0"/>
                    <w:right w:val="single" w:color="auto" w:sz="4" w:space="0"/>
                  </w:tcBorders>
                  <w:vAlign w:val="center"/>
                </w:tcPr>
                <w:p>
                  <w:pPr>
                    <w:pStyle w:val="49"/>
                    <w:rPr>
                      <w:b/>
                      <w:bCs/>
                    </w:rPr>
                  </w:pPr>
                  <w:r>
                    <w:rPr>
                      <w:b/>
                      <w:bCs/>
                    </w:rPr>
                    <w:t>年排放小时数</w:t>
                  </w:r>
                </w:p>
              </w:tc>
              <w:tc>
                <w:tcPr>
                  <w:tcW w:w="392" w:type="pct"/>
                  <w:vMerge w:val="restart"/>
                  <w:tcBorders>
                    <w:top w:val="single" w:color="auto" w:sz="4" w:space="0"/>
                    <w:left w:val="single" w:color="auto" w:sz="4" w:space="0"/>
                    <w:right w:val="single" w:color="auto" w:sz="4" w:space="0"/>
                  </w:tcBorders>
                  <w:vAlign w:val="center"/>
                </w:tcPr>
                <w:p>
                  <w:pPr>
                    <w:pStyle w:val="49"/>
                    <w:rPr>
                      <w:b/>
                      <w:bCs/>
                    </w:rPr>
                  </w:pPr>
                  <w:r>
                    <w:rPr>
                      <w:b/>
                      <w:bCs/>
                    </w:rPr>
                    <w:t>排放</w:t>
                  </w:r>
                </w:p>
                <w:p>
                  <w:pPr>
                    <w:pStyle w:val="49"/>
                    <w:rPr>
                      <w:b/>
                      <w:bCs/>
                    </w:rPr>
                  </w:pPr>
                  <w:r>
                    <w:rPr>
                      <w:b/>
                      <w:bCs/>
                    </w:rPr>
                    <w:t>工况</w:t>
                  </w:r>
                </w:p>
              </w:tc>
              <w:tc>
                <w:tcPr>
                  <w:tcW w:w="392" w:type="pct"/>
                  <w:vMerge w:val="restart"/>
                  <w:tcBorders>
                    <w:top w:val="single" w:color="auto" w:sz="4" w:space="0"/>
                    <w:left w:val="single" w:color="auto" w:sz="4" w:space="0"/>
                    <w:right w:val="single" w:color="auto" w:sz="4" w:space="0"/>
                  </w:tcBorders>
                  <w:vAlign w:val="center"/>
                </w:tcPr>
                <w:p>
                  <w:pPr>
                    <w:pStyle w:val="49"/>
                    <w:rPr>
                      <w:b/>
                      <w:bCs/>
                    </w:rPr>
                  </w:pPr>
                  <w:r>
                    <w:rPr>
                      <w:b/>
                      <w:bCs/>
                    </w:rPr>
                    <w:t>排放</w:t>
                  </w:r>
                </w:p>
                <w:p>
                  <w:pPr>
                    <w:pStyle w:val="49"/>
                    <w:rPr>
                      <w:b/>
                      <w:bCs/>
                    </w:rPr>
                  </w:pPr>
                  <w:r>
                    <w:rPr>
                      <w:b/>
                      <w:bCs/>
                    </w:rPr>
                    <w:t>因子</w:t>
                  </w:r>
                </w:p>
              </w:tc>
              <w:tc>
                <w:tcPr>
                  <w:tcW w:w="393" w:type="pct"/>
                  <w:vMerge w:val="restart"/>
                  <w:tcBorders>
                    <w:top w:val="single" w:color="auto" w:sz="4" w:space="0"/>
                    <w:left w:val="single" w:color="auto" w:sz="4" w:space="0"/>
                    <w:right w:val="single" w:color="auto" w:sz="4" w:space="0"/>
                  </w:tcBorders>
                  <w:vAlign w:val="center"/>
                </w:tcPr>
                <w:p>
                  <w:pPr>
                    <w:pStyle w:val="49"/>
                    <w:rPr>
                      <w:b/>
                      <w:bCs/>
                    </w:rPr>
                  </w:pPr>
                  <w:r>
                    <w:rPr>
                      <w:b/>
                      <w:bCs/>
                    </w:rPr>
                    <w:t>污染物排放速率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9" w:type="pct"/>
                  <w:vMerge w:val="continue"/>
                  <w:tcBorders>
                    <w:left w:val="single" w:color="auto" w:sz="4" w:space="0"/>
                    <w:bottom w:val="single" w:color="auto" w:sz="6" w:space="0"/>
                    <w:right w:val="single" w:color="auto" w:sz="4" w:space="0"/>
                  </w:tcBorders>
                  <w:vAlign w:val="center"/>
                </w:tcPr>
                <w:p>
                  <w:pPr>
                    <w:pStyle w:val="49"/>
                    <w:rPr>
                      <w:b/>
                      <w:bCs/>
                    </w:rPr>
                  </w:pPr>
                </w:p>
              </w:tc>
              <w:tc>
                <w:tcPr>
                  <w:tcW w:w="533" w:type="pct"/>
                  <w:tcBorders>
                    <w:top w:val="single" w:color="auto" w:sz="4" w:space="0"/>
                    <w:left w:val="single" w:color="auto" w:sz="4" w:space="0"/>
                    <w:bottom w:val="single" w:color="auto" w:sz="4" w:space="0"/>
                    <w:right w:val="single" w:color="auto" w:sz="4" w:space="0"/>
                  </w:tcBorders>
                  <w:vAlign w:val="center"/>
                </w:tcPr>
                <w:p>
                  <w:pPr>
                    <w:pStyle w:val="49"/>
                    <w:rPr>
                      <w:b/>
                      <w:bCs/>
                    </w:rPr>
                  </w:pPr>
                  <w:r>
                    <w:rPr>
                      <w:b/>
                      <w:bCs/>
                    </w:rPr>
                    <w:t>X</w:t>
                  </w:r>
                </w:p>
              </w:tc>
              <w:tc>
                <w:tcPr>
                  <w:tcW w:w="475" w:type="pct"/>
                  <w:tcBorders>
                    <w:top w:val="single" w:color="auto" w:sz="4" w:space="0"/>
                    <w:left w:val="single" w:color="auto" w:sz="4" w:space="0"/>
                    <w:bottom w:val="single" w:color="auto" w:sz="4" w:space="0"/>
                    <w:right w:val="single" w:color="auto" w:sz="4" w:space="0"/>
                  </w:tcBorders>
                  <w:vAlign w:val="center"/>
                </w:tcPr>
                <w:p>
                  <w:pPr>
                    <w:pStyle w:val="49"/>
                    <w:rPr>
                      <w:b/>
                      <w:bCs/>
                    </w:rPr>
                  </w:pPr>
                  <w:r>
                    <w:rPr>
                      <w:b/>
                      <w:bCs/>
                    </w:rPr>
                    <w:t>Y</w:t>
                  </w:r>
                </w:p>
              </w:tc>
              <w:tc>
                <w:tcPr>
                  <w:tcW w:w="392" w:type="pct"/>
                  <w:vMerge w:val="continue"/>
                  <w:tcBorders>
                    <w:left w:val="single" w:color="auto" w:sz="4" w:space="0"/>
                    <w:bottom w:val="single" w:color="auto" w:sz="4" w:space="0"/>
                    <w:right w:val="single" w:color="auto" w:sz="4" w:space="0"/>
                  </w:tcBorders>
                  <w:vAlign w:val="center"/>
                </w:tcPr>
                <w:p>
                  <w:pPr>
                    <w:pStyle w:val="49"/>
                    <w:rPr>
                      <w:b/>
                      <w:bCs/>
                    </w:rPr>
                  </w:pPr>
                </w:p>
              </w:tc>
              <w:tc>
                <w:tcPr>
                  <w:tcW w:w="392" w:type="pct"/>
                  <w:vMerge w:val="continue"/>
                  <w:tcBorders>
                    <w:left w:val="single" w:color="auto" w:sz="4" w:space="0"/>
                    <w:bottom w:val="single" w:color="auto" w:sz="4" w:space="0"/>
                    <w:right w:val="single" w:color="auto" w:sz="4" w:space="0"/>
                  </w:tcBorders>
                  <w:vAlign w:val="center"/>
                </w:tcPr>
                <w:p>
                  <w:pPr>
                    <w:pStyle w:val="49"/>
                    <w:rPr>
                      <w:b/>
                      <w:bCs/>
                    </w:rPr>
                  </w:pPr>
                </w:p>
              </w:tc>
              <w:tc>
                <w:tcPr>
                  <w:tcW w:w="392" w:type="pct"/>
                  <w:vMerge w:val="continue"/>
                  <w:tcBorders>
                    <w:left w:val="single" w:color="auto" w:sz="4" w:space="0"/>
                    <w:bottom w:val="single" w:color="auto" w:sz="4" w:space="0"/>
                    <w:right w:val="single" w:color="auto" w:sz="4" w:space="0"/>
                  </w:tcBorders>
                  <w:vAlign w:val="center"/>
                </w:tcPr>
                <w:p>
                  <w:pPr>
                    <w:pStyle w:val="49"/>
                    <w:rPr>
                      <w:b/>
                      <w:bCs/>
                    </w:rPr>
                  </w:pPr>
                </w:p>
              </w:tc>
              <w:tc>
                <w:tcPr>
                  <w:tcW w:w="392" w:type="pct"/>
                  <w:vMerge w:val="continue"/>
                  <w:tcBorders>
                    <w:left w:val="single" w:color="auto" w:sz="4" w:space="0"/>
                    <w:bottom w:val="single" w:color="auto" w:sz="4" w:space="0"/>
                    <w:right w:val="single" w:color="auto" w:sz="4" w:space="0"/>
                  </w:tcBorders>
                  <w:vAlign w:val="center"/>
                </w:tcPr>
                <w:p>
                  <w:pPr>
                    <w:pStyle w:val="49"/>
                    <w:rPr>
                      <w:b/>
                      <w:bCs/>
                    </w:rPr>
                  </w:pPr>
                </w:p>
              </w:tc>
              <w:tc>
                <w:tcPr>
                  <w:tcW w:w="392" w:type="pct"/>
                  <w:vMerge w:val="continue"/>
                  <w:tcBorders>
                    <w:left w:val="single" w:color="auto" w:sz="4" w:space="0"/>
                    <w:bottom w:val="single" w:color="auto" w:sz="4" w:space="0"/>
                    <w:right w:val="single" w:color="auto" w:sz="4" w:space="0"/>
                  </w:tcBorders>
                  <w:vAlign w:val="center"/>
                </w:tcPr>
                <w:p>
                  <w:pPr>
                    <w:pStyle w:val="49"/>
                    <w:rPr>
                      <w:b/>
                      <w:bCs/>
                    </w:rPr>
                  </w:pPr>
                </w:p>
              </w:tc>
              <w:tc>
                <w:tcPr>
                  <w:tcW w:w="392" w:type="pct"/>
                  <w:vMerge w:val="continue"/>
                  <w:tcBorders>
                    <w:left w:val="single" w:color="auto" w:sz="4" w:space="0"/>
                    <w:bottom w:val="single" w:color="auto" w:sz="4" w:space="0"/>
                    <w:right w:val="single" w:color="auto" w:sz="4" w:space="0"/>
                  </w:tcBorders>
                  <w:vAlign w:val="center"/>
                </w:tcPr>
                <w:p>
                  <w:pPr>
                    <w:pStyle w:val="49"/>
                    <w:rPr>
                      <w:b/>
                      <w:bCs/>
                    </w:rPr>
                  </w:pPr>
                </w:p>
              </w:tc>
              <w:tc>
                <w:tcPr>
                  <w:tcW w:w="392" w:type="pct"/>
                  <w:vMerge w:val="continue"/>
                  <w:tcBorders>
                    <w:left w:val="single" w:color="auto" w:sz="4" w:space="0"/>
                    <w:bottom w:val="single" w:color="auto" w:sz="4" w:space="0"/>
                    <w:right w:val="single" w:color="auto" w:sz="4" w:space="0"/>
                  </w:tcBorders>
                  <w:vAlign w:val="center"/>
                </w:tcPr>
                <w:p>
                  <w:pPr>
                    <w:pStyle w:val="49"/>
                    <w:rPr>
                      <w:b/>
                      <w:bCs/>
                    </w:rPr>
                  </w:pPr>
                </w:p>
              </w:tc>
              <w:tc>
                <w:tcPr>
                  <w:tcW w:w="392" w:type="pct"/>
                  <w:vMerge w:val="continue"/>
                  <w:tcBorders>
                    <w:left w:val="single" w:color="auto" w:sz="4" w:space="0"/>
                    <w:bottom w:val="single" w:color="auto" w:sz="4" w:space="0"/>
                    <w:right w:val="single" w:color="auto" w:sz="4" w:space="0"/>
                  </w:tcBorders>
                  <w:vAlign w:val="center"/>
                </w:tcPr>
                <w:p>
                  <w:pPr>
                    <w:pStyle w:val="49"/>
                    <w:rPr>
                      <w:b/>
                      <w:bCs/>
                    </w:rPr>
                  </w:pPr>
                </w:p>
              </w:tc>
              <w:tc>
                <w:tcPr>
                  <w:tcW w:w="393" w:type="pct"/>
                  <w:vMerge w:val="continue"/>
                  <w:tcBorders>
                    <w:left w:val="single" w:color="auto" w:sz="4" w:space="0"/>
                    <w:bottom w:val="single" w:color="auto" w:sz="4" w:space="0"/>
                    <w:right w:val="single" w:color="auto" w:sz="4" w:space="0"/>
                  </w:tcBorders>
                  <w:vAlign w:val="center"/>
                </w:tcPr>
                <w:p>
                  <w:pPr>
                    <w:pStyle w:val="49"/>
                    <w:rPr>
                      <w:b/>
                      <w:bC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9" w:type="pct"/>
                  <w:vMerge w:val="continue"/>
                  <w:tcBorders>
                    <w:left w:val="single" w:color="auto" w:sz="4" w:space="0"/>
                    <w:bottom w:val="single" w:color="auto" w:sz="6" w:space="0"/>
                    <w:right w:val="single" w:color="auto" w:sz="4" w:space="0"/>
                  </w:tcBorders>
                  <w:vAlign w:val="center"/>
                </w:tcPr>
                <w:p>
                  <w:pPr>
                    <w:pStyle w:val="49"/>
                    <w:rPr>
                      <w:b/>
                      <w:bCs/>
                    </w:rPr>
                  </w:pPr>
                </w:p>
              </w:tc>
              <w:tc>
                <w:tcPr>
                  <w:tcW w:w="533" w:type="pct"/>
                  <w:tcBorders>
                    <w:top w:val="single" w:color="auto" w:sz="4" w:space="0"/>
                    <w:left w:val="single" w:color="auto" w:sz="4" w:space="0"/>
                    <w:bottom w:val="single" w:color="auto" w:sz="6" w:space="0"/>
                    <w:right w:val="single" w:color="auto" w:sz="4" w:space="0"/>
                  </w:tcBorders>
                  <w:vAlign w:val="center"/>
                </w:tcPr>
                <w:p>
                  <w:pPr>
                    <w:pStyle w:val="49"/>
                    <w:rPr>
                      <w:b/>
                      <w:bCs/>
                    </w:rPr>
                  </w:pPr>
                  <w:r>
                    <w:rPr>
                      <w:b/>
                      <w:bCs/>
                    </w:rPr>
                    <w:t>m</w:t>
                  </w:r>
                  <w:r>
                    <w:rPr>
                      <w:rFonts w:hint="eastAsia"/>
                      <w:b/>
                      <w:bCs/>
                    </w:rPr>
                    <w:t>*</w:t>
                  </w:r>
                </w:p>
              </w:tc>
              <w:tc>
                <w:tcPr>
                  <w:tcW w:w="475" w:type="pct"/>
                  <w:tcBorders>
                    <w:top w:val="single" w:color="auto" w:sz="4" w:space="0"/>
                    <w:left w:val="single" w:color="auto" w:sz="4" w:space="0"/>
                    <w:bottom w:val="single" w:color="auto" w:sz="6" w:space="0"/>
                    <w:right w:val="single" w:color="auto" w:sz="4" w:space="0"/>
                  </w:tcBorders>
                  <w:vAlign w:val="center"/>
                </w:tcPr>
                <w:p>
                  <w:pPr>
                    <w:pStyle w:val="49"/>
                    <w:rPr>
                      <w:b/>
                      <w:bCs/>
                    </w:rPr>
                  </w:pPr>
                  <w:r>
                    <w:rPr>
                      <w:b/>
                      <w:bCs/>
                    </w:rPr>
                    <w:t>m</w:t>
                  </w:r>
                  <w:r>
                    <w:rPr>
                      <w:rFonts w:hint="eastAsia"/>
                      <w:b/>
                      <w:bCs/>
                    </w:rPr>
                    <w:t>*</w:t>
                  </w:r>
                </w:p>
              </w:tc>
              <w:tc>
                <w:tcPr>
                  <w:tcW w:w="392" w:type="pct"/>
                  <w:tcBorders>
                    <w:top w:val="single" w:color="auto" w:sz="4" w:space="0"/>
                    <w:left w:val="single" w:color="auto" w:sz="4" w:space="0"/>
                    <w:bottom w:val="single" w:color="auto" w:sz="6" w:space="0"/>
                    <w:right w:val="single" w:color="auto" w:sz="4" w:space="0"/>
                  </w:tcBorders>
                  <w:vAlign w:val="center"/>
                </w:tcPr>
                <w:p>
                  <w:pPr>
                    <w:pStyle w:val="49"/>
                    <w:rPr>
                      <w:b/>
                      <w:bCs/>
                    </w:rPr>
                  </w:pPr>
                  <w:r>
                    <w:rPr>
                      <w:b/>
                      <w:bCs/>
                    </w:rPr>
                    <w:t>m</w:t>
                  </w:r>
                </w:p>
              </w:tc>
              <w:tc>
                <w:tcPr>
                  <w:tcW w:w="392" w:type="pct"/>
                  <w:tcBorders>
                    <w:top w:val="single" w:color="auto" w:sz="4" w:space="0"/>
                    <w:left w:val="single" w:color="auto" w:sz="4" w:space="0"/>
                    <w:bottom w:val="single" w:color="auto" w:sz="6" w:space="0"/>
                    <w:right w:val="single" w:color="auto" w:sz="4" w:space="0"/>
                  </w:tcBorders>
                  <w:vAlign w:val="center"/>
                </w:tcPr>
                <w:p>
                  <w:pPr>
                    <w:pStyle w:val="49"/>
                    <w:rPr>
                      <w:b/>
                      <w:bCs/>
                    </w:rPr>
                  </w:pPr>
                  <w:r>
                    <w:rPr>
                      <w:rFonts w:hint="eastAsia"/>
                      <w:b/>
                      <w:bCs/>
                    </w:rPr>
                    <w:t>m</w:t>
                  </w:r>
                </w:p>
              </w:tc>
              <w:tc>
                <w:tcPr>
                  <w:tcW w:w="392" w:type="pct"/>
                  <w:tcBorders>
                    <w:top w:val="single" w:color="auto" w:sz="4" w:space="0"/>
                    <w:left w:val="single" w:color="auto" w:sz="4" w:space="0"/>
                    <w:bottom w:val="single" w:color="auto" w:sz="6" w:space="0"/>
                    <w:right w:val="single" w:color="auto" w:sz="4" w:space="0"/>
                  </w:tcBorders>
                  <w:vAlign w:val="center"/>
                </w:tcPr>
                <w:p>
                  <w:pPr>
                    <w:pStyle w:val="49"/>
                    <w:rPr>
                      <w:b/>
                      <w:bCs/>
                    </w:rPr>
                  </w:pPr>
                  <w:r>
                    <w:rPr>
                      <w:b/>
                      <w:bCs/>
                    </w:rPr>
                    <w:t>m</w:t>
                  </w:r>
                </w:p>
              </w:tc>
              <w:tc>
                <w:tcPr>
                  <w:tcW w:w="392" w:type="pct"/>
                  <w:tcBorders>
                    <w:top w:val="single" w:color="auto" w:sz="4" w:space="0"/>
                    <w:left w:val="single" w:color="auto" w:sz="4" w:space="0"/>
                    <w:bottom w:val="single" w:color="auto" w:sz="6" w:space="0"/>
                    <w:right w:val="single" w:color="auto" w:sz="4" w:space="0"/>
                  </w:tcBorders>
                  <w:vAlign w:val="center"/>
                </w:tcPr>
                <w:p>
                  <w:pPr>
                    <w:pStyle w:val="49"/>
                    <w:rPr>
                      <w:b/>
                      <w:bCs/>
                    </w:rPr>
                  </w:pPr>
                  <w:r>
                    <w:rPr>
                      <w:b/>
                      <w:bCs/>
                    </w:rPr>
                    <w:t>°</w:t>
                  </w:r>
                </w:p>
              </w:tc>
              <w:tc>
                <w:tcPr>
                  <w:tcW w:w="392" w:type="pct"/>
                  <w:tcBorders>
                    <w:top w:val="single" w:color="auto" w:sz="4" w:space="0"/>
                    <w:left w:val="single" w:color="auto" w:sz="4" w:space="0"/>
                    <w:bottom w:val="single" w:color="auto" w:sz="6" w:space="0"/>
                    <w:right w:val="single" w:color="auto" w:sz="4" w:space="0"/>
                  </w:tcBorders>
                  <w:vAlign w:val="center"/>
                </w:tcPr>
                <w:p>
                  <w:pPr>
                    <w:pStyle w:val="49"/>
                    <w:rPr>
                      <w:b/>
                      <w:bCs/>
                    </w:rPr>
                  </w:pPr>
                  <w:r>
                    <w:rPr>
                      <w:b/>
                      <w:bCs/>
                    </w:rPr>
                    <w:t>m</w:t>
                  </w:r>
                </w:p>
              </w:tc>
              <w:tc>
                <w:tcPr>
                  <w:tcW w:w="392" w:type="pct"/>
                  <w:tcBorders>
                    <w:top w:val="single" w:color="auto" w:sz="4" w:space="0"/>
                    <w:left w:val="single" w:color="auto" w:sz="4" w:space="0"/>
                    <w:bottom w:val="single" w:color="auto" w:sz="6" w:space="0"/>
                    <w:right w:val="single" w:color="auto" w:sz="4" w:space="0"/>
                  </w:tcBorders>
                  <w:vAlign w:val="center"/>
                </w:tcPr>
                <w:p>
                  <w:pPr>
                    <w:pStyle w:val="49"/>
                    <w:rPr>
                      <w:b/>
                      <w:bCs/>
                    </w:rPr>
                  </w:pPr>
                  <w:r>
                    <w:rPr>
                      <w:b/>
                      <w:bCs/>
                    </w:rPr>
                    <w:t>h</w:t>
                  </w:r>
                </w:p>
              </w:tc>
              <w:tc>
                <w:tcPr>
                  <w:tcW w:w="392" w:type="pct"/>
                  <w:tcBorders>
                    <w:top w:val="single" w:color="auto" w:sz="4" w:space="0"/>
                    <w:left w:val="single" w:color="auto" w:sz="4" w:space="0"/>
                    <w:bottom w:val="single" w:color="auto" w:sz="6" w:space="0"/>
                    <w:right w:val="single" w:color="auto" w:sz="4" w:space="0"/>
                  </w:tcBorders>
                  <w:vAlign w:val="center"/>
                </w:tcPr>
                <w:p>
                  <w:pPr>
                    <w:pStyle w:val="49"/>
                    <w:rPr>
                      <w:b/>
                      <w:bCs/>
                    </w:rPr>
                  </w:pPr>
                  <w:r>
                    <w:rPr>
                      <w:rFonts w:hint="eastAsia"/>
                      <w:b/>
                      <w:bCs/>
                    </w:rPr>
                    <w:t>/</w:t>
                  </w:r>
                </w:p>
              </w:tc>
              <w:tc>
                <w:tcPr>
                  <w:tcW w:w="392" w:type="pct"/>
                  <w:tcBorders>
                    <w:top w:val="single" w:color="auto" w:sz="4" w:space="0"/>
                    <w:left w:val="single" w:color="auto" w:sz="4" w:space="0"/>
                    <w:bottom w:val="single" w:color="auto" w:sz="6" w:space="0"/>
                    <w:right w:val="single" w:color="auto" w:sz="4" w:space="0"/>
                  </w:tcBorders>
                  <w:vAlign w:val="center"/>
                </w:tcPr>
                <w:p>
                  <w:pPr>
                    <w:pStyle w:val="49"/>
                    <w:rPr>
                      <w:b/>
                      <w:bCs/>
                    </w:rPr>
                  </w:pPr>
                  <w:r>
                    <w:rPr>
                      <w:rFonts w:hint="eastAsia"/>
                      <w:b/>
                      <w:bCs/>
                    </w:rPr>
                    <w:t>/</w:t>
                  </w:r>
                </w:p>
              </w:tc>
              <w:tc>
                <w:tcPr>
                  <w:tcW w:w="393" w:type="pct"/>
                  <w:tcBorders>
                    <w:top w:val="single" w:color="auto" w:sz="4" w:space="0"/>
                    <w:left w:val="single" w:color="auto" w:sz="4" w:space="0"/>
                    <w:bottom w:val="single" w:color="auto" w:sz="6" w:space="0"/>
                    <w:right w:val="single" w:color="auto" w:sz="4" w:space="0"/>
                  </w:tcBorders>
                  <w:vAlign w:val="center"/>
                </w:tcPr>
                <w:p>
                  <w:pPr>
                    <w:pStyle w:val="49"/>
                    <w:rPr>
                      <w:b/>
                      <w:bCs/>
                    </w:rPr>
                  </w:pPr>
                  <w:r>
                    <w:rPr>
                      <w:b/>
                      <w:bCs/>
                    </w:rPr>
                    <w:t>kg/h</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9" w:type="pct"/>
                  <w:tcBorders>
                    <w:top w:val="single" w:color="auto" w:sz="4" w:space="0"/>
                    <w:left w:val="single" w:color="auto" w:sz="4" w:space="0"/>
                    <w:right w:val="single" w:color="auto" w:sz="4" w:space="0"/>
                  </w:tcBorders>
                  <w:vAlign w:val="center"/>
                </w:tcPr>
                <w:p>
                  <w:pPr>
                    <w:pStyle w:val="49"/>
                  </w:pPr>
                  <w:r>
                    <w:rPr>
                      <w:rFonts w:hint="eastAsia"/>
                    </w:rPr>
                    <w:t>3层生产车间</w:t>
                  </w:r>
                </w:p>
              </w:tc>
              <w:tc>
                <w:tcPr>
                  <w:tcW w:w="533" w:type="pct"/>
                  <w:tcBorders>
                    <w:top w:val="single" w:color="auto" w:sz="4" w:space="0"/>
                    <w:left w:val="single" w:color="auto" w:sz="4" w:space="0"/>
                    <w:right w:val="single" w:color="auto" w:sz="4" w:space="0"/>
                  </w:tcBorders>
                  <w:vAlign w:val="center"/>
                </w:tcPr>
                <w:p>
                  <w:pPr>
                    <w:pStyle w:val="49"/>
                  </w:pPr>
                  <w:r>
                    <w:t>E</w:t>
                  </w:r>
                  <w:r>
                    <w:rPr>
                      <w:rFonts w:hint="eastAsia"/>
                    </w:rPr>
                    <w:t>120.437079°</w:t>
                  </w:r>
                </w:p>
              </w:tc>
              <w:tc>
                <w:tcPr>
                  <w:tcW w:w="475" w:type="pct"/>
                  <w:tcBorders>
                    <w:top w:val="single" w:color="auto" w:sz="4" w:space="0"/>
                    <w:left w:val="single" w:color="auto" w:sz="4" w:space="0"/>
                    <w:right w:val="single" w:color="auto" w:sz="4" w:space="0"/>
                  </w:tcBorders>
                  <w:vAlign w:val="center"/>
                </w:tcPr>
                <w:p>
                  <w:pPr>
                    <w:pStyle w:val="49"/>
                  </w:pPr>
                  <w:r>
                    <w:t>N</w:t>
                  </w:r>
                  <w:r>
                    <w:rPr>
                      <w:rFonts w:hint="eastAsia"/>
                    </w:rPr>
                    <w:t>30.547156°</w:t>
                  </w:r>
                </w:p>
              </w:tc>
              <w:tc>
                <w:tcPr>
                  <w:tcW w:w="675" w:type="dxa"/>
                  <w:tcBorders>
                    <w:top w:val="single" w:color="auto" w:sz="4" w:space="0"/>
                    <w:left w:val="single" w:color="auto" w:sz="4" w:space="0"/>
                    <w:right w:val="single" w:color="auto" w:sz="4" w:space="0"/>
                  </w:tcBorders>
                  <w:vAlign w:val="center"/>
                </w:tcPr>
                <w:p>
                  <w:pPr>
                    <w:pStyle w:val="49"/>
                  </w:pPr>
                  <w:r>
                    <w:rPr>
                      <w:rFonts w:hint="eastAsia"/>
                    </w:rPr>
                    <w:t>12</w:t>
                  </w:r>
                </w:p>
              </w:tc>
              <w:tc>
                <w:tcPr>
                  <w:tcW w:w="675" w:type="dxa"/>
                  <w:tcBorders>
                    <w:top w:val="single" w:color="auto" w:sz="6" w:space="0"/>
                    <w:left w:val="single" w:color="auto" w:sz="6" w:space="0"/>
                    <w:right w:val="single" w:color="auto" w:sz="6" w:space="0"/>
                  </w:tcBorders>
                  <w:vAlign w:val="center"/>
                </w:tcPr>
                <w:p>
                  <w:pPr>
                    <w:pStyle w:val="49"/>
                  </w:pPr>
                  <w:r>
                    <w:rPr>
                      <w:rFonts w:hint="eastAsia"/>
                    </w:rPr>
                    <w:t>25</w:t>
                  </w:r>
                </w:p>
              </w:tc>
              <w:tc>
                <w:tcPr>
                  <w:tcW w:w="675" w:type="dxa"/>
                  <w:tcBorders>
                    <w:top w:val="single" w:color="auto" w:sz="6" w:space="0"/>
                    <w:left w:val="single" w:color="auto" w:sz="6" w:space="0"/>
                    <w:right w:val="single" w:color="auto" w:sz="6" w:space="0"/>
                  </w:tcBorders>
                  <w:vAlign w:val="center"/>
                </w:tcPr>
                <w:p>
                  <w:pPr>
                    <w:pStyle w:val="49"/>
                  </w:pPr>
                  <w:r>
                    <w:rPr>
                      <w:rFonts w:hint="eastAsia"/>
                    </w:rPr>
                    <w:t>17</w:t>
                  </w:r>
                </w:p>
              </w:tc>
              <w:tc>
                <w:tcPr>
                  <w:tcW w:w="675" w:type="dxa"/>
                  <w:tcBorders>
                    <w:top w:val="single" w:color="auto" w:sz="6" w:space="0"/>
                    <w:left w:val="single" w:color="auto" w:sz="6" w:space="0"/>
                    <w:right w:val="single" w:color="auto" w:sz="6" w:space="0"/>
                  </w:tcBorders>
                  <w:vAlign w:val="center"/>
                </w:tcPr>
                <w:p>
                  <w:pPr>
                    <w:pStyle w:val="49"/>
                  </w:pPr>
                  <w:r>
                    <w:rPr>
                      <w:rFonts w:hint="eastAsia"/>
                    </w:rPr>
                    <w:t>10</w:t>
                  </w:r>
                </w:p>
              </w:tc>
              <w:tc>
                <w:tcPr>
                  <w:tcW w:w="392" w:type="pct"/>
                  <w:tcBorders>
                    <w:top w:val="single" w:color="auto" w:sz="6" w:space="0"/>
                    <w:left w:val="single" w:color="auto" w:sz="6" w:space="0"/>
                    <w:right w:val="single" w:color="auto" w:sz="6" w:space="0"/>
                  </w:tcBorders>
                  <w:vAlign w:val="center"/>
                </w:tcPr>
                <w:p>
                  <w:pPr>
                    <w:pStyle w:val="49"/>
                  </w:pPr>
                  <w:r>
                    <w:rPr>
                      <w:rFonts w:hint="eastAsia"/>
                    </w:rPr>
                    <w:t>14</w:t>
                  </w:r>
                </w:p>
              </w:tc>
              <w:tc>
                <w:tcPr>
                  <w:tcW w:w="392" w:type="pct"/>
                  <w:tcBorders>
                    <w:top w:val="single" w:color="auto" w:sz="6" w:space="0"/>
                    <w:left w:val="single" w:color="auto" w:sz="6" w:space="0"/>
                    <w:right w:val="single" w:color="auto" w:sz="6" w:space="0"/>
                  </w:tcBorders>
                  <w:vAlign w:val="center"/>
                </w:tcPr>
                <w:p>
                  <w:pPr>
                    <w:pStyle w:val="49"/>
                  </w:pPr>
                  <w:r>
                    <w:rPr>
                      <w:rFonts w:hint="eastAsia"/>
                    </w:rPr>
                    <w:t>2400</w:t>
                  </w:r>
                </w:p>
              </w:tc>
              <w:tc>
                <w:tcPr>
                  <w:tcW w:w="392" w:type="pct"/>
                  <w:tcBorders>
                    <w:top w:val="single" w:color="auto" w:sz="6" w:space="0"/>
                    <w:left w:val="single" w:color="auto" w:sz="6" w:space="0"/>
                    <w:right w:val="single" w:color="auto" w:sz="6" w:space="0"/>
                  </w:tcBorders>
                  <w:vAlign w:val="center"/>
                </w:tcPr>
                <w:p>
                  <w:pPr>
                    <w:pStyle w:val="49"/>
                  </w:pPr>
                  <w:r>
                    <w:t>正常</w:t>
                  </w:r>
                </w:p>
              </w:tc>
              <w:tc>
                <w:tcPr>
                  <w:tcW w:w="392" w:type="pct"/>
                  <w:tcBorders>
                    <w:top w:val="single" w:color="auto" w:sz="6" w:space="0"/>
                    <w:left w:val="single" w:color="auto" w:sz="6" w:space="0"/>
                    <w:right w:val="single" w:color="auto" w:sz="6" w:space="0"/>
                  </w:tcBorders>
                  <w:vAlign w:val="center"/>
                </w:tcPr>
                <w:p>
                  <w:pPr>
                    <w:pStyle w:val="49"/>
                  </w:pPr>
                  <w:r>
                    <w:rPr>
                      <w:rFonts w:hint="eastAsia"/>
                    </w:rPr>
                    <w:t>PM</w:t>
                  </w:r>
                  <w:r>
                    <w:rPr>
                      <w:rFonts w:hint="eastAsia"/>
                      <w:vertAlign w:val="subscript"/>
                    </w:rPr>
                    <w:t>10</w:t>
                  </w:r>
                </w:p>
              </w:tc>
              <w:tc>
                <w:tcPr>
                  <w:tcW w:w="393" w:type="pct"/>
                  <w:tcBorders>
                    <w:top w:val="single" w:color="auto" w:sz="6" w:space="0"/>
                    <w:left w:val="single" w:color="auto" w:sz="6" w:space="0"/>
                    <w:bottom w:val="single" w:color="auto" w:sz="6" w:space="0"/>
                    <w:right w:val="single" w:color="auto" w:sz="6" w:space="0"/>
                  </w:tcBorders>
                  <w:vAlign w:val="center"/>
                </w:tcPr>
                <w:p>
                  <w:pPr>
                    <w:pStyle w:val="49"/>
                  </w:pPr>
                  <w:r>
                    <w:rPr>
                      <w:rFonts w:hint="eastAsia"/>
                    </w:rPr>
                    <w:t>0.0004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9" w:type="pct"/>
                  <w:tcBorders>
                    <w:top w:val="single" w:color="auto" w:sz="4" w:space="0"/>
                    <w:left w:val="single" w:color="auto" w:sz="4" w:space="0"/>
                    <w:right w:val="single" w:color="auto" w:sz="4" w:space="0"/>
                  </w:tcBorders>
                  <w:vAlign w:val="center"/>
                </w:tcPr>
                <w:p>
                  <w:pPr>
                    <w:pStyle w:val="49"/>
                  </w:pPr>
                  <w:r>
                    <w:rPr>
                      <w:rFonts w:hint="eastAsia"/>
                    </w:rPr>
                    <w:t>2层</w:t>
                  </w:r>
                  <w:r>
                    <w:t>生产车间</w:t>
                  </w:r>
                </w:p>
              </w:tc>
              <w:tc>
                <w:tcPr>
                  <w:tcW w:w="533" w:type="pct"/>
                  <w:tcBorders>
                    <w:top w:val="single" w:color="auto" w:sz="4" w:space="0"/>
                    <w:left w:val="single" w:color="auto" w:sz="4" w:space="0"/>
                    <w:right w:val="single" w:color="auto" w:sz="4" w:space="0"/>
                  </w:tcBorders>
                  <w:vAlign w:val="center"/>
                </w:tcPr>
                <w:p>
                  <w:pPr>
                    <w:pStyle w:val="49"/>
                  </w:pPr>
                  <w:r>
                    <w:t>E</w:t>
                  </w:r>
                  <w:r>
                    <w:rPr>
                      <w:rFonts w:hint="eastAsia"/>
                    </w:rPr>
                    <w:t>120.437079°</w:t>
                  </w:r>
                </w:p>
              </w:tc>
              <w:tc>
                <w:tcPr>
                  <w:tcW w:w="475" w:type="pct"/>
                  <w:tcBorders>
                    <w:top w:val="single" w:color="auto" w:sz="4" w:space="0"/>
                    <w:left w:val="single" w:color="auto" w:sz="4" w:space="0"/>
                    <w:right w:val="single" w:color="auto" w:sz="4" w:space="0"/>
                  </w:tcBorders>
                  <w:vAlign w:val="center"/>
                </w:tcPr>
                <w:p>
                  <w:pPr>
                    <w:pStyle w:val="49"/>
                  </w:pPr>
                  <w:r>
                    <w:t>N</w:t>
                  </w:r>
                  <w:r>
                    <w:rPr>
                      <w:rFonts w:hint="eastAsia"/>
                    </w:rPr>
                    <w:t>30.547156°</w:t>
                  </w:r>
                </w:p>
              </w:tc>
              <w:tc>
                <w:tcPr>
                  <w:tcW w:w="392" w:type="pct"/>
                  <w:tcBorders>
                    <w:top w:val="single" w:color="auto" w:sz="4" w:space="0"/>
                    <w:left w:val="single" w:color="auto" w:sz="4" w:space="0"/>
                    <w:right w:val="single" w:color="auto" w:sz="4" w:space="0"/>
                  </w:tcBorders>
                  <w:vAlign w:val="center"/>
                </w:tcPr>
                <w:p>
                  <w:pPr>
                    <w:pStyle w:val="49"/>
                  </w:pPr>
                  <w:r>
                    <w:rPr>
                      <w:rFonts w:hint="eastAsia"/>
                    </w:rPr>
                    <w:t>9</w:t>
                  </w:r>
                </w:p>
              </w:tc>
              <w:tc>
                <w:tcPr>
                  <w:tcW w:w="675" w:type="dxa"/>
                  <w:tcBorders>
                    <w:top w:val="single" w:color="auto" w:sz="6" w:space="0"/>
                    <w:left w:val="single" w:color="auto" w:sz="6" w:space="0"/>
                    <w:right w:val="single" w:color="auto" w:sz="6" w:space="0"/>
                  </w:tcBorders>
                  <w:vAlign w:val="center"/>
                </w:tcPr>
                <w:p>
                  <w:pPr>
                    <w:pStyle w:val="49"/>
                  </w:pPr>
                  <w:r>
                    <w:rPr>
                      <w:rFonts w:hint="eastAsia"/>
                    </w:rPr>
                    <w:t>25</w:t>
                  </w:r>
                </w:p>
              </w:tc>
              <w:tc>
                <w:tcPr>
                  <w:tcW w:w="675" w:type="dxa"/>
                  <w:tcBorders>
                    <w:top w:val="single" w:color="auto" w:sz="6" w:space="0"/>
                    <w:left w:val="single" w:color="auto" w:sz="6" w:space="0"/>
                    <w:right w:val="single" w:color="auto" w:sz="6" w:space="0"/>
                  </w:tcBorders>
                  <w:vAlign w:val="center"/>
                </w:tcPr>
                <w:p>
                  <w:pPr>
                    <w:pStyle w:val="49"/>
                  </w:pPr>
                  <w:r>
                    <w:rPr>
                      <w:rFonts w:hint="eastAsia"/>
                    </w:rPr>
                    <w:t>17</w:t>
                  </w:r>
                </w:p>
              </w:tc>
              <w:tc>
                <w:tcPr>
                  <w:tcW w:w="392" w:type="pct"/>
                  <w:tcBorders>
                    <w:top w:val="single" w:color="auto" w:sz="6" w:space="0"/>
                    <w:left w:val="single" w:color="auto" w:sz="6" w:space="0"/>
                    <w:right w:val="single" w:color="auto" w:sz="6" w:space="0"/>
                  </w:tcBorders>
                  <w:vAlign w:val="center"/>
                </w:tcPr>
                <w:p>
                  <w:pPr>
                    <w:pStyle w:val="49"/>
                  </w:pPr>
                  <w:r>
                    <w:rPr>
                      <w:rFonts w:hint="eastAsia"/>
                    </w:rPr>
                    <w:t>10</w:t>
                  </w:r>
                </w:p>
              </w:tc>
              <w:tc>
                <w:tcPr>
                  <w:tcW w:w="392" w:type="pct"/>
                  <w:tcBorders>
                    <w:top w:val="single" w:color="auto" w:sz="6" w:space="0"/>
                    <w:left w:val="single" w:color="auto" w:sz="6" w:space="0"/>
                    <w:right w:val="single" w:color="auto" w:sz="6" w:space="0"/>
                  </w:tcBorders>
                  <w:vAlign w:val="center"/>
                </w:tcPr>
                <w:p>
                  <w:pPr>
                    <w:pStyle w:val="49"/>
                  </w:pPr>
                  <w:r>
                    <w:rPr>
                      <w:rFonts w:hint="eastAsia"/>
                    </w:rPr>
                    <w:t>11</w:t>
                  </w:r>
                </w:p>
              </w:tc>
              <w:tc>
                <w:tcPr>
                  <w:tcW w:w="392" w:type="pct"/>
                  <w:tcBorders>
                    <w:top w:val="single" w:color="auto" w:sz="6" w:space="0"/>
                    <w:left w:val="single" w:color="auto" w:sz="6" w:space="0"/>
                    <w:right w:val="single" w:color="auto" w:sz="6" w:space="0"/>
                  </w:tcBorders>
                  <w:vAlign w:val="center"/>
                </w:tcPr>
                <w:p>
                  <w:pPr>
                    <w:pStyle w:val="49"/>
                  </w:pPr>
                  <w:r>
                    <w:rPr>
                      <w:rFonts w:hint="eastAsia"/>
                    </w:rPr>
                    <w:t>24</w:t>
                  </w:r>
                  <w:r>
                    <w:t>00</w:t>
                  </w:r>
                </w:p>
              </w:tc>
              <w:tc>
                <w:tcPr>
                  <w:tcW w:w="392" w:type="pct"/>
                  <w:tcBorders>
                    <w:top w:val="single" w:color="auto" w:sz="6" w:space="0"/>
                    <w:left w:val="single" w:color="auto" w:sz="6" w:space="0"/>
                    <w:right w:val="single" w:color="auto" w:sz="6" w:space="0"/>
                  </w:tcBorders>
                  <w:vAlign w:val="center"/>
                </w:tcPr>
                <w:p>
                  <w:pPr>
                    <w:pStyle w:val="49"/>
                  </w:pPr>
                  <w:r>
                    <w:t>正常</w:t>
                  </w:r>
                </w:p>
              </w:tc>
              <w:tc>
                <w:tcPr>
                  <w:tcW w:w="392" w:type="pct"/>
                  <w:tcBorders>
                    <w:top w:val="single" w:color="auto" w:sz="6" w:space="0"/>
                    <w:left w:val="single" w:color="auto" w:sz="6" w:space="0"/>
                    <w:right w:val="single" w:color="auto" w:sz="6" w:space="0"/>
                  </w:tcBorders>
                  <w:vAlign w:val="center"/>
                </w:tcPr>
                <w:p>
                  <w:pPr>
                    <w:pStyle w:val="49"/>
                  </w:pPr>
                  <w:r>
                    <w:rPr>
                      <w:rFonts w:hint="eastAsia"/>
                    </w:rPr>
                    <w:t>NM</w:t>
                  </w:r>
                </w:p>
                <w:p>
                  <w:pPr>
                    <w:pStyle w:val="49"/>
                  </w:pPr>
                  <w:r>
                    <w:rPr>
                      <w:rFonts w:hint="eastAsia"/>
                    </w:rPr>
                    <w:t>HC</w:t>
                  </w:r>
                </w:p>
              </w:tc>
              <w:tc>
                <w:tcPr>
                  <w:tcW w:w="393" w:type="pct"/>
                  <w:tcBorders>
                    <w:top w:val="single" w:color="auto" w:sz="6" w:space="0"/>
                    <w:left w:val="single" w:color="auto" w:sz="6" w:space="0"/>
                    <w:bottom w:val="single" w:color="auto" w:sz="6" w:space="0"/>
                    <w:right w:val="single" w:color="auto" w:sz="6" w:space="0"/>
                  </w:tcBorders>
                  <w:vAlign w:val="center"/>
                </w:tcPr>
                <w:p>
                  <w:pPr>
                    <w:pStyle w:val="49"/>
                  </w:pPr>
                  <w:r>
                    <w:t>0.0</w:t>
                  </w:r>
                  <w:r>
                    <w:rPr>
                      <w:rFonts w:hint="eastAsia"/>
                    </w:rPr>
                    <w:t>19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12"/>
                  <w:tcBorders>
                    <w:top w:val="single" w:color="auto" w:sz="4" w:space="0"/>
                    <w:left w:val="single" w:color="auto" w:sz="4" w:space="0"/>
                    <w:bottom w:val="single" w:color="auto" w:sz="4" w:space="0"/>
                    <w:right w:val="single" w:color="auto" w:sz="6" w:space="0"/>
                  </w:tcBorders>
                  <w:vAlign w:val="center"/>
                </w:tcPr>
                <w:p>
                  <w:pPr>
                    <w:pStyle w:val="49"/>
                    <w:jc w:val="left"/>
                  </w:pPr>
                  <w:r>
                    <w:rPr>
                      <w:rFonts w:hint="eastAsia"/>
                    </w:rPr>
                    <w:t>*注：</w:t>
                  </w:r>
                  <w:r>
                    <w:t>本项目坐标采用经纬度。</w:t>
                  </w:r>
                </w:p>
              </w:tc>
            </w:tr>
          </w:tbl>
          <w:p>
            <w:pPr>
              <w:keepNext/>
              <w:keepLines/>
              <w:ind w:firstLine="470" w:firstLineChars="196"/>
              <w:outlineLvl w:val="3"/>
            </w:pPr>
            <w:r>
              <w:rPr>
                <w:rFonts w:hint="eastAsia"/>
              </w:rPr>
              <w:t>4、</w:t>
            </w:r>
            <w:r>
              <w:t>主要污染源估算模型计算结果</w:t>
            </w:r>
          </w:p>
          <w:p>
            <w:pPr>
              <w:ind w:firstLine="480"/>
            </w:pPr>
            <w:r>
              <w:t>项目主要污染源估算模型计算结果见表7-1</w:t>
            </w:r>
            <w:r>
              <w:rPr>
                <w:rFonts w:hint="eastAsia"/>
              </w:rPr>
              <w:t>2</w:t>
            </w:r>
            <w:r>
              <w:t>。</w:t>
            </w:r>
          </w:p>
          <w:p>
            <w:pPr>
              <w:pStyle w:val="46"/>
            </w:pPr>
            <w:r>
              <w:rPr>
                <w:rFonts w:hint="eastAsia"/>
              </w:rPr>
              <w:t>表7-12a  主要污染物（有组织）估算模型计算结果表（正常工况）</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1465"/>
              <w:gridCol w:w="1504"/>
              <w:gridCol w:w="1545"/>
              <w:gridCol w:w="1721"/>
              <w:gridCol w:w="1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5" w:type="pct"/>
                  <w:vAlign w:val="center"/>
                </w:tcPr>
                <w:p>
                  <w:pPr>
                    <w:pStyle w:val="46"/>
                  </w:pPr>
                  <w:r>
                    <w:t>污染源</w:t>
                  </w:r>
                </w:p>
              </w:tc>
              <w:tc>
                <w:tcPr>
                  <w:tcW w:w="840" w:type="pct"/>
                  <w:vAlign w:val="center"/>
                </w:tcPr>
                <w:p>
                  <w:pPr>
                    <w:pStyle w:val="46"/>
                  </w:pPr>
                  <w:r>
                    <w:t>污染物</w:t>
                  </w:r>
                </w:p>
              </w:tc>
              <w:tc>
                <w:tcPr>
                  <w:tcW w:w="862" w:type="pct"/>
                  <w:vAlign w:val="center"/>
                </w:tcPr>
                <w:p>
                  <w:pPr>
                    <w:pStyle w:val="46"/>
                  </w:pPr>
                  <w:r>
                    <w:t>下风向最大浓度（</w:t>
                  </w:r>
                  <w:r>
                    <w:rPr>
                      <w:rFonts w:hint="eastAsia"/>
                    </w:rPr>
                    <w:t>m</w:t>
                  </w:r>
                  <w:r>
                    <w:t>g/m</w:t>
                  </w:r>
                  <w:r>
                    <w:rPr>
                      <w:vertAlign w:val="superscript"/>
                    </w:rPr>
                    <w:t>3</w:t>
                  </w:r>
                  <w:r>
                    <w:t>）</w:t>
                  </w:r>
                </w:p>
              </w:tc>
              <w:tc>
                <w:tcPr>
                  <w:tcW w:w="886" w:type="pct"/>
                  <w:vAlign w:val="center"/>
                </w:tcPr>
                <w:p>
                  <w:pPr>
                    <w:pStyle w:val="46"/>
                  </w:pPr>
                  <w:r>
                    <w:t>最大落地浓度距离（m）</w:t>
                  </w:r>
                </w:p>
              </w:tc>
              <w:tc>
                <w:tcPr>
                  <w:tcW w:w="987" w:type="pct"/>
                  <w:vAlign w:val="center"/>
                </w:tcPr>
                <w:p>
                  <w:pPr>
                    <w:pStyle w:val="46"/>
                  </w:pPr>
                  <w:r>
                    <w:t>最大地面浓度及占标率（%）</w:t>
                  </w:r>
                </w:p>
              </w:tc>
              <w:tc>
                <w:tcPr>
                  <w:tcW w:w="928" w:type="pct"/>
                  <w:vAlign w:val="center"/>
                </w:tcPr>
                <w:p>
                  <w:pPr>
                    <w:pStyle w:val="46"/>
                  </w:pPr>
                  <w:r>
                    <w:t>下风向最大D10%（m）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5" w:type="pct"/>
                  <w:vAlign w:val="center"/>
                </w:tcPr>
                <w:p>
                  <w:pPr>
                    <w:pStyle w:val="47"/>
                  </w:pPr>
                  <w:r>
                    <w:rPr>
                      <w:rFonts w:hint="eastAsia"/>
                    </w:rPr>
                    <w:t>DA001排气筒</w:t>
                  </w:r>
                </w:p>
              </w:tc>
              <w:tc>
                <w:tcPr>
                  <w:tcW w:w="840" w:type="pct"/>
                  <w:vAlign w:val="center"/>
                </w:tcPr>
                <w:p>
                  <w:pPr>
                    <w:pStyle w:val="47"/>
                  </w:pPr>
                  <w:r>
                    <w:rPr>
                      <w:rFonts w:hint="eastAsia"/>
                    </w:rPr>
                    <w:t>NMHC</w:t>
                  </w:r>
                </w:p>
              </w:tc>
              <w:tc>
                <w:tcPr>
                  <w:tcW w:w="1503" w:type="dxa"/>
                  <w:vAlign w:val="center"/>
                </w:tcPr>
                <w:p>
                  <w:pPr>
                    <w:pStyle w:val="47"/>
                  </w:pPr>
                  <w:r>
                    <w:rPr>
                      <w:rFonts w:hint="eastAsia"/>
                    </w:rPr>
                    <w:t>2.96E-03</w:t>
                  </w:r>
                </w:p>
              </w:tc>
              <w:tc>
                <w:tcPr>
                  <w:tcW w:w="1545" w:type="dxa"/>
                  <w:vAlign w:val="center"/>
                </w:tcPr>
                <w:p>
                  <w:pPr>
                    <w:pStyle w:val="47"/>
                  </w:pPr>
                  <w:r>
                    <w:rPr>
                      <w:rFonts w:hint="eastAsia"/>
                    </w:rPr>
                    <w:t>125</w:t>
                  </w:r>
                </w:p>
              </w:tc>
              <w:tc>
                <w:tcPr>
                  <w:tcW w:w="1722" w:type="dxa"/>
                  <w:vAlign w:val="center"/>
                </w:tcPr>
                <w:p>
                  <w:pPr>
                    <w:pStyle w:val="47"/>
                  </w:pPr>
                  <w:r>
                    <w:rPr>
                      <w:rFonts w:hint="eastAsia"/>
                    </w:rPr>
                    <w:t>0.12</w:t>
                  </w:r>
                </w:p>
              </w:tc>
              <w:tc>
                <w:tcPr>
                  <w:tcW w:w="1619" w:type="dxa"/>
                  <w:vAlign w:val="center"/>
                </w:tcPr>
                <w:p>
                  <w:pPr>
                    <w:pStyle w:val="47"/>
                  </w:pPr>
                  <w:r>
                    <w:rPr>
                      <w:rFonts w:hint="eastAsia"/>
                    </w:rPr>
                    <w:t>0</w:t>
                  </w:r>
                </w:p>
              </w:tc>
            </w:tr>
          </w:tbl>
          <w:p>
            <w:pPr>
              <w:pStyle w:val="46"/>
              <w:rPr>
                <w:rFonts w:hint="eastAsia"/>
              </w:rPr>
            </w:pPr>
          </w:p>
          <w:p>
            <w:pPr>
              <w:pStyle w:val="46"/>
            </w:pPr>
            <w:r>
              <w:rPr>
                <w:rFonts w:hint="eastAsia"/>
              </w:rPr>
              <w:t>表7-12b  主要污染物（无组织）估算模型计算结果表（正常工况）</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491"/>
              <w:gridCol w:w="1558"/>
              <w:gridCol w:w="1525"/>
              <w:gridCol w:w="1698"/>
              <w:gridCol w:w="1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8" w:type="pct"/>
                  <w:vAlign w:val="center"/>
                </w:tcPr>
                <w:p>
                  <w:pPr>
                    <w:pStyle w:val="46"/>
                  </w:pPr>
                  <w:r>
                    <w:t>污染源</w:t>
                  </w:r>
                </w:p>
              </w:tc>
              <w:tc>
                <w:tcPr>
                  <w:tcW w:w="855" w:type="pct"/>
                  <w:vAlign w:val="center"/>
                </w:tcPr>
                <w:p>
                  <w:pPr>
                    <w:pStyle w:val="46"/>
                  </w:pPr>
                  <w:r>
                    <w:t>污染物</w:t>
                  </w:r>
                </w:p>
              </w:tc>
              <w:tc>
                <w:tcPr>
                  <w:tcW w:w="893" w:type="pct"/>
                  <w:vAlign w:val="center"/>
                </w:tcPr>
                <w:p>
                  <w:pPr>
                    <w:pStyle w:val="46"/>
                  </w:pPr>
                  <w:r>
                    <w:t>下风向最大浓度（</w:t>
                  </w:r>
                  <w:r>
                    <w:rPr>
                      <w:rFonts w:hint="eastAsia"/>
                    </w:rPr>
                    <w:t>m</w:t>
                  </w:r>
                  <w:r>
                    <w:t>g/m</w:t>
                  </w:r>
                  <w:r>
                    <w:rPr>
                      <w:vertAlign w:val="superscript"/>
                    </w:rPr>
                    <w:t>3</w:t>
                  </w:r>
                  <w:r>
                    <w:t>）</w:t>
                  </w:r>
                </w:p>
              </w:tc>
              <w:tc>
                <w:tcPr>
                  <w:tcW w:w="874" w:type="pct"/>
                  <w:vAlign w:val="center"/>
                </w:tcPr>
                <w:p>
                  <w:pPr>
                    <w:pStyle w:val="46"/>
                  </w:pPr>
                  <w:r>
                    <w:t>最大落地浓度距离（m）</w:t>
                  </w:r>
                </w:p>
              </w:tc>
              <w:tc>
                <w:tcPr>
                  <w:tcW w:w="973" w:type="pct"/>
                  <w:vAlign w:val="center"/>
                </w:tcPr>
                <w:p>
                  <w:pPr>
                    <w:pStyle w:val="46"/>
                  </w:pPr>
                  <w:r>
                    <w:t>最大地面浓度及占标率（%）</w:t>
                  </w:r>
                </w:p>
              </w:tc>
              <w:tc>
                <w:tcPr>
                  <w:tcW w:w="914" w:type="pct"/>
                  <w:vAlign w:val="center"/>
                </w:tcPr>
                <w:p>
                  <w:pPr>
                    <w:pStyle w:val="46"/>
                  </w:pPr>
                  <w:r>
                    <w:t>下风向最大D10%（m）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8" w:type="pct"/>
                  <w:vAlign w:val="center"/>
                </w:tcPr>
                <w:p>
                  <w:pPr>
                    <w:pStyle w:val="47"/>
                  </w:pPr>
                  <w:r>
                    <w:rPr>
                      <w:rFonts w:hint="eastAsia"/>
                    </w:rPr>
                    <w:t>3层生产车间</w:t>
                  </w:r>
                </w:p>
              </w:tc>
              <w:tc>
                <w:tcPr>
                  <w:tcW w:w="855" w:type="pct"/>
                  <w:vAlign w:val="center"/>
                </w:tcPr>
                <w:p>
                  <w:pPr>
                    <w:pStyle w:val="47"/>
                  </w:pPr>
                  <w:r>
                    <w:rPr>
                      <w:rFonts w:hint="eastAsia"/>
                    </w:rPr>
                    <w:t>PM</w:t>
                  </w:r>
                  <w:r>
                    <w:rPr>
                      <w:rFonts w:hint="eastAsia"/>
                      <w:vertAlign w:val="subscript"/>
                    </w:rPr>
                    <w:t>10</w:t>
                  </w:r>
                </w:p>
              </w:tc>
              <w:tc>
                <w:tcPr>
                  <w:tcW w:w="1558" w:type="dxa"/>
                  <w:vAlign w:val="center"/>
                </w:tcPr>
                <w:p>
                  <w:pPr>
                    <w:pStyle w:val="47"/>
                  </w:pPr>
                  <w:r>
                    <w:rPr>
                      <w:rFonts w:hint="eastAsia"/>
                    </w:rPr>
                    <w:t>3.58E-04</w:t>
                  </w:r>
                </w:p>
              </w:tc>
              <w:tc>
                <w:tcPr>
                  <w:tcW w:w="1525" w:type="dxa"/>
                  <w:vAlign w:val="center"/>
                </w:tcPr>
                <w:p>
                  <w:pPr>
                    <w:pStyle w:val="47"/>
                  </w:pPr>
                  <w:r>
                    <w:rPr>
                      <w:rFonts w:hint="eastAsia"/>
                    </w:rPr>
                    <w:t>20</w:t>
                  </w:r>
                </w:p>
              </w:tc>
              <w:tc>
                <w:tcPr>
                  <w:tcW w:w="1697" w:type="dxa"/>
                  <w:vAlign w:val="center"/>
                </w:tcPr>
                <w:p>
                  <w:pPr>
                    <w:pStyle w:val="47"/>
                  </w:pPr>
                  <w:r>
                    <w:rPr>
                      <w:rFonts w:hint="eastAsia"/>
                    </w:rPr>
                    <w:t>0.08</w:t>
                  </w:r>
                </w:p>
              </w:tc>
              <w:tc>
                <w:tcPr>
                  <w:tcW w:w="1595" w:type="dxa"/>
                  <w:vAlign w:val="center"/>
                </w:tcPr>
                <w:p>
                  <w:pPr>
                    <w:pStyle w:val="47"/>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0" w:type="dxa"/>
                  <w:vAlign w:val="center"/>
                </w:tcPr>
                <w:p>
                  <w:pPr>
                    <w:pStyle w:val="47"/>
                  </w:pPr>
                  <w:r>
                    <w:rPr>
                      <w:rFonts w:hint="eastAsia"/>
                    </w:rPr>
                    <w:t>2层生产车间</w:t>
                  </w:r>
                </w:p>
              </w:tc>
              <w:tc>
                <w:tcPr>
                  <w:tcW w:w="1491" w:type="dxa"/>
                  <w:vAlign w:val="center"/>
                </w:tcPr>
                <w:p>
                  <w:pPr>
                    <w:pStyle w:val="47"/>
                  </w:pPr>
                  <w:r>
                    <w:rPr>
                      <w:rFonts w:hint="eastAsia"/>
                    </w:rPr>
                    <w:t>NMHC</w:t>
                  </w:r>
                </w:p>
              </w:tc>
              <w:tc>
                <w:tcPr>
                  <w:tcW w:w="1558" w:type="dxa"/>
                  <w:vAlign w:val="center"/>
                </w:tcPr>
                <w:p>
                  <w:pPr>
                    <w:pStyle w:val="47"/>
                  </w:pPr>
                  <w:r>
                    <w:rPr>
                      <w:rFonts w:hint="eastAsia"/>
                    </w:rPr>
                    <w:t>1.62E-02</w:t>
                  </w:r>
                </w:p>
              </w:tc>
              <w:tc>
                <w:tcPr>
                  <w:tcW w:w="1525" w:type="dxa"/>
                  <w:vAlign w:val="center"/>
                </w:tcPr>
                <w:p>
                  <w:pPr>
                    <w:pStyle w:val="47"/>
                  </w:pPr>
                  <w:r>
                    <w:rPr>
                      <w:rFonts w:hint="eastAsia"/>
                    </w:rPr>
                    <w:t>20</w:t>
                  </w:r>
                </w:p>
              </w:tc>
              <w:tc>
                <w:tcPr>
                  <w:tcW w:w="1697" w:type="dxa"/>
                  <w:vAlign w:val="center"/>
                </w:tcPr>
                <w:p>
                  <w:pPr>
                    <w:pStyle w:val="47"/>
                  </w:pPr>
                  <w:r>
                    <w:rPr>
                      <w:rFonts w:hint="eastAsia"/>
                    </w:rPr>
                    <w:t>0.83</w:t>
                  </w:r>
                </w:p>
              </w:tc>
              <w:tc>
                <w:tcPr>
                  <w:tcW w:w="1595" w:type="dxa"/>
                  <w:vAlign w:val="center"/>
                </w:tcPr>
                <w:p>
                  <w:pPr>
                    <w:pStyle w:val="47"/>
                  </w:pPr>
                  <w:r>
                    <w:rPr>
                      <w:rFonts w:hint="eastAsia"/>
                    </w:rPr>
                    <w:t>0</w:t>
                  </w:r>
                </w:p>
              </w:tc>
            </w:tr>
          </w:tbl>
          <w:p>
            <w:pPr>
              <w:ind w:firstLine="480"/>
            </w:pPr>
            <w:r>
              <w:t>由表7-1</w:t>
            </w:r>
            <w:r>
              <w:rPr>
                <w:rFonts w:hint="eastAsia"/>
              </w:rPr>
              <w:t>2</w:t>
            </w:r>
            <w:r>
              <w:t>可知，项目排放废气最大地面浓度占标率 Pmax =</w:t>
            </w:r>
            <w:r>
              <w:rPr>
                <w:rFonts w:hint="eastAsia"/>
              </w:rPr>
              <w:t>0.83%</w:t>
            </w:r>
            <w:r>
              <w:t>，污染因子</w:t>
            </w:r>
            <w:r>
              <w:rPr>
                <w:rFonts w:hint="eastAsia"/>
              </w:rPr>
              <w:t>为非甲烷总烃</w:t>
            </w:r>
            <w:r>
              <w:t>，污染源为2</w:t>
            </w:r>
            <w:r>
              <w:rPr>
                <w:rFonts w:hint="eastAsia"/>
              </w:rPr>
              <w:t>层</w:t>
            </w:r>
            <w:r>
              <w:t>生产车间无组织排放。根据HJ2.2-2018《环境影响评价技术导则-大气环境》，确定项目大气环评等级为三级，不进行进一步预测和评价。</w:t>
            </w:r>
          </w:p>
          <w:p>
            <w:pPr>
              <w:pStyle w:val="6"/>
            </w:pPr>
            <w:r>
              <w:t>7.2.3.</w:t>
            </w:r>
            <w:r>
              <w:rPr>
                <w:rFonts w:hint="eastAsia"/>
              </w:rPr>
              <w:t>3</w:t>
            </w:r>
            <w:r>
              <w:t>大气环境防护距离</w:t>
            </w:r>
          </w:p>
          <w:p>
            <w:pPr>
              <w:widowControl/>
              <w:adjustRightInd w:val="0"/>
              <w:snapToGrid w:val="0"/>
              <w:ind w:firstLine="480"/>
              <w:jc w:val="left"/>
            </w:pPr>
            <w:r>
              <w:t>大气环境防护距离是以污染源中心为起点的控制距离，结合厂区平面布局，确定控制范围，超出厂界以外的范围，即为项目大气环境防护区域。</w:t>
            </w:r>
          </w:p>
          <w:p>
            <w:pPr>
              <w:widowControl/>
              <w:adjustRightInd w:val="0"/>
              <w:snapToGrid w:val="0"/>
              <w:ind w:firstLine="480"/>
              <w:jc w:val="left"/>
            </w:pPr>
            <w:r>
              <w:t>根据《环境影响评价技术导则 大气环境》（HJ2.2-2018），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对于项目厂界浓度超过大气污染物厂界浓度限值的，应要求削减排放源强或调整工程布局，待满足厂界浓度限值后，再核算大气环境防护距离；大气环境防护距离之内不应有长期居住的人群。</w:t>
            </w:r>
          </w:p>
          <w:p>
            <w:pPr>
              <w:ind w:firstLine="480"/>
            </w:pPr>
            <w:r>
              <w:t>根据导则内容，大气环境防护距离的确定需采用进一步预测模型模拟评价基准年内，预测本项目所有污染源（改建、扩建项目应包括全厂现有污染源）对厂界外主要污染物的短期贡献浓度分布（厂界外预测网格分辨率不应超过50 m），在预测底图上标注从厂界起所有超过环境质量短期浓度标准值的网格区域，以自厂界起至超标区域的最远垂直距离作为大气环境防护距离。根据估算模型计算，</w:t>
            </w:r>
          </w:p>
          <w:p>
            <w:pPr>
              <w:ind w:firstLine="480"/>
            </w:pPr>
            <w:r>
              <w:t>本项目排放废气最大地面浓度占标率 Pmax =</w:t>
            </w:r>
            <w:r>
              <w:rPr>
                <w:rFonts w:hint="eastAsia"/>
              </w:rPr>
              <w:t>0.83%</w:t>
            </w:r>
            <w:r>
              <w:t>，小于1%</w:t>
            </w:r>
            <w:r>
              <w:rPr>
                <w:rFonts w:hint="eastAsia"/>
              </w:rPr>
              <w:t>，</w:t>
            </w:r>
            <w:r>
              <w:t>大气环境影响评价工作等级为三级评价，不进行进一步预测和评价，本项目主要污染物的短期贡献浓度均不超过环境质量短期浓度标准值，因此，本项目无需设置大气环境防护距离。</w:t>
            </w:r>
          </w:p>
          <w:p>
            <w:pPr>
              <w:pStyle w:val="6"/>
            </w:pPr>
            <w:r>
              <w:rPr>
                <w:rFonts w:hint="eastAsia"/>
              </w:rPr>
              <w:t>7.2.3.4卫生环境防护距离</w:t>
            </w:r>
          </w:p>
          <w:p>
            <w:pPr>
              <w:adjustRightInd w:val="0"/>
              <w:snapToGrid w:val="0"/>
              <w:ind w:firstLine="480"/>
            </w:pPr>
            <w:r>
              <w:rPr>
                <w:rFonts w:hint="eastAsia"/>
              </w:rPr>
              <w:t>根据</w:t>
            </w:r>
            <w:r>
              <w:t>《制定地方大气污染物排放标准的技术方法》(GB/T13201-91)的规定，无组织排放源所在的生产单元(生产区、车间或工段)与居住区之间应设置卫生防护距离。可由下式计算</w:t>
            </w:r>
            <w:r>
              <w:rPr>
                <w:rFonts w:hint="eastAsia"/>
              </w:rPr>
              <w:t>：</w:t>
            </w:r>
          </w:p>
          <w:p>
            <w:pPr>
              <w:ind w:firstLine="480"/>
              <w:jc w:val="center"/>
            </w:pPr>
            <w:r>
              <w:drawing>
                <wp:inline distT="0" distB="0" distL="0" distR="0">
                  <wp:extent cx="1828800" cy="478155"/>
                  <wp:effectExtent l="0" t="0" r="0" b="0"/>
                  <wp:docPr id="10" name="图片 55" descr="C:\Users\Admin\AppData\Local\Temp\ksohtml76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5" descr="C:\Users\Admin\AppData\Local\Temp\ksohtml760\wps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828800" cy="478155"/>
                          </a:xfrm>
                          <a:prstGeom prst="rect">
                            <a:avLst/>
                          </a:prstGeom>
                          <a:noFill/>
                          <a:ln>
                            <a:noFill/>
                          </a:ln>
                        </pic:spPr>
                      </pic:pic>
                    </a:graphicData>
                  </a:graphic>
                </wp:inline>
              </w:drawing>
            </w:r>
          </w:p>
          <w:p>
            <w:pPr>
              <w:ind w:firstLine="480"/>
            </w:pPr>
            <w:r>
              <w:t>式中：Q</w:t>
            </w:r>
            <w:r>
              <w:rPr>
                <w:vertAlign w:val="subscript"/>
              </w:rPr>
              <w:t>c</w:t>
            </w:r>
            <w:r>
              <w:t>──污染物的无组织排放量，kg/h；</w:t>
            </w:r>
          </w:p>
          <w:p>
            <w:pPr>
              <w:ind w:firstLine="480"/>
            </w:pPr>
            <w:r>
              <w:t xml:space="preserve">      C</w:t>
            </w:r>
            <w:r>
              <w:rPr>
                <w:vertAlign w:val="subscript"/>
              </w:rPr>
              <w:t>m</w:t>
            </w:r>
            <w:r>
              <w:t>──污染物的标准浓度限值，mg/m</w:t>
            </w:r>
            <w:r>
              <w:rPr>
                <w:vertAlign w:val="superscript"/>
              </w:rPr>
              <w:t>3</w:t>
            </w:r>
            <w:r>
              <w:t>；</w:t>
            </w:r>
          </w:p>
          <w:p>
            <w:pPr>
              <w:ind w:firstLine="480"/>
            </w:pPr>
            <w:r>
              <w:t xml:space="preserve">      L──卫生防护距离，m；</w:t>
            </w:r>
          </w:p>
          <w:p>
            <w:pPr>
              <w:ind w:firstLine="480"/>
            </w:pPr>
            <w:r>
              <w:t xml:space="preserve">      r──生产单元的等效半径，m；</w:t>
            </w:r>
          </w:p>
          <w:p>
            <w:pPr>
              <w:ind w:firstLine="1200" w:firstLineChars="500"/>
            </w:pPr>
            <w:r>
              <w:t>A、B、C、D──计算系数，从GB/T13201-91中查取。</w:t>
            </w:r>
          </w:p>
          <w:p>
            <w:pPr>
              <w:ind w:firstLine="480"/>
            </w:pPr>
            <w:r>
              <w:t>根据污染源预测，项目</w:t>
            </w:r>
            <w:r>
              <w:rPr>
                <w:rFonts w:hint="eastAsia"/>
              </w:rPr>
              <w:t>各车间</w:t>
            </w:r>
            <w:r>
              <w:t>卫生防护距离见下表7-</w:t>
            </w:r>
            <w:r>
              <w:rPr>
                <w:rFonts w:hint="eastAsia"/>
              </w:rPr>
              <w:t>13。</w:t>
            </w:r>
          </w:p>
          <w:p>
            <w:pPr>
              <w:pStyle w:val="46"/>
            </w:pPr>
            <w:r>
              <w:rPr>
                <w:rFonts w:hint="eastAsia"/>
              </w:rPr>
              <w:t>表7-13  卫生防护距离计算参数表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720"/>
              <w:gridCol w:w="675"/>
              <w:gridCol w:w="855"/>
              <w:gridCol w:w="1125"/>
              <w:gridCol w:w="1080"/>
              <w:gridCol w:w="975"/>
              <w:gridCol w:w="976"/>
              <w:gridCol w:w="1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857" w:type="dxa"/>
                  <w:vMerge w:val="restart"/>
                  <w:vAlign w:val="center"/>
                </w:tcPr>
                <w:p>
                  <w:pPr>
                    <w:pStyle w:val="46"/>
                  </w:pPr>
                  <w:r>
                    <w:rPr>
                      <w:rFonts w:hint="eastAsia"/>
                    </w:rPr>
                    <w:t>污染物名称</w:t>
                  </w:r>
                </w:p>
              </w:tc>
              <w:tc>
                <w:tcPr>
                  <w:tcW w:w="1395" w:type="dxa"/>
                  <w:gridSpan w:val="2"/>
                  <w:vMerge w:val="restart"/>
                  <w:vAlign w:val="center"/>
                </w:tcPr>
                <w:p>
                  <w:pPr>
                    <w:pStyle w:val="46"/>
                  </w:pPr>
                  <w:r>
                    <w:rPr>
                      <w:rFonts w:hint="eastAsia"/>
                    </w:rPr>
                    <w:t>排放源</w:t>
                  </w:r>
                </w:p>
              </w:tc>
              <w:tc>
                <w:tcPr>
                  <w:tcW w:w="855" w:type="dxa"/>
                  <w:vMerge w:val="restart"/>
                  <w:vAlign w:val="center"/>
                </w:tcPr>
                <w:p>
                  <w:pPr>
                    <w:pStyle w:val="46"/>
                  </w:pPr>
                  <w:r>
                    <w:rPr>
                      <w:rFonts w:hint="eastAsia"/>
                    </w:rPr>
                    <w:t>面积m</w:t>
                  </w:r>
                  <w:r>
                    <w:rPr>
                      <w:rFonts w:hint="eastAsia"/>
                      <w:vertAlign w:val="superscript"/>
                    </w:rPr>
                    <w:t>2</w:t>
                  </w:r>
                </w:p>
              </w:tc>
              <w:tc>
                <w:tcPr>
                  <w:tcW w:w="1125" w:type="dxa"/>
                  <w:vMerge w:val="restart"/>
                  <w:vAlign w:val="center"/>
                </w:tcPr>
                <w:p>
                  <w:pPr>
                    <w:pStyle w:val="46"/>
                  </w:pPr>
                  <w:r>
                    <w:rPr>
                      <w:rFonts w:hint="eastAsia"/>
                    </w:rPr>
                    <w:t>排放速率kg/h</w:t>
                  </w:r>
                </w:p>
              </w:tc>
              <w:tc>
                <w:tcPr>
                  <w:tcW w:w="1080" w:type="dxa"/>
                  <w:vMerge w:val="restart"/>
                  <w:vAlign w:val="center"/>
                </w:tcPr>
                <w:p>
                  <w:pPr>
                    <w:pStyle w:val="46"/>
                  </w:pPr>
                  <w:r>
                    <w:rPr>
                      <w:rFonts w:hint="eastAsia"/>
                    </w:rPr>
                    <w:t>限值mg/Nm</w:t>
                  </w:r>
                  <w:r>
                    <w:rPr>
                      <w:rFonts w:hint="eastAsia"/>
                      <w:vertAlign w:val="superscript"/>
                    </w:rPr>
                    <w:t>3</w:t>
                  </w:r>
                </w:p>
              </w:tc>
              <w:tc>
                <w:tcPr>
                  <w:tcW w:w="1951" w:type="dxa"/>
                  <w:gridSpan w:val="2"/>
                  <w:vAlign w:val="center"/>
                </w:tcPr>
                <w:p>
                  <w:pPr>
                    <w:pStyle w:val="46"/>
                  </w:pPr>
                  <w:r>
                    <w:rPr>
                      <w:rFonts w:hint="eastAsia"/>
                    </w:rPr>
                    <w:t>卫生防护距离m</w:t>
                  </w:r>
                </w:p>
              </w:tc>
              <w:tc>
                <w:tcPr>
                  <w:tcW w:w="1457" w:type="dxa"/>
                  <w:vMerge w:val="restart"/>
                  <w:vAlign w:val="center"/>
                </w:tcPr>
                <w:p>
                  <w:pPr>
                    <w:pStyle w:val="46"/>
                  </w:pPr>
                  <w:r>
                    <w:rPr>
                      <w:rFonts w:hint="eastAsia"/>
                    </w:rPr>
                    <w:t>提级后卫生防护距离m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857" w:type="dxa"/>
                  <w:vMerge w:val="continue"/>
                  <w:vAlign w:val="center"/>
                </w:tcPr>
                <w:p>
                  <w:pPr>
                    <w:pStyle w:val="46"/>
                  </w:pPr>
                </w:p>
              </w:tc>
              <w:tc>
                <w:tcPr>
                  <w:tcW w:w="1395" w:type="dxa"/>
                  <w:gridSpan w:val="2"/>
                  <w:vMerge w:val="continue"/>
                  <w:vAlign w:val="center"/>
                </w:tcPr>
                <w:p>
                  <w:pPr>
                    <w:pStyle w:val="46"/>
                  </w:pPr>
                </w:p>
              </w:tc>
              <w:tc>
                <w:tcPr>
                  <w:tcW w:w="855" w:type="dxa"/>
                  <w:vMerge w:val="continue"/>
                  <w:vAlign w:val="center"/>
                </w:tcPr>
                <w:p>
                  <w:pPr>
                    <w:pStyle w:val="46"/>
                  </w:pPr>
                </w:p>
              </w:tc>
              <w:tc>
                <w:tcPr>
                  <w:tcW w:w="1125" w:type="dxa"/>
                  <w:vMerge w:val="continue"/>
                  <w:vAlign w:val="center"/>
                </w:tcPr>
                <w:p>
                  <w:pPr>
                    <w:pStyle w:val="46"/>
                  </w:pPr>
                </w:p>
              </w:tc>
              <w:tc>
                <w:tcPr>
                  <w:tcW w:w="1080" w:type="dxa"/>
                  <w:vMerge w:val="continue"/>
                  <w:vAlign w:val="center"/>
                </w:tcPr>
                <w:p>
                  <w:pPr>
                    <w:pStyle w:val="46"/>
                  </w:pPr>
                </w:p>
              </w:tc>
              <w:tc>
                <w:tcPr>
                  <w:tcW w:w="975" w:type="dxa"/>
                  <w:vAlign w:val="center"/>
                </w:tcPr>
                <w:p>
                  <w:pPr>
                    <w:pStyle w:val="46"/>
                  </w:pPr>
                  <w:r>
                    <w:rPr>
                      <w:rFonts w:hint="eastAsia"/>
                    </w:rPr>
                    <w:t>计算值</w:t>
                  </w:r>
                </w:p>
              </w:tc>
              <w:tc>
                <w:tcPr>
                  <w:tcW w:w="976" w:type="dxa"/>
                  <w:vAlign w:val="center"/>
                </w:tcPr>
                <w:p>
                  <w:pPr>
                    <w:pStyle w:val="46"/>
                  </w:pPr>
                  <w:r>
                    <w:rPr>
                      <w:rFonts w:hint="eastAsia"/>
                    </w:rPr>
                    <w:t>选取值</w:t>
                  </w:r>
                </w:p>
              </w:tc>
              <w:tc>
                <w:tcPr>
                  <w:tcW w:w="1457" w:type="dxa"/>
                  <w:vMerge w:val="continue"/>
                  <w:vAlign w:val="center"/>
                </w:tcPr>
                <w:p>
                  <w:pPr>
                    <w:pStyle w:val="4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7" w:type="dxa"/>
                  <w:vAlign w:val="center"/>
                </w:tcPr>
                <w:p>
                  <w:pPr>
                    <w:pStyle w:val="47"/>
                  </w:pPr>
                  <w:r>
                    <w:rPr>
                      <w:rFonts w:hint="eastAsia"/>
                    </w:rPr>
                    <w:t>颗粒物</w:t>
                  </w:r>
                </w:p>
              </w:tc>
              <w:tc>
                <w:tcPr>
                  <w:tcW w:w="720" w:type="dxa"/>
                  <w:vMerge w:val="restart"/>
                  <w:vAlign w:val="center"/>
                </w:tcPr>
                <w:p>
                  <w:pPr>
                    <w:pStyle w:val="47"/>
                  </w:pPr>
                  <w:r>
                    <w:rPr>
                      <w:rFonts w:hint="eastAsia"/>
                    </w:rPr>
                    <w:t>生产车间</w:t>
                  </w:r>
                </w:p>
              </w:tc>
              <w:tc>
                <w:tcPr>
                  <w:tcW w:w="675" w:type="dxa"/>
                  <w:vAlign w:val="center"/>
                </w:tcPr>
                <w:p>
                  <w:pPr>
                    <w:pStyle w:val="47"/>
                  </w:pPr>
                  <w:r>
                    <w:rPr>
                      <w:rFonts w:hint="eastAsia"/>
                    </w:rPr>
                    <w:t>3层</w:t>
                  </w:r>
                </w:p>
              </w:tc>
              <w:tc>
                <w:tcPr>
                  <w:tcW w:w="855" w:type="dxa"/>
                  <w:vAlign w:val="center"/>
                </w:tcPr>
                <w:p>
                  <w:pPr>
                    <w:pStyle w:val="47"/>
                  </w:pPr>
                  <w:r>
                    <w:rPr>
                      <w:rFonts w:hint="eastAsia"/>
                    </w:rPr>
                    <w:t>425</w:t>
                  </w:r>
                </w:p>
              </w:tc>
              <w:tc>
                <w:tcPr>
                  <w:tcW w:w="1125" w:type="dxa"/>
                  <w:vAlign w:val="center"/>
                </w:tcPr>
                <w:p>
                  <w:pPr>
                    <w:pStyle w:val="47"/>
                  </w:pPr>
                  <w:r>
                    <w:rPr>
                      <w:rFonts w:hint="eastAsia"/>
                    </w:rPr>
                    <w:t>0.0004</w:t>
                  </w:r>
                </w:p>
              </w:tc>
              <w:tc>
                <w:tcPr>
                  <w:tcW w:w="1080" w:type="dxa"/>
                  <w:vAlign w:val="center"/>
                </w:tcPr>
                <w:p>
                  <w:pPr>
                    <w:pStyle w:val="47"/>
                  </w:pPr>
                  <w:r>
                    <w:rPr>
                      <w:rFonts w:hint="eastAsia"/>
                    </w:rPr>
                    <w:t>0.45</w:t>
                  </w:r>
                </w:p>
              </w:tc>
              <w:tc>
                <w:tcPr>
                  <w:tcW w:w="975" w:type="dxa"/>
                  <w:vAlign w:val="center"/>
                </w:tcPr>
                <w:p>
                  <w:pPr>
                    <w:pStyle w:val="47"/>
                  </w:pPr>
                  <w:r>
                    <w:rPr>
                      <w:rFonts w:hint="eastAsia"/>
                    </w:rPr>
                    <w:t>0.1</w:t>
                  </w:r>
                </w:p>
              </w:tc>
              <w:tc>
                <w:tcPr>
                  <w:tcW w:w="976" w:type="dxa"/>
                  <w:vAlign w:val="center"/>
                </w:tcPr>
                <w:p>
                  <w:pPr>
                    <w:pStyle w:val="47"/>
                  </w:pPr>
                  <w:r>
                    <w:rPr>
                      <w:rFonts w:hint="eastAsia"/>
                    </w:rPr>
                    <w:t>50</w:t>
                  </w:r>
                </w:p>
              </w:tc>
              <w:tc>
                <w:tcPr>
                  <w:tcW w:w="1457" w:type="dxa"/>
                  <w:vMerge w:val="restart"/>
                  <w:vAlign w:val="center"/>
                </w:tcPr>
                <w:p>
                  <w:pPr>
                    <w:pStyle w:val="47"/>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7" w:type="dxa"/>
                  <w:vAlign w:val="center"/>
                </w:tcPr>
                <w:p>
                  <w:pPr>
                    <w:pStyle w:val="47"/>
                  </w:pPr>
                  <w:r>
                    <w:rPr>
                      <w:rFonts w:hint="eastAsia"/>
                    </w:rPr>
                    <w:t>NMHC</w:t>
                  </w:r>
                </w:p>
              </w:tc>
              <w:tc>
                <w:tcPr>
                  <w:tcW w:w="720" w:type="dxa"/>
                  <w:vMerge w:val="continue"/>
                  <w:vAlign w:val="center"/>
                </w:tcPr>
                <w:p>
                  <w:pPr>
                    <w:pStyle w:val="47"/>
                  </w:pPr>
                </w:p>
              </w:tc>
              <w:tc>
                <w:tcPr>
                  <w:tcW w:w="675" w:type="dxa"/>
                  <w:vAlign w:val="center"/>
                </w:tcPr>
                <w:p>
                  <w:pPr>
                    <w:pStyle w:val="47"/>
                  </w:pPr>
                  <w:r>
                    <w:rPr>
                      <w:rFonts w:hint="eastAsia"/>
                    </w:rPr>
                    <w:t>2层</w:t>
                  </w:r>
                </w:p>
              </w:tc>
              <w:tc>
                <w:tcPr>
                  <w:tcW w:w="855" w:type="dxa"/>
                  <w:vAlign w:val="center"/>
                </w:tcPr>
                <w:p>
                  <w:pPr>
                    <w:pStyle w:val="47"/>
                  </w:pPr>
                  <w:r>
                    <w:rPr>
                      <w:rFonts w:hint="eastAsia"/>
                    </w:rPr>
                    <w:t>425</w:t>
                  </w:r>
                </w:p>
              </w:tc>
              <w:tc>
                <w:tcPr>
                  <w:tcW w:w="1125" w:type="dxa"/>
                  <w:vAlign w:val="center"/>
                </w:tcPr>
                <w:p>
                  <w:pPr>
                    <w:pStyle w:val="47"/>
                  </w:pPr>
                  <w:r>
                    <w:rPr>
                      <w:rFonts w:hint="eastAsia"/>
                    </w:rPr>
                    <w:t>0.019</w:t>
                  </w:r>
                </w:p>
              </w:tc>
              <w:tc>
                <w:tcPr>
                  <w:tcW w:w="1080" w:type="dxa"/>
                  <w:vAlign w:val="center"/>
                </w:tcPr>
                <w:p>
                  <w:pPr>
                    <w:pStyle w:val="47"/>
                  </w:pPr>
                  <w:r>
                    <w:rPr>
                      <w:rFonts w:hint="eastAsia"/>
                    </w:rPr>
                    <w:t>2.0</w:t>
                  </w:r>
                </w:p>
              </w:tc>
              <w:tc>
                <w:tcPr>
                  <w:tcW w:w="975" w:type="dxa"/>
                  <w:vAlign w:val="center"/>
                </w:tcPr>
                <w:p>
                  <w:pPr>
                    <w:pStyle w:val="47"/>
                  </w:pPr>
                  <w:r>
                    <w:rPr>
                      <w:rFonts w:hint="eastAsia"/>
                    </w:rPr>
                    <w:t>0.7</w:t>
                  </w:r>
                </w:p>
              </w:tc>
              <w:tc>
                <w:tcPr>
                  <w:tcW w:w="976" w:type="dxa"/>
                  <w:vAlign w:val="center"/>
                </w:tcPr>
                <w:p>
                  <w:pPr>
                    <w:pStyle w:val="47"/>
                  </w:pPr>
                  <w:r>
                    <w:rPr>
                      <w:rFonts w:hint="eastAsia"/>
                    </w:rPr>
                    <w:t>50</w:t>
                  </w:r>
                </w:p>
              </w:tc>
              <w:tc>
                <w:tcPr>
                  <w:tcW w:w="1457" w:type="dxa"/>
                  <w:vMerge w:val="continue"/>
                  <w:vAlign w:val="center"/>
                </w:tcPr>
                <w:p>
                  <w:pPr>
                    <w:pStyle w:val="47"/>
                  </w:pPr>
                </w:p>
              </w:tc>
            </w:tr>
          </w:tbl>
          <w:p>
            <w:pPr>
              <w:ind w:firstLine="480"/>
            </w:pPr>
            <w:r>
              <w:t>由上表可知，根据《制定地方大气污染物排放标准的技术方法》（GB/T13201-91）的有关规定，</w:t>
            </w:r>
            <w:r>
              <w:rPr>
                <w:rFonts w:hint="eastAsia"/>
              </w:rPr>
              <w:t>当按两种或两种以上有害气体计算的卫生防护距离在同一级别时，企业的卫生防护距离级别应提高一级；卫生防护距离在</w:t>
            </w:r>
            <w:r>
              <w:t>100m</w:t>
            </w:r>
            <w:r>
              <w:rPr>
                <w:rFonts w:hint="eastAsia"/>
              </w:rPr>
              <w:t>以内时，级差为</w:t>
            </w:r>
            <w:r>
              <w:t>50m</w:t>
            </w:r>
            <w:r>
              <w:rPr>
                <w:rFonts w:hint="eastAsia"/>
              </w:rPr>
              <w:t>。根据上述计算，本项目需设置</w:t>
            </w:r>
            <w:r>
              <w:t>100</w:t>
            </w:r>
            <w:r>
              <w:rPr>
                <w:rFonts w:hint="eastAsia"/>
              </w:rPr>
              <w:t>米卫生防护距离</w:t>
            </w:r>
            <w:r>
              <w:t>。</w:t>
            </w:r>
          </w:p>
          <w:p>
            <w:pPr>
              <w:ind w:firstLine="480"/>
            </w:pPr>
            <w:r>
              <w:t>此外，由于本项目生产过程中产生的废气含有恶臭，根据对同类企业（</w:t>
            </w:r>
            <w:r>
              <w:rPr>
                <w:rFonts w:hint="eastAsia"/>
              </w:rPr>
              <w:t>嘉兴宇诚电子科技有限公司年产1000万套新型电子变压器新建项目，该企业生产工艺、原辅材料及生产设备与本项目基本一致</w:t>
            </w:r>
            <w:r>
              <w:t>）的调查，该类型企业车间内能闻到气味，且能辨认气味的性质（识别阈值），但感到很正常，恶臭等级在2~3级左右；在采取相应废气治理措施后，生产车间外勉强能闻到有气味，但不宜辩认气味性质（感觉阈值）认为无所谓，恶臭等级为0~1级。</w:t>
            </w:r>
          </w:p>
          <w:p>
            <w:pPr>
              <w:ind w:firstLine="480"/>
            </w:pPr>
            <w:r>
              <w:rPr>
                <w:rFonts w:hint="eastAsia"/>
              </w:rPr>
              <w:t>综合考虑卫生防护距离和恶臭影响范围，建议本项目生产车间需设置100米卫生防护距离（具体供相关职能部门参考）。</w:t>
            </w:r>
            <w:r>
              <w:t>根据现场踏勘，本项目生产车间外100米范围内没有环境敏感点，因此本项目100米的卫生防护距离可以实现。卫生防护距离包络线图见附图8。</w:t>
            </w:r>
          </w:p>
          <w:p>
            <w:pPr>
              <w:ind w:firstLine="480"/>
            </w:pPr>
            <w:r>
              <w:t>同时，本评价建议规划等有关部门在本项目生产车间100m范围内不批建住宅、医院、学校和食品企业等大气环境敏感点。在此基础上，本项目</w:t>
            </w:r>
            <w:r>
              <w:rPr>
                <w:rFonts w:hint="eastAsia"/>
              </w:rPr>
              <w:t>烟尘、</w:t>
            </w:r>
            <w:r>
              <w:t>非甲烷总烃和恶臭对周围环境的影响不大。</w:t>
            </w:r>
          </w:p>
          <w:p>
            <w:pPr>
              <w:pStyle w:val="6"/>
            </w:pPr>
            <w:r>
              <w:rPr>
                <w:rFonts w:hint="eastAsia"/>
              </w:rPr>
              <w:t>7.2.3.4</w:t>
            </w:r>
            <w:r>
              <w:t>建设项目大气环境影响评价自查表</w:t>
            </w:r>
          </w:p>
          <w:p>
            <w:pPr>
              <w:ind w:firstLine="480"/>
            </w:pPr>
            <w:r>
              <w:t>本项目大气环境影响评价自查表见下表7-</w:t>
            </w:r>
            <w:r>
              <w:rPr>
                <w:rFonts w:hint="eastAsia"/>
              </w:rPr>
              <w:t>14</w:t>
            </w:r>
            <w:r>
              <w:t>。</w:t>
            </w:r>
          </w:p>
          <w:p>
            <w:pPr>
              <w:pStyle w:val="46"/>
            </w:pPr>
            <w:r>
              <w:t>表7-</w:t>
            </w:r>
            <w:r>
              <w:rPr>
                <w:rFonts w:hint="eastAsia"/>
              </w:rPr>
              <w:t xml:space="preserve">14 </w:t>
            </w:r>
            <w:r>
              <w:t>建设项目大气环境影响评价自查表</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562"/>
              <w:gridCol w:w="826"/>
              <w:gridCol w:w="268"/>
              <w:gridCol w:w="391"/>
              <w:gridCol w:w="218"/>
              <w:gridCol w:w="235"/>
              <w:gridCol w:w="40"/>
              <w:gridCol w:w="145"/>
              <w:gridCol w:w="120"/>
              <w:gridCol w:w="537"/>
              <w:gridCol w:w="176"/>
              <w:gridCol w:w="375"/>
              <w:gridCol w:w="78"/>
              <w:gridCol w:w="256"/>
              <w:gridCol w:w="136"/>
              <w:gridCol w:w="614"/>
              <w:gridCol w:w="157"/>
              <w:gridCol w:w="112"/>
              <w:gridCol w:w="119"/>
              <w:gridCol w:w="119"/>
              <w:gridCol w:w="235"/>
              <w:gridCol w:w="38"/>
              <w:gridCol w:w="223"/>
              <w:gridCol w:w="190"/>
              <w:gridCol w:w="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06" w:type="pct"/>
                  <w:gridSpan w:val="2"/>
                  <w:tcBorders>
                    <w:top w:val="single" w:color="auto" w:sz="4" w:space="0"/>
                    <w:left w:val="single" w:color="auto" w:sz="4" w:space="0"/>
                    <w:bottom w:val="single" w:color="auto" w:sz="4" w:space="0"/>
                    <w:right w:val="single" w:color="auto" w:sz="4" w:space="0"/>
                  </w:tcBorders>
                  <w:vAlign w:val="center"/>
                </w:tcPr>
                <w:p>
                  <w:pPr>
                    <w:pStyle w:val="49"/>
                    <w:rPr>
                      <w:b/>
                      <w:bCs/>
                    </w:rPr>
                  </w:pPr>
                  <w:r>
                    <w:rPr>
                      <w:b/>
                      <w:bCs/>
                    </w:rPr>
                    <w:t>工作内容</w:t>
                  </w:r>
                </w:p>
              </w:tc>
              <w:tc>
                <w:tcPr>
                  <w:tcW w:w="3693" w:type="pct"/>
                  <w:gridSpan w:val="24"/>
                  <w:tcBorders>
                    <w:top w:val="single" w:color="auto" w:sz="4" w:space="0"/>
                    <w:left w:val="single" w:color="auto" w:sz="4" w:space="0"/>
                    <w:bottom w:val="single" w:color="auto" w:sz="4" w:space="0"/>
                    <w:right w:val="single" w:color="auto" w:sz="4" w:space="0"/>
                  </w:tcBorders>
                  <w:vAlign w:val="center"/>
                </w:tcPr>
                <w:p>
                  <w:pPr>
                    <w:pStyle w:val="49"/>
                    <w:rPr>
                      <w:b/>
                      <w:bCs/>
                    </w:rPr>
                  </w:pPr>
                  <w:r>
                    <w:rPr>
                      <w:b/>
                      <w:bCs/>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0" w:type="pct"/>
                  <w:vMerge w:val="restart"/>
                  <w:tcBorders>
                    <w:top w:val="single" w:color="auto" w:sz="4" w:space="0"/>
                    <w:left w:val="single" w:color="auto" w:sz="4" w:space="0"/>
                    <w:bottom w:val="single" w:color="auto" w:sz="4" w:space="0"/>
                    <w:right w:val="single" w:color="auto" w:sz="4" w:space="0"/>
                  </w:tcBorders>
                  <w:vAlign w:val="center"/>
                </w:tcPr>
                <w:p>
                  <w:pPr>
                    <w:pStyle w:val="49"/>
                  </w:pPr>
                  <w:r>
                    <w:t>评价等级与范围</w:t>
                  </w:r>
                </w:p>
              </w:tc>
              <w:tc>
                <w:tcPr>
                  <w:tcW w:w="896" w:type="pct"/>
                  <w:tcBorders>
                    <w:top w:val="single" w:color="auto" w:sz="4" w:space="0"/>
                    <w:left w:val="single" w:color="auto" w:sz="4" w:space="0"/>
                    <w:bottom w:val="single" w:color="auto" w:sz="4" w:space="0"/>
                    <w:right w:val="single" w:color="auto" w:sz="4" w:space="0"/>
                  </w:tcBorders>
                  <w:vAlign w:val="center"/>
                </w:tcPr>
                <w:p>
                  <w:pPr>
                    <w:pStyle w:val="49"/>
                  </w:pPr>
                  <w:r>
                    <w:t>评价等级</w:t>
                  </w:r>
                </w:p>
              </w:tc>
              <w:tc>
                <w:tcPr>
                  <w:tcW w:w="1135" w:type="pct"/>
                  <w:gridSpan w:val="6"/>
                  <w:tcBorders>
                    <w:top w:val="single" w:color="auto" w:sz="4" w:space="0"/>
                    <w:left w:val="single" w:color="auto" w:sz="4" w:space="0"/>
                    <w:bottom w:val="single" w:color="auto" w:sz="4" w:space="0"/>
                    <w:right w:val="single" w:color="auto" w:sz="4" w:space="0"/>
                  </w:tcBorders>
                  <w:vAlign w:val="center"/>
                </w:tcPr>
                <w:p>
                  <w:pPr>
                    <w:pStyle w:val="49"/>
                  </w:pPr>
                  <w:r>
                    <w:t>一级□</w:t>
                  </w:r>
                </w:p>
              </w:tc>
              <w:tc>
                <w:tcPr>
                  <w:tcW w:w="1487" w:type="pct"/>
                  <w:gridSpan w:val="10"/>
                  <w:tcBorders>
                    <w:top w:val="single" w:color="auto" w:sz="4" w:space="0"/>
                    <w:left w:val="single" w:color="auto" w:sz="4" w:space="0"/>
                    <w:bottom w:val="single" w:color="auto" w:sz="4" w:space="0"/>
                    <w:right w:val="single" w:color="auto" w:sz="4" w:space="0"/>
                  </w:tcBorders>
                  <w:vAlign w:val="center"/>
                </w:tcPr>
                <w:p>
                  <w:pPr>
                    <w:pStyle w:val="49"/>
                  </w:pPr>
                  <w:r>
                    <w:t>二级□</w:t>
                  </w:r>
                </w:p>
              </w:tc>
              <w:tc>
                <w:tcPr>
                  <w:tcW w:w="1070" w:type="pct"/>
                  <w:gridSpan w:val="8"/>
                  <w:tcBorders>
                    <w:top w:val="single" w:color="auto" w:sz="4" w:space="0"/>
                    <w:left w:val="single" w:color="auto" w:sz="4" w:space="0"/>
                    <w:bottom w:val="single" w:color="auto" w:sz="4" w:space="0"/>
                    <w:right w:val="single" w:color="auto" w:sz="4" w:space="0"/>
                  </w:tcBorders>
                  <w:vAlign w:val="center"/>
                </w:tcPr>
                <w:p>
                  <w:pPr>
                    <w:pStyle w:val="49"/>
                  </w:pPr>
                  <w:r>
                    <w:t>三级</w:t>
                  </w:r>
                  <w:r>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0"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896" w:type="pct"/>
                  <w:tcBorders>
                    <w:top w:val="single" w:color="auto" w:sz="4" w:space="0"/>
                    <w:left w:val="single" w:color="auto" w:sz="4" w:space="0"/>
                    <w:bottom w:val="single" w:color="auto" w:sz="4" w:space="0"/>
                    <w:right w:val="single" w:color="auto" w:sz="4" w:space="0"/>
                  </w:tcBorders>
                  <w:vAlign w:val="center"/>
                </w:tcPr>
                <w:p>
                  <w:pPr>
                    <w:pStyle w:val="49"/>
                  </w:pPr>
                  <w:r>
                    <w:t>评价范围</w:t>
                  </w:r>
                </w:p>
              </w:tc>
              <w:tc>
                <w:tcPr>
                  <w:tcW w:w="1135" w:type="pct"/>
                  <w:gridSpan w:val="6"/>
                  <w:tcBorders>
                    <w:top w:val="single" w:color="auto" w:sz="4" w:space="0"/>
                    <w:left w:val="single" w:color="auto" w:sz="4" w:space="0"/>
                    <w:bottom w:val="single" w:color="auto" w:sz="4" w:space="0"/>
                    <w:right w:val="single" w:color="auto" w:sz="4" w:space="0"/>
                  </w:tcBorders>
                  <w:vAlign w:val="center"/>
                </w:tcPr>
                <w:p>
                  <w:pPr>
                    <w:pStyle w:val="49"/>
                  </w:pPr>
                  <w:r>
                    <w:t>边长=50km□</w:t>
                  </w:r>
                </w:p>
              </w:tc>
              <w:tc>
                <w:tcPr>
                  <w:tcW w:w="1487" w:type="pct"/>
                  <w:gridSpan w:val="10"/>
                  <w:tcBorders>
                    <w:top w:val="single" w:color="auto" w:sz="4" w:space="0"/>
                    <w:left w:val="single" w:color="auto" w:sz="4" w:space="0"/>
                    <w:bottom w:val="single" w:color="auto" w:sz="4" w:space="0"/>
                    <w:right w:val="single" w:color="auto" w:sz="4" w:space="0"/>
                  </w:tcBorders>
                  <w:vAlign w:val="center"/>
                </w:tcPr>
                <w:p>
                  <w:pPr>
                    <w:pStyle w:val="49"/>
                  </w:pPr>
                  <w:r>
                    <w:t>边长5~50km□</w:t>
                  </w:r>
                </w:p>
              </w:tc>
              <w:tc>
                <w:tcPr>
                  <w:tcW w:w="1070" w:type="pct"/>
                  <w:gridSpan w:val="8"/>
                  <w:tcBorders>
                    <w:top w:val="single" w:color="auto" w:sz="4" w:space="0"/>
                    <w:left w:val="single" w:color="auto" w:sz="4" w:space="0"/>
                    <w:bottom w:val="single" w:color="auto" w:sz="4" w:space="0"/>
                    <w:right w:val="single" w:color="auto" w:sz="4" w:space="0"/>
                  </w:tcBorders>
                  <w:vAlign w:val="center"/>
                </w:tcPr>
                <w:p>
                  <w:pPr>
                    <w:pStyle w:val="49"/>
                  </w:pPr>
                  <w:r>
                    <w:t>边长=5km□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0" w:type="pct"/>
                  <w:vMerge w:val="restart"/>
                  <w:tcBorders>
                    <w:top w:val="single" w:color="auto" w:sz="4" w:space="0"/>
                    <w:left w:val="single" w:color="auto" w:sz="4" w:space="0"/>
                    <w:bottom w:val="single" w:color="auto" w:sz="4" w:space="0"/>
                    <w:right w:val="single" w:color="auto" w:sz="4" w:space="0"/>
                  </w:tcBorders>
                  <w:vAlign w:val="center"/>
                </w:tcPr>
                <w:p>
                  <w:pPr>
                    <w:pStyle w:val="49"/>
                  </w:pPr>
                  <w:r>
                    <w:t>评价</w:t>
                  </w:r>
                </w:p>
                <w:p>
                  <w:pPr>
                    <w:pStyle w:val="49"/>
                  </w:pPr>
                  <w:r>
                    <w:t>因子</w:t>
                  </w:r>
                </w:p>
              </w:tc>
              <w:tc>
                <w:tcPr>
                  <w:tcW w:w="896" w:type="pct"/>
                  <w:tcBorders>
                    <w:top w:val="single" w:color="auto" w:sz="4" w:space="0"/>
                    <w:left w:val="single" w:color="auto" w:sz="4" w:space="0"/>
                    <w:bottom w:val="single" w:color="auto" w:sz="4" w:space="0"/>
                    <w:right w:val="single" w:color="auto" w:sz="4" w:space="0"/>
                  </w:tcBorders>
                  <w:vAlign w:val="center"/>
                </w:tcPr>
                <w:p>
                  <w:pPr>
                    <w:pStyle w:val="49"/>
                  </w:pPr>
                  <w:r>
                    <w:t>SO</w:t>
                  </w:r>
                  <w:r>
                    <w:rPr>
                      <w:vertAlign w:val="subscript"/>
                    </w:rPr>
                    <w:t>2</w:t>
                  </w:r>
                  <w:r>
                    <w:t>+NOx排放量</w:t>
                  </w:r>
                </w:p>
              </w:tc>
              <w:tc>
                <w:tcPr>
                  <w:tcW w:w="1135" w:type="pct"/>
                  <w:gridSpan w:val="6"/>
                  <w:tcBorders>
                    <w:top w:val="single" w:color="auto" w:sz="4" w:space="0"/>
                    <w:left w:val="single" w:color="auto" w:sz="4" w:space="0"/>
                    <w:bottom w:val="single" w:color="auto" w:sz="4" w:space="0"/>
                    <w:right w:val="single" w:color="auto" w:sz="4" w:space="0"/>
                  </w:tcBorders>
                  <w:vAlign w:val="center"/>
                </w:tcPr>
                <w:p>
                  <w:pPr>
                    <w:pStyle w:val="49"/>
                  </w:pPr>
                  <w:r>
                    <w:t>≥2000t/a□</w:t>
                  </w:r>
                </w:p>
              </w:tc>
              <w:tc>
                <w:tcPr>
                  <w:tcW w:w="1487" w:type="pct"/>
                  <w:gridSpan w:val="10"/>
                  <w:tcBorders>
                    <w:top w:val="single" w:color="auto" w:sz="4" w:space="0"/>
                    <w:left w:val="single" w:color="auto" w:sz="4" w:space="0"/>
                    <w:bottom w:val="single" w:color="auto" w:sz="4" w:space="0"/>
                    <w:right w:val="single" w:color="auto" w:sz="4" w:space="0"/>
                  </w:tcBorders>
                  <w:vAlign w:val="center"/>
                </w:tcPr>
                <w:p>
                  <w:pPr>
                    <w:pStyle w:val="49"/>
                  </w:pPr>
                  <w:r>
                    <w:t>500~2000t/a□</w:t>
                  </w:r>
                </w:p>
              </w:tc>
              <w:tc>
                <w:tcPr>
                  <w:tcW w:w="1070" w:type="pct"/>
                  <w:gridSpan w:val="8"/>
                  <w:tcBorders>
                    <w:top w:val="single" w:color="auto" w:sz="4" w:space="0"/>
                    <w:left w:val="single" w:color="auto" w:sz="4" w:space="0"/>
                    <w:bottom w:val="single" w:color="auto" w:sz="4" w:space="0"/>
                    <w:right w:val="single" w:color="auto" w:sz="4" w:space="0"/>
                  </w:tcBorders>
                  <w:vAlign w:val="center"/>
                </w:tcPr>
                <w:p>
                  <w:pPr>
                    <w:pStyle w:val="49"/>
                  </w:pPr>
                  <w:r>
                    <w:t>&lt;500t/a□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0"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896" w:type="pct"/>
                  <w:tcBorders>
                    <w:top w:val="single" w:color="auto" w:sz="4" w:space="0"/>
                    <w:left w:val="single" w:color="auto" w:sz="4" w:space="0"/>
                    <w:bottom w:val="single" w:color="auto" w:sz="4" w:space="0"/>
                    <w:right w:val="single" w:color="auto" w:sz="4" w:space="0"/>
                  </w:tcBorders>
                  <w:vAlign w:val="center"/>
                </w:tcPr>
                <w:p>
                  <w:pPr>
                    <w:pStyle w:val="49"/>
                  </w:pPr>
                  <w:r>
                    <w:t>评价因子</w:t>
                  </w:r>
                </w:p>
              </w:tc>
              <w:tc>
                <w:tcPr>
                  <w:tcW w:w="2623" w:type="pct"/>
                  <w:gridSpan w:val="16"/>
                  <w:tcBorders>
                    <w:top w:val="single" w:color="auto" w:sz="4" w:space="0"/>
                    <w:left w:val="single" w:color="auto" w:sz="4" w:space="0"/>
                    <w:bottom w:val="single" w:color="auto" w:sz="4" w:space="0"/>
                    <w:right w:val="single" w:color="auto" w:sz="4" w:space="0"/>
                  </w:tcBorders>
                  <w:vAlign w:val="center"/>
                </w:tcPr>
                <w:p>
                  <w:pPr>
                    <w:pStyle w:val="49"/>
                  </w:pPr>
                  <w:r>
                    <w:t>基本污染物（</w:t>
                  </w:r>
                  <w:r>
                    <w:rPr>
                      <w:rFonts w:hint="eastAsia"/>
                    </w:rPr>
                    <w:t>PM</w:t>
                  </w:r>
                  <w:r>
                    <w:rPr>
                      <w:rFonts w:hint="eastAsia"/>
                      <w:vertAlign w:val="subscript"/>
                    </w:rPr>
                    <w:t>10</w:t>
                  </w:r>
                  <w:r>
                    <w:t>）</w:t>
                  </w:r>
                </w:p>
                <w:p>
                  <w:pPr>
                    <w:pStyle w:val="49"/>
                  </w:pPr>
                  <w:r>
                    <w:t>其他污染物（</w:t>
                  </w:r>
                  <w:r>
                    <w:rPr>
                      <w:rFonts w:hint="eastAsia"/>
                    </w:rPr>
                    <w:t>NMHC</w:t>
                  </w:r>
                  <w:r>
                    <w:t>）</w:t>
                  </w:r>
                </w:p>
              </w:tc>
              <w:tc>
                <w:tcPr>
                  <w:tcW w:w="1070" w:type="pct"/>
                  <w:gridSpan w:val="8"/>
                  <w:tcBorders>
                    <w:top w:val="single" w:color="auto" w:sz="4" w:space="0"/>
                    <w:left w:val="single" w:color="auto" w:sz="4" w:space="0"/>
                    <w:bottom w:val="single" w:color="auto" w:sz="4" w:space="0"/>
                    <w:right w:val="single" w:color="auto" w:sz="4" w:space="0"/>
                  </w:tcBorders>
                  <w:vAlign w:val="center"/>
                </w:tcPr>
                <w:p>
                  <w:pPr>
                    <w:pStyle w:val="49"/>
                  </w:pPr>
                  <w:r>
                    <w:t>包括二次PM</w:t>
                  </w:r>
                  <w:r>
                    <w:rPr>
                      <w:vertAlign w:val="subscript"/>
                    </w:rPr>
                    <w:t>2.5</w:t>
                  </w:r>
                  <w:r>
                    <w:t>□</w:t>
                  </w:r>
                </w:p>
                <w:p>
                  <w:pPr>
                    <w:pStyle w:val="49"/>
                  </w:pPr>
                  <w:r>
                    <w:t>不包括二次PM</w:t>
                  </w:r>
                  <w:r>
                    <w:rPr>
                      <w:vertAlign w:val="subscript"/>
                    </w:rPr>
                    <w:t>2.5</w:t>
                  </w:r>
                  <w:r>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0" w:type="pct"/>
                  <w:tcBorders>
                    <w:top w:val="single" w:color="auto" w:sz="4" w:space="0"/>
                    <w:left w:val="single" w:color="auto" w:sz="4" w:space="0"/>
                    <w:bottom w:val="single" w:color="auto" w:sz="4" w:space="0"/>
                    <w:right w:val="single" w:color="auto" w:sz="4" w:space="0"/>
                  </w:tcBorders>
                  <w:vAlign w:val="center"/>
                </w:tcPr>
                <w:p>
                  <w:pPr>
                    <w:pStyle w:val="49"/>
                  </w:pPr>
                  <w:r>
                    <w:t>评价</w:t>
                  </w:r>
                </w:p>
                <w:p>
                  <w:pPr>
                    <w:pStyle w:val="49"/>
                  </w:pPr>
                  <w:r>
                    <w:t>标准</w:t>
                  </w:r>
                </w:p>
              </w:tc>
              <w:tc>
                <w:tcPr>
                  <w:tcW w:w="896" w:type="pct"/>
                  <w:tcBorders>
                    <w:top w:val="single" w:color="auto" w:sz="4" w:space="0"/>
                    <w:left w:val="single" w:color="auto" w:sz="4" w:space="0"/>
                    <w:bottom w:val="single" w:color="auto" w:sz="4" w:space="0"/>
                    <w:right w:val="single" w:color="auto" w:sz="4" w:space="0"/>
                  </w:tcBorders>
                  <w:vAlign w:val="center"/>
                </w:tcPr>
                <w:p>
                  <w:pPr>
                    <w:pStyle w:val="49"/>
                  </w:pPr>
                  <w:r>
                    <w:t>评价标准</w:t>
                  </w:r>
                </w:p>
              </w:tc>
              <w:tc>
                <w:tcPr>
                  <w:tcW w:w="977" w:type="pct"/>
                  <w:gridSpan w:val="4"/>
                  <w:tcBorders>
                    <w:top w:val="single" w:color="auto" w:sz="4" w:space="0"/>
                    <w:left w:val="single" w:color="auto" w:sz="4" w:space="0"/>
                    <w:bottom w:val="single" w:color="auto" w:sz="4" w:space="0"/>
                    <w:right w:val="single" w:color="auto" w:sz="4" w:space="0"/>
                  </w:tcBorders>
                  <w:vAlign w:val="center"/>
                </w:tcPr>
                <w:p>
                  <w:pPr>
                    <w:pStyle w:val="49"/>
                  </w:pPr>
                  <w:r>
                    <w:t>国家标准</w:t>
                  </w:r>
                  <w:r>
                    <w:rPr/>
                    <w:sym w:font="Wingdings 2" w:char="F052"/>
                  </w:r>
                </w:p>
              </w:tc>
              <w:tc>
                <w:tcPr>
                  <w:tcW w:w="934" w:type="pct"/>
                  <w:gridSpan w:val="7"/>
                  <w:tcBorders>
                    <w:top w:val="single" w:color="auto" w:sz="4" w:space="0"/>
                    <w:left w:val="single" w:color="auto" w:sz="4" w:space="0"/>
                    <w:bottom w:val="single" w:color="auto" w:sz="4" w:space="0"/>
                    <w:right w:val="single" w:color="auto" w:sz="4" w:space="0"/>
                  </w:tcBorders>
                  <w:vAlign w:val="center"/>
                </w:tcPr>
                <w:p>
                  <w:pPr>
                    <w:pStyle w:val="49"/>
                  </w:pPr>
                  <w:r>
                    <w:t>地方标准</w:t>
                  </w:r>
                  <w:r>
                    <w:rPr/>
                    <w:sym w:font="Wingdings 2" w:char="F052"/>
                  </w:r>
                </w:p>
              </w:tc>
              <w:tc>
                <w:tcPr>
                  <w:tcW w:w="1047" w:type="pct"/>
                  <w:gridSpan w:val="9"/>
                  <w:tcBorders>
                    <w:top w:val="single" w:color="auto" w:sz="4" w:space="0"/>
                    <w:left w:val="single" w:color="auto" w:sz="4" w:space="0"/>
                    <w:bottom w:val="single" w:color="auto" w:sz="4" w:space="0"/>
                    <w:right w:val="single" w:color="auto" w:sz="4" w:space="0"/>
                  </w:tcBorders>
                  <w:vAlign w:val="center"/>
                </w:tcPr>
                <w:p>
                  <w:pPr>
                    <w:pStyle w:val="49"/>
                  </w:pPr>
                  <w:r>
                    <w:t>附录D□</w:t>
                  </w:r>
                </w:p>
              </w:tc>
              <w:tc>
                <w:tcPr>
                  <w:tcW w:w="733" w:type="pct"/>
                  <w:gridSpan w:val="4"/>
                  <w:tcBorders>
                    <w:top w:val="single" w:color="auto" w:sz="4" w:space="0"/>
                    <w:left w:val="single" w:color="auto" w:sz="4" w:space="0"/>
                    <w:bottom w:val="single" w:color="auto" w:sz="4" w:space="0"/>
                    <w:right w:val="single" w:color="auto" w:sz="4" w:space="0"/>
                  </w:tcBorders>
                  <w:vAlign w:val="center"/>
                </w:tcPr>
                <w:p>
                  <w:pPr>
                    <w:pStyle w:val="49"/>
                  </w:pPr>
                  <w:r>
                    <w:t>其他标准□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0" w:type="pct"/>
                  <w:vMerge w:val="restart"/>
                  <w:tcBorders>
                    <w:top w:val="single" w:color="auto" w:sz="4" w:space="0"/>
                    <w:left w:val="single" w:color="auto" w:sz="4" w:space="0"/>
                    <w:bottom w:val="single" w:color="auto" w:sz="4" w:space="0"/>
                    <w:right w:val="single" w:color="auto" w:sz="4" w:space="0"/>
                  </w:tcBorders>
                  <w:vAlign w:val="center"/>
                </w:tcPr>
                <w:p>
                  <w:pPr>
                    <w:pStyle w:val="49"/>
                  </w:pPr>
                  <w:r>
                    <w:t>现状</w:t>
                  </w:r>
                </w:p>
                <w:p>
                  <w:pPr>
                    <w:pStyle w:val="49"/>
                  </w:pPr>
                  <w:r>
                    <w:t>评价</w:t>
                  </w:r>
                </w:p>
              </w:tc>
              <w:tc>
                <w:tcPr>
                  <w:tcW w:w="896" w:type="pct"/>
                  <w:tcBorders>
                    <w:top w:val="single" w:color="auto" w:sz="4" w:space="0"/>
                    <w:left w:val="single" w:color="auto" w:sz="4" w:space="0"/>
                    <w:bottom w:val="single" w:color="auto" w:sz="4" w:space="0"/>
                    <w:right w:val="single" w:color="auto" w:sz="4" w:space="0"/>
                  </w:tcBorders>
                  <w:vAlign w:val="center"/>
                </w:tcPr>
                <w:p>
                  <w:pPr>
                    <w:pStyle w:val="49"/>
                  </w:pPr>
                  <w:r>
                    <w:t>环境功能区</w:t>
                  </w:r>
                </w:p>
              </w:tc>
              <w:tc>
                <w:tcPr>
                  <w:tcW w:w="1135" w:type="pct"/>
                  <w:gridSpan w:val="6"/>
                  <w:tcBorders>
                    <w:top w:val="single" w:color="auto" w:sz="4" w:space="0"/>
                    <w:left w:val="single" w:color="auto" w:sz="4" w:space="0"/>
                    <w:bottom w:val="single" w:color="auto" w:sz="4" w:space="0"/>
                    <w:right w:val="single" w:color="auto" w:sz="4" w:space="0"/>
                  </w:tcBorders>
                  <w:vAlign w:val="center"/>
                </w:tcPr>
                <w:p>
                  <w:pPr>
                    <w:pStyle w:val="49"/>
                  </w:pPr>
                  <w:r>
                    <w:t>一类区□</w:t>
                  </w:r>
                </w:p>
              </w:tc>
              <w:tc>
                <w:tcPr>
                  <w:tcW w:w="1487" w:type="pct"/>
                  <w:gridSpan w:val="10"/>
                  <w:tcBorders>
                    <w:top w:val="single" w:color="auto" w:sz="4" w:space="0"/>
                    <w:left w:val="single" w:color="auto" w:sz="4" w:space="0"/>
                    <w:bottom w:val="single" w:color="auto" w:sz="4" w:space="0"/>
                    <w:right w:val="single" w:color="auto" w:sz="4" w:space="0"/>
                  </w:tcBorders>
                  <w:vAlign w:val="center"/>
                </w:tcPr>
                <w:p>
                  <w:pPr>
                    <w:pStyle w:val="49"/>
                  </w:pPr>
                  <w:r>
                    <w:t>二类区</w:t>
                  </w:r>
                  <w:r>
                    <w:rPr/>
                    <w:sym w:font="Wingdings 2" w:char="F052"/>
                  </w:r>
                </w:p>
              </w:tc>
              <w:tc>
                <w:tcPr>
                  <w:tcW w:w="1070" w:type="pct"/>
                  <w:gridSpan w:val="8"/>
                  <w:tcBorders>
                    <w:top w:val="single" w:color="auto" w:sz="4" w:space="0"/>
                    <w:left w:val="single" w:color="auto" w:sz="4" w:space="0"/>
                    <w:bottom w:val="single" w:color="auto" w:sz="4" w:space="0"/>
                    <w:right w:val="single" w:color="auto" w:sz="4" w:space="0"/>
                  </w:tcBorders>
                  <w:vAlign w:val="center"/>
                </w:tcPr>
                <w:p>
                  <w:pPr>
                    <w:pStyle w:val="49"/>
                  </w:pPr>
                  <w:r>
                    <w:t>一类区和二类区□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0"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896" w:type="pct"/>
                  <w:tcBorders>
                    <w:top w:val="single" w:color="auto" w:sz="4" w:space="0"/>
                    <w:left w:val="single" w:color="auto" w:sz="4" w:space="0"/>
                    <w:bottom w:val="single" w:color="auto" w:sz="4" w:space="0"/>
                    <w:right w:val="single" w:color="auto" w:sz="4" w:space="0"/>
                  </w:tcBorders>
                  <w:vAlign w:val="center"/>
                </w:tcPr>
                <w:p>
                  <w:pPr>
                    <w:pStyle w:val="49"/>
                  </w:pPr>
                  <w:r>
                    <w:t>评价基准年</w:t>
                  </w:r>
                </w:p>
              </w:tc>
              <w:tc>
                <w:tcPr>
                  <w:tcW w:w="3693" w:type="pct"/>
                  <w:gridSpan w:val="24"/>
                  <w:tcBorders>
                    <w:top w:val="single" w:color="auto" w:sz="4" w:space="0"/>
                    <w:left w:val="single" w:color="auto" w:sz="4" w:space="0"/>
                    <w:bottom w:val="single" w:color="auto" w:sz="4" w:space="0"/>
                    <w:right w:val="single" w:color="auto" w:sz="4" w:space="0"/>
                  </w:tcBorders>
                  <w:vAlign w:val="center"/>
                </w:tcPr>
                <w:p>
                  <w:pPr>
                    <w:pStyle w:val="49"/>
                  </w:pPr>
                  <w:r>
                    <w:t>（2019）年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0"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896" w:type="pct"/>
                  <w:tcBorders>
                    <w:top w:val="single" w:color="auto" w:sz="4" w:space="0"/>
                    <w:left w:val="single" w:color="auto" w:sz="4" w:space="0"/>
                    <w:bottom w:val="single" w:color="auto" w:sz="4" w:space="0"/>
                    <w:right w:val="single" w:color="auto" w:sz="4" w:space="0"/>
                  </w:tcBorders>
                  <w:vAlign w:val="center"/>
                </w:tcPr>
                <w:p>
                  <w:pPr>
                    <w:pStyle w:val="49"/>
                  </w:pPr>
                  <w:r>
                    <w:t>环境空气质量现状调查数据来源</w:t>
                  </w:r>
                </w:p>
              </w:tc>
              <w:tc>
                <w:tcPr>
                  <w:tcW w:w="1135" w:type="pct"/>
                  <w:gridSpan w:val="6"/>
                  <w:tcBorders>
                    <w:top w:val="single" w:color="auto" w:sz="4" w:space="0"/>
                    <w:left w:val="single" w:color="auto" w:sz="4" w:space="0"/>
                    <w:bottom w:val="single" w:color="auto" w:sz="4" w:space="0"/>
                    <w:right w:val="single" w:color="auto" w:sz="4" w:space="0"/>
                  </w:tcBorders>
                  <w:vAlign w:val="center"/>
                </w:tcPr>
                <w:p>
                  <w:pPr>
                    <w:pStyle w:val="49"/>
                  </w:pPr>
                  <w:r>
                    <w:t>长期例行监测数据□</w:t>
                  </w:r>
                </w:p>
              </w:tc>
              <w:tc>
                <w:tcPr>
                  <w:tcW w:w="1487" w:type="pct"/>
                  <w:gridSpan w:val="10"/>
                  <w:tcBorders>
                    <w:top w:val="single" w:color="auto" w:sz="4" w:space="0"/>
                    <w:left w:val="single" w:color="auto" w:sz="4" w:space="0"/>
                    <w:bottom w:val="single" w:color="auto" w:sz="4" w:space="0"/>
                    <w:right w:val="single" w:color="auto" w:sz="4" w:space="0"/>
                  </w:tcBorders>
                  <w:vAlign w:val="center"/>
                </w:tcPr>
                <w:p>
                  <w:pPr>
                    <w:pStyle w:val="49"/>
                  </w:pPr>
                  <w:r>
                    <w:t>主管部门发布的数据</w:t>
                  </w:r>
                  <w:r>
                    <w:rPr/>
                    <w:sym w:font="Wingdings 2" w:char="F052"/>
                  </w:r>
                </w:p>
              </w:tc>
              <w:tc>
                <w:tcPr>
                  <w:tcW w:w="1070" w:type="pct"/>
                  <w:gridSpan w:val="8"/>
                  <w:tcBorders>
                    <w:top w:val="single" w:color="auto" w:sz="4" w:space="0"/>
                    <w:left w:val="single" w:color="auto" w:sz="4" w:space="0"/>
                    <w:bottom w:val="single" w:color="auto" w:sz="4" w:space="0"/>
                    <w:right w:val="single" w:color="auto" w:sz="4" w:space="0"/>
                  </w:tcBorders>
                  <w:vAlign w:val="center"/>
                </w:tcPr>
                <w:p>
                  <w:pPr>
                    <w:pStyle w:val="49"/>
                  </w:pPr>
                  <w:r>
                    <w:t>现状补充监测□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0"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896" w:type="pct"/>
                  <w:tcBorders>
                    <w:top w:val="single" w:color="auto" w:sz="4" w:space="0"/>
                    <w:left w:val="single" w:color="auto" w:sz="4" w:space="0"/>
                    <w:bottom w:val="single" w:color="auto" w:sz="4" w:space="0"/>
                    <w:right w:val="single" w:color="auto" w:sz="4" w:space="0"/>
                  </w:tcBorders>
                  <w:vAlign w:val="center"/>
                </w:tcPr>
                <w:p>
                  <w:pPr>
                    <w:pStyle w:val="49"/>
                  </w:pPr>
                  <w:r>
                    <w:t>现状评价</w:t>
                  </w:r>
                </w:p>
              </w:tc>
              <w:tc>
                <w:tcPr>
                  <w:tcW w:w="1696" w:type="pct"/>
                  <w:gridSpan w:val="10"/>
                  <w:tcBorders>
                    <w:top w:val="single" w:color="auto" w:sz="4" w:space="0"/>
                    <w:left w:val="single" w:color="auto" w:sz="4" w:space="0"/>
                    <w:bottom w:val="single" w:color="auto" w:sz="4" w:space="0"/>
                    <w:right w:val="single" w:color="auto" w:sz="4" w:space="0"/>
                  </w:tcBorders>
                  <w:vAlign w:val="center"/>
                </w:tcPr>
                <w:p>
                  <w:pPr>
                    <w:pStyle w:val="49"/>
                  </w:pPr>
                  <w:r>
                    <w:t>达标区□</w:t>
                  </w:r>
                </w:p>
              </w:tc>
              <w:tc>
                <w:tcPr>
                  <w:tcW w:w="1997" w:type="pct"/>
                  <w:gridSpan w:val="14"/>
                  <w:tcBorders>
                    <w:top w:val="single" w:color="auto" w:sz="4" w:space="0"/>
                    <w:left w:val="single" w:color="auto" w:sz="4" w:space="0"/>
                    <w:bottom w:val="single" w:color="auto" w:sz="4" w:space="0"/>
                    <w:right w:val="single" w:color="auto" w:sz="4" w:space="0"/>
                  </w:tcBorders>
                  <w:vAlign w:val="center"/>
                </w:tcPr>
                <w:p>
                  <w:pPr>
                    <w:pStyle w:val="49"/>
                  </w:pPr>
                  <w:r>
                    <w:t>不达标区</w:t>
                  </w:r>
                  <w:r>
                    <w:rPr/>
                    <w:sym w:font="Wingdings 2" w:char="F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0" w:type="pct"/>
                  <w:tcBorders>
                    <w:top w:val="single" w:color="auto" w:sz="4" w:space="0"/>
                    <w:left w:val="single" w:color="auto" w:sz="4" w:space="0"/>
                    <w:bottom w:val="single" w:color="auto" w:sz="4" w:space="0"/>
                    <w:right w:val="single" w:color="auto" w:sz="4" w:space="0"/>
                  </w:tcBorders>
                  <w:vAlign w:val="center"/>
                </w:tcPr>
                <w:p>
                  <w:pPr>
                    <w:pStyle w:val="49"/>
                  </w:pPr>
                  <w:r>
                    <w:t>污染源调查</w:t>
                  </w:r>
                </w:p>
              </w:tc>
              <w:tc>
                <w:tcPr>
                  <w:tcW w:w="896" w:type="pct"/>
                  <w:tcBorders>
                    <w:top w:val="single" w:color="auto" w:sz="4" w:space="0"/>
                    <w:left w:val="single" w:color="auto" w:sz="4" w:space="0"/>
                    <w:bottom w:val="single" w:color="auto" w:sz="4" w:space="0"/>
                    <w:right w:val="single" w:color="auto" w:sz="4" w:space="0"/>
                  </w:tcBorders>
                  <w:vAlign w:val="center"/>
                </w:tcPr>
                <w:p>
                  <w:pPr>
                    <w:pStyle w:val="49"/>
                  </w:pPr>
                  <w:r>
                    <w:t>调查内容</w:t>
                  </w:r>
                </w:p>
              </w:tc>
              <w:tc>
                <w:tcPr>
                  <w:tcW w:w="1218" w:type="pct"/>
                  <w:gridSpan w:val="7"/>
                  <w:tcBorders>
                    <w:top w:val="single" w:color="auto" w:sz="4" w:space="0"/>
                    <w:left w:val="single" w:color="auto" w:sz="4" w:space="0"/>
                    <w:bottom w:val="single" w:color="auto" w:sz="4" w:space="0"/>
                    <w:right w:val="single" w:color="auto" w:sz="4" w:space="0"/>
                  </w:tcBorders>
                  <w:vAlign w:val="center"/>
                </w:tcPr>
                <w:p>
                  <w:pPr>
                    <w:pStyle w:val="49"/>
                    <w:jc w:val="left"/>
                  </w:pPr>
                  <w:r>
                    <w:t>本项目正常排放源□</w:t>
                  </w:r>
                </w:p>
                <w:p>
                  <w:pPr>
                    <w:pStyle w:val="49"/>
                    <w:jc w:val="left"/>
                  </w:pPr>
                  <w:r>
                    <w:t>本项目非正常排放源□</w:t>
                  </w:r>
                </w:p>
                <w:p>
                  <w:pPr>
                    <w:pStyle w:val="49"/>
                    <w:jc w:val="left"/>
                  </w:pPr>
                  <w:r>
                    <w:t>现有污染源□</w:t>
                  </w:r>
                </w:p>
              </w:tc>
              <w:tc>
                <w:tcPr>
                  <w:tcW w:w="738" w:type="pct"/>
                  <w:gridSpan w:val="5"/>
                  <w:tcBorders>
                    <w:top w:val="single" w:color="auto" w:sz="4" w:space="0"/>
                    <w:left w:val="single" w:color="auto" w:sz="4" w:space="0"/>
                    <w:bottom w:val="single" w:color="auto" w:sz="4" w:space="0"/>
                    <w:right w:val="single" w:color="auto" w:sz="4" w:space="0"/>
                  </w:tcBorders>
                  <w:vAlign w:val="center"/>
                </w:tcPr>
                <w:p>
                  <w:pPr>
                    <w:pStyle w:val="49"/>
                  </w:pPr>
                  <w:r>
                    <w:t>拟替代的污染源□</w:t>
                  </w:r>
                </w:p>
              </w:tc>
              <w:tc>
                <w:tcPr>
                  <w:tcW w:w="1024" w:type="pct"/>
                  <w:gridSpan w:val="9"/>
                  <w:tcBorders>
                    <w:top w:val="single" w:color="auto" w:sz="4" w:space="0"/>
                    <w:left w:val="single" w:color="auto" w:sz="4" w:space="0"/>
                    <w:bottom w:val="single" w:color="auto" w:sz="4" w:space="0"/>
                    <w:right w:val="single" w:color="auto" w:sz="4" w:space="0"/>
                  </w:tcBorders>
                  <w:vAlign w:val="center"/>
                </w:tcPr>
                <w:p>
                  <w:pPr>
                    <w:pStyle w:val="49"/>
                  </w:pPr>
                  <w:r>
                    <w:t>其他在建、拟建项目污染源□</w:t>
                  </w:r>
                </w:p>
              </w:tc>
              <w:tc>
                <w:tcPr>
                  <w:tcW w:w="711" w:type="pct"/>
                  <w:gridSpan w:val="3"/>
                  <w:tcBorders>
                    <w:top w:val="single" w:color="auto" w:sz="4" w:space="0"/>
                    <w:left w:val="single" w:color="auto" w:sz="4" w:space="0"/>
                    <w:bottom w:val="single" w:color="auto" w:sz="4" w:space="0"/>
                    <w:right w:val="single" w:color="auto" w:sz="4" w:space="0"/>
                  </w:tcBorders>
                  <w:vAlign w:val="center"/>
                </w:tcPr>
                <w:p>
                  <w:pPr>
                    <w:pStyle w:val="49"/>
                  </w:pPr>
                  <w:r>
                    <w:t>区域污染源□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0" w:type="pct"/>
                  <w:vMerge w:val="restart"/>
                  <w:tcBorders>
                    <w:top w:val="single" w:color="auto" w:sz="4" w:space="0"/>
                    <w:left w:val="single" w:color="auto" w:sz="4" w:space="0"/>
                    <w:bottom w:val="single" w:color="auto" w:sz="4" w:space="0"/>
                    <w:right w:val="single" w:color="auto" w:sz="4" w:space="0"/>
                  </w:tcBorders>
                  <w:vAlign w:val="center"/>
                </w:tcPr>
                <w:p>
                  <w:pPr>
                    <w:pStyle w:val="49"/>
                  </w:pPr>
                  <w:r>
                    <w:t>大气环境影响预测与评价（本项目不涉及）</w:t>
                  </w:r>
                </w:p>
              </w:tc>
              <w:tc>
                <w:tcPr>
                  <w:tcW w:w="896" w:type="pct"/>
                  <w:tcBorders>
                    <w:top w:val="single" w:color="auto" w:sz="4" w:space="0"/>
                    <w:left w:val="single" w:color="auto" w:sz="4" w:space="0"/>
                    <w:bottom w:val="single" w:color="auto" w:sz="4" w:space="0"/>
                    <w:right w:val="single" w:color="auto" w:sz="4" w:space="0"/>
                  </w:tcBorders>
                  <w:vAlign w:val="center"/>
                </w:tcPr>
                <w:p>
                  <w:pPr>
                    <w:pStyle w:val="49"/>
                  </w:pPr>
                  <w:r>
                    <w:t>预测模型</w:t>
                  </w:r>
                </w:p>
              </w:tc>
              <w:tc>
                <w:tcPr>
                  <w:tcW w:w="474" w:type="pct"/>
                  <w:tcBorders>
                    <w:top w:val="single" w:color="auto" w:sz="4" w:space="0"/>
                    <w:left w:val="single" w:color="auto" w:sz="4" w:space="0"/>
                    <w:bottom w:val="single" w:color="auto" w:sz="4" w:space="0"/>
                    <w:right w:val="single" w:color="auto" w:sz="4" w:space="0"/>
                  </w:tcBorders>
                  <w:vAlign w:val="center"/>
                </w:tcPr>
                <w:p>
                  <w:pPr>
                    <w:pStyle w:val="49"/>
                  </w:pPr>
                  <w:r>
                    <w:t>AERMOD□</w:t>
                  </w:r>
                </w:p>
              </w:tc>
              <w:tc>
                <w:tcPr>
                  <w:tcW w:w="503" w:type="pct"/>
                  <w:gridSpan w:val="3"/>
                  <w:tcBorders>
                    <w:top w:val="single" w:color="auto" w:sz="4" w:space="0"/>
                    <w:left w:val="single" w:color="auto" w:sz="4" w:space="0"/>
                    <w:bottom w:val="single" w:color="auto" w:sz="4" w:space="0"/>
                    <w:right w:val="single" w:color="auto" w:sz="4" w:space="0"/>
                  </w:tcBorders>
                  <w:vAlign w:val="center"/>
                </w:tcPr>
                <w:p>
                  <w:pPr>
                    <w:pStyle w:val="49"/>
                  </w:pPr>
                  <w:r>
                    <w:t>ADMS□</w:t>
                  </w:r>
                </w:p>
              </w:tc>
              <w:tc>
                <w:tcPr>
                  <w:tcW w:w="618" w:type="pct"/>
                  <w:gridSpan w:val="5"/>
                  <w:tcBorders>
                    <w:top w:val="single" w:color="auto" w:sz="4" w:space="0"/>
                    <w:left w:val="single" w:color="auto" w:sz="4" w:space="0"/>
                    <w:bottom w:val="single" w:color="auto" w:sz="4" w:space="0"/>
                    <w:right w:val="single" w:color="auto" w:sz="4" w:space="0"/>
                  </w:tcBorders>
                  <w:vAlign w:val="center"/>
                </w:tcPr>
                <w:p>
                  <w:pPr>
                    <w:pStyle w:val="49"/>
                  </w:pPr>
                  <w:r>
                    <w:t>AUSTAL□</w:t>
                  </w:r>
                </w:p>
              </w:tc>
              <w:tc>
                <w:tcPr>
                  <w:tcW w:w="508" w:type="pct"/>
                  <w:gridSpan w:val="4"/>
                  <w:tcBorders>
                    <w:top w:val="single" w:color="auto" w:sz="4" w:space="0"/>
                    <w:left w:val="single" w:color="auto" w:sz="4" w:space="0"/>
                    <w:bottom w:val="single" w:color="auto" w:sz="4" w:space="0"/>
                    <w:right w:val="single" w:color="auto" w:sz="4" w:space="0"/>
                  </w:tcBorders>
                  <w:vAlign w:val="center"/>
                </w:tcPr>
                <w:p>
                  <w:pPr>
                    <w:pStyle w:val="49"/>
                  </w:pPr>
                  <w:r>
                    <w:t>EDMS/</w:t>
                  </w:r>
                </w:p>
                <w:p>
                  <w:pPr>
                    <w:pStyle w:val="49"/>
                  </w:pPr>
                  <w:r>
                    <w:t>AEDT□</w:t>
                  </w:r>
                </w:p>
              </w:tc>
              <w:tc>
                <w:tcPr>
                  <w:tcW w:w="720" w:type="pct"/>
                  <w:gridSpan w:val="6"/>
                  <w:tcBorders>
                    <w:top w:val="single" w:color="auto" w:sz="4" w:space="0"/>
                    <w:left w:val="single" w:color="auto" w:sz="4" w:space="0"/>
                    <w:bottom w:val="single" w:color="auto" w:sz="4" w:space="0"/>
                    <w:right w:val="single" w:color="auto" w:sz="4" w:space="0"/>
                  </w:tcBorders>
                  <w:vAlign w:val="center"/>
                </w:tcPr>
                <w:p>
                  <w:pPr>
                    <w:pStyle w:val="49"/>
                  </w:pPr>
                  <w:r>
                    <w:t>CALLPUFF□</w:t>
                  </w:r>
                </w:p>
              </w:tc>
              <w:tc>
                <w:tcPr>
                  <w:tcW w:w="394" w:type="pct"/>
                  <w:gridSpan w:val="4"/>
                  <w:tcBorders>
                    <w:top w:val="single" w:color="auto" w:sz="4" w:space="0"/>
                    <w:left w:val="single" w:color="auto" w:sz="4" w:space="0"/>
                    <w:bottom w:val="single" w:color="auto" w:sz="4" w:space="0"/>
                    <w:right w:val="single" w:color="auto" w:sz="4" w:space="0"/>
                  </w:tcBorders>
                  <w:vAlign w:val="center"/>
                </w:tcPr>
                <w:p>
                  <w:pPr>
                    <w:pStyle w:val="49"/>
                  </w:pPr>
                  <w:r>
                    <w:t>模型网格□</w:t>
                  </w:r>
                </w:p>
              </w:tc>
              <w:tc>
                <w:tcPr>
                  <w:tcW w:w="473" w:type="pct"/>
                  <w:tcBorders>
                    <w:top w:val="single" w:color="auto" w:sz="4" w:space="0"/>
                    <w:left w:val="single" w:color="auto" w:sz="4" w:space="0"/>
                    <w:bottom w:val="single" w:color="auto" w:sz="4" w:space="0"/>
                    <w:right w:val="single" w:color="auto" w:sz="4" w:space="0"/>
                  </w:tcBorders>
                  <w:vAlign w:val="center"/>
                </w:tcPr>
                <w:p>
                  <w:pPr>
                    <w:pStyle w:val="49"/>
                  </w:pPr>
                  <w: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0"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896" w:type="pct"/>
                  <w:tcBorders>
                    <w:top w:val="single" w:color="auto" w:sz="4" w:space="0"/>
                    <w:left w:val="single" w:color="auto" w:sz="4" w:space="0"/>
                    <w:bottom w:val="single" w:color="auto" w:sz="4" w:space="0"/>
                    <w:right w:val="single" w:color="auto" w:sz="4" w:space="0"/>
                  </w:tcBorders>
                  <w:vAlign w:val="center"/>
                </w:tcPr>
                <w:p>
                  <w:pPr>
                    <w:pStyle w:val="49"/>
                  </w:pPr>
                  <w:r>
                    <w:t>预测范围</w:t>
                  </w:r>
                </w:p>
              </w:tc>
              <w:tc>
                <w:tcPr>
                  <w:tcW w:w="1287" w:type="pct"/>
                  <w:gridSpan w:val="8"/>
                  <w:tcBorders>
                    <w:top w:val="single" w:color="auto" w:sz="4" w:space="0"/>
                    <w:left w:val="single" w:color="auto" w:sz="4" w:space="0"/>
                    <w:bottom w:val="single" w:color="auto" w:sz="4" w:space="0"/>
                    <w:right w:val="single" w:color="auto" w:sz="4" w:space="0"/>
                  </w:tcBorders>
                  <w:vAlign w:val="center"/>
                </w:tcPr>
                <w:p>
                  <w:pPr>
                    <w:pStyle w:val="49"/>
                  </w:pPr>
                  <w:r>
                    <w:t>边长≥50km□</w:t>
                  </w:r>
                </w:p>
              </w:tc>
              <w:tc>
                <w:tcPr>
                  <w:tcW w:w="1400" w:type="pct"/>
                  <w:gridSpan w:val="9"/>
                  <w:tcBorders>
                    <w:top w:val="single" w:color="auto" w:sz="4" w:space="0"/>
                    <w:left w:val="single" w:color="auto" w:sz="4" w:space="0"/>
                    <w:bottom w:val="single" w:color="auto" w:sz="4" w:space="0"/>
                    <w:right w:val="single" w:color="auto" w:sz="4" w:space="0"/>
                  </w:tcBorders>
                  <w:vAlign w:val="center"/>
                </w:tcPr>
                <w:p>
                  <w:pPr>
                    <w:pStyle w:val="49"/>
                  </w:pPr>
                  <w:r>
                    <w:t>边长5~50km□</w:t>
                  </w:r>
                </w:p>
              </w:tc>
              <w:tc>
                <w:tcPr>
                  <w:tcW w:w="1006" w:type="pct"/>
                  <w:gridSpan w:val="7"/>
                  <w:tcBorders>
                    <w:top w:val="single" w:color="auto" w:sz="4" w:space="0"/>
                    <w:left w:val="single" w:color="auto" w:sz="4" w:space="0"/>
                    <w:bottom w:val="single" w:color="auto" w:sz="4" w:space="0"/>
                    <w:right w:val="single" w:color="auto" w:sz="4" w:space="0"/>
                  </w:tcBorders>
                  <w:vAlign w:val="center"/>
                </w:tcPr>
                <w:p>
                  <w:pPr>
                    <w:pStyle w:val="49"/>
                  </w:pPr>
                  <w:r>
                    <w:t>边长=5km□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0"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896" w:type="pct"/>
                  <w:tcBorders>
                    <w:top w:val="single" w:color="auto" w:sz="4" w:space="0"/>
                    <w:left w:val="single" w:color="auto" w:sz="4" w:space="0"/>
                    <w:bottom w:val="single" w:color="auto" w:sz="4" w:space="0"/>
                    <w:right w:val="single" w:color="auto" w:sz="4" w:space="0"/>
                  </w:tcBorders>
                  <w:vAlign w:val="center"/>
                </w:tcPr>
                <w:p>
                  <w:pPr>
                    <w:pStyle w:val="49"/>
                  </w:pPr>
                  <w:r>
                    <w:t>预测因子</w:t>
                  </w:r>
                </w:p>
              </w:tc>
              <w:tc>
                <w:tcPr>
                  <w:tcW w:w="1696" w:type="pct"/>
                  <w:gridSpan w:val="10"/>
                  <w:tcBorders>
                    <w:top w:val="single" w:color="auto" w:sz="4" w:space="0"/>
                    <w:left w:val="single" w:color="auto" w:sz="4" w:space="0"/>
                    <w:bottom w:val="single" w:color="auto" w:sz="4" w:space="0"/>
                    <w:right w:val="single" w:color="auto" w:sz="4" w:space="0"/>
                  </w:tcBorders>
                  <w:vAlign w:val="center"/>
                </w:tcPr>
                <w:p>
                  <w:pPr>
                    <w:pStyle w:val="49"/>
                  </w:pPr>
                  <w:r>
                    <w:t>预测因子（/）</w:t>
                  </w:r>
                </w:p>
              </w:tc>
              <w:tc>
                <w:tcPr>
                  <w:tcW w:w="1997" w:type="pct"/>
                  <w:gridSpan w:val="14"/>
                  <w:tcBorders>
                    <w:top w:val="single" w:color="auto" w:sz="4" w:space="0"/>
                    <w:left w:val="single" w:color="auto" w:sz="4" w:space="0"/>
                    <w:bottom w:val="single" w:color="auto" w:sz="4" w:space="0"/>
                    <w:right w:val="single" w:color="auto" w:sz="4" w:space="0"/>
                  </w:tcBorders>
                  <w:vAlign w:val="center"/>
                </w:tcPr>
                <w:p>
                  <w:pPr>
                    <w:pStyle w:val="49"/>
                  </w:pPr>
                  <w:r>
                    <w:t>包括二次PM</w:t>
                  </w:r>
                  <w:r>
                    <w:rPr>
                      <w:vertAlign w:val="subscript"/>
                    </w:rPr>
                    <w:t>2.5</w:t>
                  </w:r>
                  <w:r>
                    <w:t>□</w:t>
                  </w:r>
                </w:p>
                <w:p>
                  <w:pPr>
                    <w:pStyle w:val="49"/>
                  </w:pPr>
                  <w:r>
                    <w:t>不包括二次PM</w:t>
                  </w:r>
                  <w:r>
                    <w:rPr>
                      <w:vertAlign w:val="subscript"/>
                    </w:rPr>
                    <w:t>2.5</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0"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896" w:type="pct"/>
                  <w:tcBorders>
                    <w:top w:val="single" w:color="auto" w:sz="4" w:space="0"/>
                    <w:left w:val="single" w:color="auto" w:sz="4" w:space="0"/>
                    <w:bottom w:val="single" w:color="auto" w:sz="4" w:space="0"/>
                    <w:right w:val="single" w:color="auto" w:sz="4" w:space="0"/>
                  </w:tcBorders>
                  <w:vAlign w:val="center"/>
                </w:tcPr>
                <w:p>
                  <w:pPr>
                    <w:pStyle w:val="49"/>
                  </w:pPr>
                  <w:r>
                    <w:t>正常排放短期浓度贡献值</w:t>
                  </w:r>
                </w:p>
              </w:tc>
              <w:tc>
                <w:tcPr>
                  <w:tcW w:w="1696" w:type="pct"/>
                  <w:gridSpan w:val="10"/>
                  <w:tcBorders>
                    <w:top w:val="single" w:color="auto" w:sz="4" w:space="0"/>
                    <w:left w:val="single" w:color="auto" w:sz="4" w:space="0"/>
                    <w:bottom w:val="single" w:color="auto" w:sz="4" w:space="0"/>
                    <w:right w:val="single" w:color="auto" w:sz="4" w:space="0"/>
                  </w:tcBorders>
                  <w:vAlign w:val="center"/>
                </w:tcPr>
                <w:p>
                  <w:pPr>
                    <w:pStyle w:val="49"/>
                  </w:pPr>
                  <w:r>
                    <w:t>C本项目最大占标率≤100%□</w:t>
                  </w:r>
                </w:p>
              </w:tc>
              <w:tc>
                <w:tcPr>
                  <w:tcW w:w="1997" w:type="pct"/>
                  <w:gridSpan w:val="14"/>
                  <w:tcBorders>
                    <w:top w:val="single" w:color="auto" w:sz="4" w:space="0"/>
                    <w:left w:val="single" w:color="auto" w:sz="4" w:space="0"/>
                    <w:bottom w:val="single" w:color="auto" w:sz="4" w:space="0"/>
                    <w:right w:val="single" w:color="auto" w:sz="4" w:space="0"/>
                  </w:tcBorders>
                  <w:vAlign w:val="center"/>
                </w:tcPr>
                <w:p>
                  <w:pPr>
                    <w:pStyle w:val="49"/>
                  </w:pPr>
                  <w:r>
                    <w:t>C本项目最大占标率＞100%□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0"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896" w:type="pct"/>
                  <w:vMerge w:val="restart"/>
                  <w:tcBorders>
                    <w:top w:val="single" w:color="auto" w:sz="4" w:space="0"/>
                    <w:left w:val="single" w:color="auto" w:sz="4" w:space="0"/>
                    <w:bottom w:val="single" w:color="auto" w:sz="4" w:space="0"/>
                    <w:right w:val="single" w:color="auto" w:sz="4" w:space="0"/>
                  </w:tcBorders>
                  <w:vAlign w:val="center"/>
                </w:tcPr>
                <w:p>
                  <w:pPr>
                    <w:pStyle w:val="49"/>
                  </w:pPr>
                  <w:r>
                    <w:t>正常排放年均浓度贡献值</w:t>
                  </w:r>
                </w:p>
              </w:tc>
              <w:tc>
                <w:tcPr>
                  <w:tcW w:w="628" w:type="pct"/>
                  <w:gridSpan w:val="2"/>
                  <w:tcBorders>
                    <w:top w:val="single" w:color="auto" w:sz="4" w:space="0"/>
                    <w:left w:val="single" w:color="auto" w:sz="4" w:space="0"/>
                    <w:bottom w:val="single" w:color="auto" w:sz="4" w:space="0"/>
                    <w:right w:val="single" w:color="auto" w:sz="4" w:space="0"/>
                  </w:tcBorders>
                  <w:vAlign w:val="center"/>
                </w:tcPr>
                <w:p>
                  <w:pPr>
                    <w:pStyle w:val="49"/>
                  </w:pPr>
                  <w:r>
                    <w:t>一类区</w:t>
                  </w:r>
                </w:p>
              </w:tc>
              <w:tc>
                <w:tcPr>
                  <w:tcW w:w="1553" w:type="pct"/>
                  <w:gridSpan w:val="12"/>
                  <w:tcBorders>
                    <w:top w:val="single" w:color="auto" w:sz="4" w:space="0"/>
                    <w:left w:val="single" w:color="auto" w:sz="4" w:space="0"/>
                    <w:bottom w:val="single" w:color="auto" w:sz="4" w:space="0"/>
                    <w:right w:val="single" w:color="auto" w:sz="4" w:space="0"/>
                  </w:tcBorders>
                  <w:vAlign w:val="center"/>
                </w:tcPr>
                <w:p>
                  <w:pPr>
                    <w:pStyle w:val="49"/>
                  </w:pPr>
                  <w:r>
                    <w:t>C本项目最大占标率≤10%□</w:t>
                  </w:r>
                </w:p>
              </w:tc>
              <w:tc>
                <w:tcPr>
                  <w:tcW w:w="1511" w:type="pct"/>
                  <w:gridSpan w:val="10"/>
                  <w:tcBorders>
                    <w:top w:val="single" w:color="auto" w:sz="4" w:space="0"/>
                    <w:left w:val="single" w:color="auto" w:sz="4" w:space="0"/>
                    <w:bottom w:val="single" w:color="auto" w:sz="4" w:space="0"/>
                    <w:right w:val="single" w:color="auto" w:sz="4" w:space="0"/>
                  </w:tcBorders>
                  <w:vAlign w:val="center"/>
                </w:tcPr>
                <w:p>
                  <w:pPr>
                    <w:pStyle w:val="49"/>
                  </w:pPr>
                  <w:r>
                    <w:t>C本项目最大占标率＞10%□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0"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896"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628" w:type="pct"/>
                  <w:gridSpan w:val="2"/>
                  <w:tcBorders>
                    <w:top w:val="single" w:color="auto" w:sz="4" w:space="0"/>
                    <w:left w:val="single" w:color="auto" w:sz="4" w:space="0"/>
                    <w:bottom w:val="single" w:color="auto" w:sz="4" w:space="0"/>
                    <w:right w:val="single" w:color="auto" w:sz="4" w:space="0"/>
                  </w:tcBorders>
                  <w:vAlign w:val="center"/>
                </w:tcPr>
                <w:p>
                  <w:pPr>
                    <w:pStyle w:val="49"/>
                  </w:pPr>
                  <w:r>
                    <w:t>二类区</w:t>
                  </w:r>
                </w:p>
              </w:tc>
              <w:tc>
                <w:tcPr>
                  <w:tcW w:w="1553" w:type="pct"/>
                  <w:gridSpan w:val="12"/>
                  <w:tcBorders>
                    <w:top w:val="single" w:color="auto" w:sz="4" w:space="0"/>
                    <w:left w:val="single" w:color="auto" w:sz="4" w:space="0"/>
                    <w:bottom w:val="single" w:color="auto" w:sz="4" w:space="0"/>
                    <w:right w:val="single" w:color="auto" w:sz="4" w:space="0"/>
                  </w:tcBorders>
                  <w:vAlign w:val="center"/>
                </w:tcPr>
                <w:p>
                  <w:pPr>
                    <w:pStyle w:val="49"/>
                  </w:pPr>
                  <w:r>
                    <w:t>C本项目最大占标率≤30%□</w:t>
                  </w:r>
                </w:p>
              </w:tc>
              <w:tc>
                <w:tcPr>
                  <w:tcW w:w="1511" w:type="pct"/>
                  <w:gridSpan w:val="10"/>
                  <w:tcBorders>
                    <w:top w:val="single" w:color="auto" w:sz="4" w:space="0"/>
                    <w:left w:val="single" w:color="auto" w:sz="4" w:space="0"/>
                    <w:bottom w:val="single" w:color="auto" w:sz="4" w:space="0"/>
                    <w:right w:val="single" w:color="auto" w:sz="4" w:space="0"/>
                  </w:tcBorders>
                  <w:vAlign w:val="center"/>
                </w:tcPr>
                <w:p>
                  <w:pPr>
                    <w:pStyle w:val="49"/>
                  </w:pPr>
                  <w:r>
                    <w:t>C本项目最大占标率＞30%□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0"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896" w:type="pct"/>
                  <w:tcBorders>
                    <w:top w:val="single" w:color="auto" w:sz="4" w:space="0"/>
                    <w:left w:val="single" w:color="auto" w:sz="4" w:space="0"/>
                    <w:bottom w:val="single" w:color="auto" w:sz="4" w:space="0"/>
                    <w:right w:val="single" w:color="auto" w:sz="4" w:space="0"/>
                  </w:tcBorders>
                  <w:vAlign w:val="center"/>
                </w:tcPr>
                <w:p>
                  <w:pPr>
                    <w:pStyle w:val="49"/>
                  </w:pPr>
                  <w:r>
                    <w:t>非正常排放1h浓度贡献值</w:t>
                  </w:r>
                </w:p>
              </w:tc>
              <w:tc>
                <w:tcPr>
                  <w:tcW w:w="1112" w:type="pct"/>
                  <w:gridSpan w:val="5"/>
                  <w:tcBorders>
                    <w:top w:val="single" w:color="auto" w:sz="4" w:space="0"/>
                    <w:left w:val="single" w:color="auto" w:sz="4" w:space="0"/>
                    <w:bottom w:val="single" w:color="auto" w:sz="4" w:space="0"/>
                    <w:right w:val="single" w:color="auto" w:sz="4" w:space="0"/>
                  </w:tcBorders>
                  <w:vAlign w:val="center"/>
                </w:tcPr>
                <w:p>
                  <w:pPr>
                    <w:pStyle w:val="49"/>
                  </w:pPr>
                  <w:r>
                    <w:t>非正常持续时长（/）h</w:t>
                  </w:r>
                </w:p>
              </w:tc>
              <w:tc>
                <w:tcPr>
                  <w:tcW w:w="1421" w:type="pct"/>
                  <w:gridSpan w:val="10"/>
                  <w:tcBorders>
                    <w:top w:val="single" w:color="auto" w:sz="4" w:space="0"/>
                    <w:left w:val="single" w:color="auto" w:sz="4" w:space="0"/>
                    <w:bottom w:val="single" w:color="auto" w:sz="4" w:space="0"/>
                    <w:right w:val="single" w:color="auto" w:sz="4" w:space="0"/>
                  </w:tcBorders>
                  <w:vAlign w:val="center"/>
                </w:tcPr>
                <w:p>
                  <w:pPr>
                    <w:pStyle w:val="49"/>
                  </w:pPr>
                  <w:r>
                    <w:t>C非正常占标率≤100%□</w:t>
                  </w:r>
                </w:p>
              </w:tc>
              <w:tc>
                <w:tcPr>
                  <w:tcW w:w="1159" w:type="pct"/>
                  <w:gridSpan w:val="9"/>
                  <w:tcBorders>
                    <w:top w:val="single" w:color="auto" w:sz="4" w:space="0"/>
                    <w:left w:val="single" w:color="auto" w:sz="4" w:space="0"/>
                    <w:bottom w:val="single" w:color="auto" w:sz="4" w:space="0"/>
                    <w:right w:val="single" w:color="auto" w:sz="4" w:space="0"/>
                  </w:tcBorders>
                  <w:vAlign w:val="center"/>
                </w:tcPr>
                <w:p>
                  <w:pPr>
                    <w:pStyle w:val="49"/>
                  </w:pPr>
                  <w:r>
                    <w:t>C非正常占标率＞100%□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0"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896" w:type="pct"/>
                  <w:tcBorders>
                    <w:top w:val="single" w:color="auto" w:sz="4" w:space="0"/>
                    <w:left w:val="single" w:color="auto" w:sz="4" w:space="0"/>
                    <w:bottom w:val="single" w:color="auto" w:sz="4" w:space="0"/>
                    <w:right w:val="single" w:color="auto" w:sz="4" w:space="0"/>
                  </w:tcBorders>
                  <w:vAlign w:val="center"/>
                </w:tcPr>
                <w:p>
                  <w:pPr>
                    <w:pStyle w:val="49"/>
                  </w:pPr>
                  <w:r>
                    <w:t>保证率日平均浓度和年平均浓度叠加值</w:t>
                  </w:r>
                </w:p>
              </w:tc>
              <w:tc>
                <w:tcPr>
                  <w:tcW w:w="1696" w:type="pct"/>
                  <w:gridSpan w:val="10"/>
                  <w:tcBorders>
                    <w:top w:val="single" w:color="auto" w:sz="4" w:space="0"/>
                    <w:left w:val="single" w:color="auto" w:sz="4" w:space="0"/>
                    <w:bottom w:val="single" w:color="auto" w:sz="4" w:space="0"/>
                    <w:right w:val="single" w:color="auto" w:sz="4" w:space="0"/>
                  </w:tcBorders>
                  <w:vAlign w:val="center"/>
                </w:tcPr>
                <w:p>
                  <w:pPr>
                    <w:pStyle w:val="49"/>
                  </w:pPr>
                  <w:r>
                    <w:t>C叠加达标□</w:t>
                  </w:r>
                </w:p>
              </w:tc>
              <w:tc>
                <w:tcPr>
                  <w:tcW w:w="1997" w:type="pct"/>
                  <w:gridSpan w:val="14"/>
                  <w:tcBorders>
                    <w:top w:val="single" w:color="auto" w:sz="4" w:space="0"/>
                    <w:left w:val="single" w:color="auto" w:sz="4" w:space="0"/>
                    <w:bottom w:val="single" w:color="auto" w:sz="4" w:space="0"/>
                    <w:right w:val="single" w:color="auto" w:sz="4" w:space="0"/>
                  </w:tcBorders>
                  <w:vAlign w:val="center"/>
                </w:tcPr>
                <w:p>
                  <w:pPr>
                    <w:pStyle w:val="49"/>
                  </w:pPr>
                  <w:r>
                    <w:t>C叠加不达标□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0"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896" w:type="pct"/>
                  <w:tcBorders>
                    <w:top w:val="single" w:color="auto" w:sz="4" w:space="0"/>
                    <w:left w:val="single" w:color="auto" w:sz="4" w:space="0"/>
                    <w:bottom w:val="single" w:color="auto" w:sz="4" w:space="0"/>
                    <w:right w:val="single" w:color="auto" w:sz="4" w:space="0"/>
                  </w:tcBorders>
                  <w:vAlign w:val="center"/>
                </w:tcPr>
                <w:p>
                  <w:pPr>
                    <w:pStyle w:val="49"/>
                  </w:pPr>
                  <w:r>
                    <w:t>区域环境质量的整体变化情况</w:t>
                  </w:r>
                </w:p>
              </w:tc>
              <w:tc>
                <w:tcPr>
                  <w:tcW w:w="1696" w:type="pct"/>
                  <w:gridSpan w:val="10"/>
                  <w:tcBorders>
                    <w:top w:val="single" w:color="auto" w:sz="4" w:space="0"/>
                    <w:left w:val="single" w:color="auto" w:sz="4" w:space="0"/>
                    <w:bottom w:val="single" w:color="auto" w:sz="4" w:space="0"/>
                    <w:right w:val="single" w:color="auto" w:sz="4" w:space="0"/>
                  </w:tcBorders>
                  <w:vAlign w:val="center"/>
                </w:tcPr>
                <w:p>
                  <w:pPr>
                    <w:pStyle w:val="49"/>
                  </w:pPr>
                  <w:r>
                    <w:t>K≤ -20%□</w:t>
                  </w:r>
                </w:p>
              </w:tc>
              <w:tc>
                <w:tcPr>
                  <w:tcW w:w="1997" w:type="pct"/>
                  <w:gridSpan w:val="14"/>
                  <w:tcBorders>
                    <w:top w:val="single" w:color="auto" w:sz="4" w:space="0"/>
                    <w:left w:val="single" w:color="auto" w:sz="4" w:space="0"/>
                    <w:bottom w:val="single" w:color="auto" w:sz="4" w:space="0"/>
                    <w:right w:val="single" w:color="auto" w:sz="4" w:space="0"/>
                  </w:tcBorders>
                  <w:vAlign w:val="center"/>
                </w:tcPr>
                <w:p>
                  <w:pPr>
                    <w:pStyle w:val="49"/>
                  </w:pPr>
                  <w:r>
                    <w:t>K＞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0" w:type="pct"/>
                  <w:vMerge w:val="restart"/>
                  <w:tcBorders>
                    <w:top w:val="single" w:color="auto" w:sz="4" w:space="0"/>
                    <w:left w:val="single" w:color="auto" w:sz="4" w:space="0"/>
                    <w:bottom w:val="single" w:color="auto" w:sz="4" w:space="0"/>
                    <w:right w:val="single" w:color="auto" w:sz="4" w:space="0"/>
                  </w:tcBorders>
                  <w:vAlign w:val="center"/>
                </w:tcPr>
                <w:p>
                  <w:pPr>
                    <w:pStyle w:val="49"/>
                  </w:pPr>
                  <w:r>
                    <w:t>环境监测计划</w:t>
                  </w:r>
                </w:p>
              </w:tc>
              <w:tc>
                <w:tcPr>
                  <w:tcW w:w="896" w:type="pct"/>
                  <w:tcBorders>
                    <w:top w:val="single" w:color="auto" w:sz="4" w:space="0"/>
                    <w:left w:val="single" w:color="auto" w:sz="4" w:space="0"/>
                    <w:bottom w:val="single" w:color="auto" w:sz="4" w:space="0"/>
                    <w:right w:val="single" w:color="auto" w:sz="4" w:space="0"/>
                  </w:tcBorders>
                  <w:vAlign w:val="center"/>
                </w:tcPr>
                <w:p>
                  <w:pPr>
                    <w:pStyle w:val="49"/>
                  </w:pPr>
                  <w:r>
                    <w:t>污染源监测</w:t>
                  </w:r>
                </w:p>
              </w:tc>
              <w:tc>
                <w:tcPr>
                  <w:tcW w:w="1696" w:type="pct"/>
                  <w:gridSpan w:val="10"/>
                  <w:tcBorders>
                    <w:top w:val="single" w:color="auto" w:sz="4" w:space="0"/>
                    <w:left w:val="single" w:color="auto" w:sz="4" w:space="0"/>
                    <w:bottom w:val="single" w:color="auto" w:sz="4" w:space="0"/>
                    <w:right w:val="single" w:color="auto" w:sz="4" w:space="0"/>
                  </w:tcBorders>
                  <w:vAlign w:val="center"/>
                </w:tcPr>
                <w:p>
                  <w:pPr>
                    <w:pStyle w:val="49"/>
                  </w:pPr>
                  <w:r>
                    <w:t>监测因子（颗粒物</w:t>
                  </w:r>
                  <w:r>
                    <w:rPr>
                      <w:rFonts w:hint="eastAsia"/>
                    </w:rPr>
                    <w:t>、非甲烷总烃</w:t>
                  </w:r>
                  <w:r>
                    <w:t>）</w:t>
                  </w:r>
                </w:p>
              </w:tc>
              <w:tc>
                <w:tcPr>
                  <w:tcW w:w="1412" w:type="pct"/>
                  <w:gridSpan w:val="12"/>
                  <w:tcBorders>
                    <w:top w:val="single" w:color="auto" w:sz="4" w:space="0"/>
                    <w:left w:val="single" w:color="auto" w:sz="4" w:space="0"/>
                    <w:bottom w:val="single" w:color="auto" w:sz="4" w:space="0"/>
                    <w:right w:val="single" w:color="auto" w:sz="4" w:space="0"/>
                  </w:tcBorders>
                  <w:vAlign w:val="center"/>
                </w:tcPr>
                <w:p>
                  <w:pPr>
                    <w:pStyle w:val="49"/>
                  </w:pPr>
                  <w:r>
                    <w:t>有组织废气监测</w:t>
                  </w:r>
                  <w:r>
                    <w:rPr/>
                    <w:sym w:font="Wingdings 2" w:char="F052"/>
                  </w:r>
                </w:p>
                <w:p>
                  <w:pPr>
                    <w:pStyle w:val="49"/>
                  </w:pPr>
                  <w:r>
                    <w:t>无组织废气监测</w:t>
                  </w:r>
                  <w:r>
                    <w:rPr/>
                    <w:sym w:font="Wingdings 2" w:char="F052"/>
                  </w:r>
                </w:p>
              </w:tc>
              <w:tc>
                <w:tcPr>
                  <w:tcW w:w="585" w:type="pct"/>
                  <w:gridSpan w:val="2"/>
                  <w:tcBorders>
                    <w:top w:val="single" w:color="auto" w:sz="4" w:space="0"/>
                    <w:left w:val="single" w:color="auto" w:sz="4" w:space="0"/>
                    <w:bottom w:val="single" w:color="auto" w:sz="4" w:space="0"/>
                    <w:right w:val="single" w:color="auto" w:sz="4" w:space="0"/>
                  </w:tcBorders>
                  <w:vAlign w:val="center"/>
                </w:tcPr>
                <w:p>
                  <w:pPr>
                    <w:pStyle w:val="49"/>
                  </w:pPr>
                  <w: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0"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896" w:type="pct"/>
                  <w:tcBorders>
                    <w:top w:val="single" w:color="auto" w:sz="4" w:space="0"/>
                    <w:left w:val="single" w:color="auto" w:sz="4" w:space="0"/>
                    <w:bottom w:val="single" w:color="auto" w:sz="4" w:space="0"/>
                    <w:right w:val="single" w:color="auto" w:sz="4" w:space="0"/>
                  </w:tcBorders>
                  <w:vAlign w:val="center"/>
                </w:tcPr>
                <w:p>
                  <w:pPr>
                    <w:pStyle w:val="49"/>
                  </w:pPr>
                  <w:r>
                    <w:t>环境质量监测</w:t>
                  </w:r>
                </w:p>
              </w:tc>
              <w:tc>
                <w:tcPr>
                  <w:tcW w:w="1696" w:type="pct"/>
                  <w:gridSpan w:val="10"/>
                  <w:tcBorders>
                    <w:top w:val="single" w:color="auto" w:sz="4" w:space="0"/>
                    <w:left w:val="single" w:color="auto" w:sz="4" w:space="0"/>
                    <w:bottom w:val="single" w:color="auto" w:sz="4" w:space="0"/>
                    <w:right w:val="single" w:color="auto" w:sz="4" w:space="0"/>
                  </w:tcBorders>
                  <w:vAlign w:val="center"/>
                </w:tcPr>
                <w:p>
                  <w:pPr>
                    <w:pStyle w:val="49"/>
                  </w:pPr>
                  <w:r>
                    <w:t>监测因子（/）</w:t>
                  </w:r>
                </w:p>
              </w:tc>
              <w:tc>
                <w:tcPr>
                  <w:tcW w:w="1412" w:type="pct"/>
                  <w:gridSpan w:val="12"/>
                  <w:tcBorders>
                    <w:top w:val="single" w:color="auto" w:sz="4" w:space="0"/>
                    <w:left w:val="single" w:color="auto" w:sz="4" w:space="0"/>
                    <w:bottom w:val="single" w:color="auto" w:sz="4" w:space="0"/>
                    <w:right w:val="single" w:color="auto" w:sz="4" w:space="0"/>
                  </w:tcBorders>
                  <w:vAlign w:val="center"/>
                </w:tcPr>
                <w:p>
                  <w:pPr>
                    <w:pStyle w:val="49"/>
                  </w:pPr>
                  <w:r>
                    <w:t>监测点位数（/）</w:t>
                  </w:r>
                </w:p>
              </w:tc>
              <w:tc>
                <w:tcPr>
                  <w:tcW w:w="585" w:type="pct"/>
                  <w:gridSpan w:val="2"/>
                  <w:tcBorders>
                    <w:top w:val="single" w:color="auto" w:sz="4" w:space="0"/>
                    <w:left w:val="single" w:color="auto" w:sz="4" w:space="0"/>
                    <w:bottom w:val="single" w:color="auto" w:sz="4" w:space="0"/>
                    <w:right w:val="single" w:color="auto" w:sz="4" w:space="0"/>
                  </w:tcBorders>
                  <w:vAlign w:val="center"/>
                </w:tcPr>
                <w:p>
                  <w:pPr>
                    <w:pStyle w:val="49"/>
                  </w:pPr>
                  <w: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0" w:type="pct"/>
                  <w:vMerge w:val="restart"/>
                  <w:tcBorders>
                    <w:top w:val="single" w:color="auto" w:sz="4" w:space="0"/>
                    <w:left w:val="single" w:color="auto" w:sz="4" w:space="0"/>
                    <w:bottom w:val="single" w:color="auto" w:sz="4" w:space="0"/>
                    <w:right w:val="single" w:color="auto" w:sz="4" w:space="0"/>
                  </w:tcBorders>
                  <w:vAlign w:val="center"/>
                </w:tcPr>
                <w:p>
                  <w:pPr>
                    <w:pStyle w:val="49"/>
                  </w:pPr>
                  <w:r>
                    <w:t>评价</w:t>
                  </w:r>
                </w:p>
                <w:p>
                  <w:pPr>
                    <w:pStyle w:val="49"/>
                  </w:pPr>
                  <w:r>
                    <w:t>结论</w:t>
                  </w:r>
                </w:p>
              </w:tc>
              <w:tc>
                <w:tcPr>
                  <w:tcW w:w="896" w:type="pct"/>
                  <w:tcBorders>
                    <w:top w:val="single" w:color="auto" w:sz="4" w:space="0"/>
                    <w:left w:val="single" w:color="auto" w:sz="4" w:space="0"/>
                    <w:bottom w:val="single" w:color="auto" w:sz="4" w:space="0"/>
                    <w:right w:val="single" w:color="auto" w:sz="4" w:space="0"/>
                  </w:tcBorders>
                  <w:vAlign w:val="center"/>
                </w:tcPr>
                <w:p>
                  <w:pPr>
                    <w:pStyle w:val="49"/>
                  </w:pPr>
                  <w:r>
                    <w:t>环境影响</w:t>
                  </w:r>
                </w:p>
              </w:tc>
              <w:tc>
                <w:tcPr>
                  <w:tcW w:w="3693" w:type="pct"/>
                  <w:gridSpan w:val="24"/>
                  <w:tcBorders>
                    <w:top w:val="single" w:color="auto" w:sz="4" w:space="0"/>
                    <w:left w:val="single" w:color="auto" w:sz="4" w:space="0"/>
                    <w:bottom w:val="single" w:color="auto" w:sz="4" w:space="0"/>
                    <w:right w:val="single" w:color="auto" w:sz="4" w:space="0"/>
                  </w:tcBorders>
                  <w:vAlign w:val="center"/>
                </w:tcPr>
                <w:p>
                  <w:pPr>
                    <w:pStyle w:val="49"/>
                  </w:pPr>
                  <w:r>
                    <w:t>可以接受</w:t>
                  </w:r>
                  <w:r>
                    <w:rPr/>
                    <w:sym w:font="Wingdings 2" w:char="F052"/>
                  </w:r>
                  <w:r>
                    <w:t xml:space="preserve">           不可以接受□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0"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896" w:type="pct"/>
                  <w:tcBorders>
                    <w:top w:val="single" w:color="auto" w:sz="4" w:space="0"/>
                    <w:left w:val="single" w:color="auto" w:sz="4" w:space="0"/>
                    <w:bottom w:val="single" w:color="auto" w:sz="4" w:space="0"/>
                    <w:right w:val="single" w:color="auto" w:sz="4" w:space="0"/>
                  </w:tcBorders>
                  <w:vAlign w:val="center"/>
                </w:tcPr>
                <w:p>
                  <w:pPr>
                    <w:pStyle w:val="49"/>
                  </w:pPr>
                  <w:r>
                    <w:t>大气环境防护距离</w:t>
                  </w:r>
                </w:p>
              </w:tc>
              <w:tc>
                <w:tcPr>
                  <w:tcW w:w="3693" w:type="pct"/>
                  <w:gridSpan w:val="24"/>
                  <w:tcBorders>
                    <w:top w:val="single" w:color="auto" w:sz="4" w:space="0"/>
                    <w:left w:val="single" w:color="auto" w:sz="4" w:space="0"/>
                    <w:bottom w:val="single" w:color="auto" w:sz="4" w:space="0"/>
                    <w:right w:val="single" w:color="auto" w:sz="4" w:space="0"/>
                  </w:tcBorders>
                  <w:vAlign w:val="center"/>
                </w:tcPr>
                <w:p>
                  <w:pPr>
                    <w:pStyle w:val="49"/>
                  </w:pPr>
                  <w:r>
                    <w:t>距（/）厂界最远（/）m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0" w:type="pct"/>
                  <w:vMerge w:val="continue"/>
                  <w:tcBorders>
                    <w:top w:val="single" w:color="auto" w:sz="4" w:space="0"/>
                    <w:left w:val="single" w:color="auto" w:sz="4" w:space="0"/>
                    <w:bottom w:val="single" w:color="auto" w:sz="4" w:space="0"/>
                    <w:right w:val="single" w:color="auto" w:sz="4" w:space="0"/>
                  </w:tcBorders>
                  <w:vAlign w:val="center"/>
                </w:tcPr>
                <w:p>
                  <w:pPr>
                    <w:pStyle w:val="49"/>
                  </w:pPr>
                </w:p>
              </w:tc>
              <w:tc>
                <w:tcPr>
                  <w:tcW w:w="896" w:type="pct"/>
                  <w:tcBorders>
                    <w:top w:val="single" w:color="auto" w:sz="4" w:space="0"/>
                    <w:left w:val="single" w:color="auto" w:sz="4" w:space="0"/>
                    <w:bottom w:val="single" w:color="auto" w:sz="4" w:space="0"/>
                    <w:right w:val="single" w:color="auto" w:sz="4" w:space="0"/>
                  </w:tcBorders>
                  <w:vAlign w:val="center"/>
                </w:tcPr>
                <w:p>
                  <w:pPr>
                    <w:pStyle w:val="49"/>
                  </w:pPr>
                  <w:r>
                    <w:t>污染源年排放量</w:t>
                  </w:r>
                </w:p>
              </w:tc>
              <w:tc>
                <w:tcPr>
                  <w:tcW w:w="852" w:type="pct"/>
                  <w:gridSpan w:val="3"/>
                  <w:tcBorders>
                    <w:top w:val="single" w:color="auto" w:sz="4" w:space="0"/>
                    <w:left w:val="single" w:color="auto" w:sz="4" w:space="0"/>
                    <w:bottom w:val="single" w:color="auto" w:sz="4" w:space="0"/>
                    <w:right w:val="single" w:color="auto" w:sz="4" w:space="0"/>
                  </w:tcBorders>
                  <w:vAlign w:val="center"/>
                </w:tcPr>
                <w:p>
                  <w:pPr>
                    <w:pStyle w:val="49"/>
                  </w:pPr>
                  <w:r>
                    <w:t>SO</w:t>
                  </w:r>
                  <w:r>
                    <w:rPr>
                      <w:vertAlign w:val="subscript"/>
                    </w:rPr>
                    <w:t>2</w:t>
                  </w:r>
                  <w:r>
                    <w:t>（/）t/a</w:t>
                  </w:r>
                </w:p>
              </w:tc>
              <w:tc>
                <w:tcPr>
                  <w:tcW w:w="843" w:type="pct"/>
                  <w:gridSpan w:val="7"/>
                  <w:tcBorders>
                    <w:top w:val="single" w:color="auto" w:sz="4" w:space="0"/>
                    <w:left w:val="single" w:color="auto" w:sz="4" w:space="0"/>
                    <w:bottom w:val="single" w:color="auto" w:sz="4" w:space="0"/>
                    <w:right w:val="single" w:color="auto" w:sz="4" w:space="0"/>
                  </w:tcBorders>
                  <w:vAlign w:val="center"/>
                </w:tcPr>
                <w:p>
                  <w:pPr>
                    <w:pStyle w:val="49"/>
                  </w:pPr>
                  <w:r>
                    <w:t>NOx（/）t/a</w:t>
                  </w:r>
                </w:p>
              </w:tc>
              <w:tc>
                <w:tcPr>
                  <w:tcW w:w="1059" w:type="pct"/>
                  <w:gridSpan w:val="8"/>
                  <w:tcBorders>
                    <w:top w:val="single" w:color="auto" w:sz="4" w:space="0"/>
                    <w:left w:val="single" w:color="auto" w:sz="4" w:space="0"/>
                    <w:bottom w:val="single" w:color="auto" w:sz="4" w:space="0"/>
                    <w:right w:val="single" w:color="auto" w:sz="4" w:space="0"/>
                  </w:tcBorders>
                  <w:vAlign w:val="center"/>
                </w:tcPr>
                <w:p>
                  <w:pPr>
                    <w:pStyle w:val="49"/>
                  </w:pPr>
                  <w:r>
                    <w:t>颗粒物（</w:t>
                  </w:r>
                  <w:r>
                    <w:rPr>
                      <w:rFonts w:hint="eastAsia"/>
                    </w:rPr>
                    <w:t>0.001</w:t>
                  </w:r>
                  <w:r>
                    <w:t>）t/a</w:t>
                  </w:r>
                </w:p>
              </w:tc>
              <w:tc>
                <w:tcPr>
                  <w:tcW w:w="937" w:type="pct"/>
                  <w:gridSpan w:val="6"/>
                  <w:tcBorders>
                    <w:top w:val="single" w:color="auto" w:sz="4" w:space="0"/>
                    <w:left w:val="single" w:color="auto" w:sz="4" w:space="0"/>
                    <w:bottom w:val="single" w:color="auto" w:sz="4" w:space="0"/>
                    <w:right w:val="single" w:color="auto" w:sz="4" w:space="0"/>
                  </w:tcBorders>
                  <w:vAlign w:val="center"/>
                </w:tcPr>
                <w:p>
                  <w:pPr>
                    <w:pStyle w:val="49"/>
                  </w:pPr>
                  <w:r>
                    <w:t>VO</w:t>
                  </w:r>
                  <w:r>
                    <w:rPr>
                      <w:szCs w:val="22"/>
                    </w:rPr>
                    <w:t>Cs（</w:t>
                  </w:r>
                  <w:r>
                    <w:rPr>
                      <w:rFonts w:hint="eastAsia"/>
                      <w:szCs w:val="22"/>
                    </w:rPr>
                    <w:t>0.087</w:t>
                  </w:r>
                  <w:r>
                    <w:rPr>
                      <w:szCs w:val="22"/>
                    </w:rPr>
                    <w:t>）t</w:t>
                  </w:r>
                  <w: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26"/>
                  <w:tcBorders>
                    <w:top w:val="single" w:color="auto" w:sz="4" w:space="0"/>
                    <w:left w:val="single" w:color="auto" w:sz="4" w:space="0"/>
                    <w:bottom w:val="single" w:color="auto" w:sz="4" w:space="0"/>
                    <w:right w:val="single" w:color="auto" w:sz="4" w:space="0"/>
                  </w:tcBorders>
                  <w:vAlign w:val="center"/>
                </w:tcPr>
                <w:p>
                  <w:pPr>
                    <w:pStyle w:val="49"/>
                    <w:jc w:val="left"/>
                  </w:pPr>
                  <w:r>
                    <w:t>注：“□”为勾选项，填“代√”；“（）”为内容填写项</w:t>
                  </w:r>
                </w:p>
              </w:tc>
            </w:tr>
          </w:tbl>
          <w:p>
            <w:pPr>
              <w:pStyle w:val="6"/>
            </w:pPr>
            <w:bookmarkStart w:id="161" w:name="_Toc29380642"/>
            <w:bookmarkStart w:id="162" w:name="_Toc29388593"/>
            <w:r>
              <w:t>7.2.</w:t>
            </w:r>
            <w:r>
              <w:rPr>
                <w:rFonts w:hint="eastAsia"/>
              </w:rPr>
              <w:t>4</w:t>
            </w:r>
            <w:r>
              <w:t>声环境影响分析</w:t>
            </w:r>
            <w:bookmarkEnd w:id="161"/>
            <w:bookmarkEnd w:id="162"/>
          </w:p>
          <w:p>
            <w:pPr>
              <w:ind w:firstLine="480"/>
            </w:pPr>
            <w:r>
              <w:t>1、评价等级</w:t>
            </w:r>
          </w:p>
          <w:p>
            <w:pPr>
              <w:ind w:firstLine="480"/>
            </w:pPr>
            <w:r>
              <w:t>根据《声环境质量标准》（GB3096-2008）及《桐乡市&lt;城市区域环境噪声标准&gt;适用区域划分调整方案的通知》对声环境功能区的划分，本项目位于</w:t>
            </w:r>
            <w:r>
              <w:rPr>
                <w:rFonts w:hint="eastAsia"/>
              </w:rPr>
              <w:t>桐乡市崇福镇杭福路1336号20幢1号</w:t>
            </w:r>
            <w:r>
              <w:t>，位于</w:t>
            </w:r>
            <w:r>
              <w:rPr>
                <w:rFonts w:hint="eastAsia"/>
              </w:rPr>
              <w:t>崇福工业区</w:t>
            </w:r>
            <w:r>
              <w:t>内，因此项目厂界区域声环境质量执行《声环境质量标准》（GB3096-2008）中的3类区标准。根据《环境影响评价技术导则 声环境》（HJ2.4-2009），本项目所处的声功能区为3类区，且受影响的人口数量变化不大，确定评价等级为三级，评价范围取以建设项目边界向外200m的区域。</w:t>
            </w:r>
          </w:p>
          <w:p>
            <w:pPr>
              <w:ind w:firstLine="480"/>
            </w:pPr>
            <w:r>
              <w:t>2、噪声源强</w:t>
            </w:r>
          </w:p>
          <w:p>
            <w:pPr>
              <w:ind w:firstLine="480"/>
            </w:pPr>
            <w:r>
              <w:t>本项目的噪声源主要为</w:t>
            </w:r>
            <w:r>
              <w:rPr>
                <w:rFonts w:hint="eastAsia"/>
              </w:rPr>
              <w:t>加工中心、炮塔铣床、6140车床、平面组合铣床、数控车床、平面磨床、锯床、MIG焊机、交流氩弧焊机、真空含浸机、电热烘箱</w:t>
            </w:r>
            <w:r>
              <w:t>等设备噪声，其噪声声压级一般在</w:t>
            </w:r>
            <w:r>
              <w:rPr>
                <w:rFonts w:hint="eastAsia"/>
              </w:rPr>
              <w:t>60~85</w:t>
            </w:r>
            <w:r>
              <w:t>dB(A)左右。根据对</w:t>
            </w:r>
            <w:r>
              <w:rPr>
                <w:rFonts w:hint="eastAsia"/>
              </w:rPr>
              <w:t>同类企业</w:t>
            </w:r>
            <w:r>
              <w:t>生产车间的调查，车间内噪声声压级在</w:t>
            </w:r>
            <w:r>
              <w:rPr>
                <w:rFonts w:hint="eastAsia"/>
              </w:rPr>
              <w:t>80</w:t>
            </w:r>
            <w:r>
              <w:t>dB（A）左右。正常生产时对外环境有一定的影响，所以必须采取一定的噪声防治措施。</w:t>
            </w:r>
          </w:p>
          <w:p>
            <w:pPr>
              <w:ind w:firstLine="480"/>
            </w:pPr>
            <w:r>
              <w:t>为了预测本项目噪声对厂界的影响，本评价把本项目生产车间按整体声源预测。</w:t>
            </w:r>
            <w:r>
              <w:rPr>
                <w:rFonts w:hint="eastAsia"/>
              </w:rPr>
              <w:t>由于本项目厂界西侧与其他工业企业厂房紧邻，因此本环评对项目拟建地厂界东侧、南侧、北侧进行预测分析，另外，由于企业厂房南、北侧相对距离较近，仅通过车间普通窗户隔声和距离衰减，厂界噪声不能满足《工业企业厂界环境噪声排放标准》（GB12348-2008）中的相应标准限值的</w:t>
            </w:r>
            <w:r>
              <w:t>要求</w:t>
            </w:r>
            <w:r>
              <w:rPr>
                <w:rFonts w:hint="eastAsia"/>
              </w:rPr>
              <w:t>，因此要求</w:t>
            </w:r>
            <w:r>
              <w:t>企业</w:t>
            </w:r>
            <w:r>
              <w:rPr>
                <w:rFonts w:hint="eastAsia"/>
              </w:rPr>
              <w:t>在</w:t>
            </w:r>
            <w:r>
              <w:t>生产车间</w:t>
            </w:r>
            <w:r>
              <w:rPr>
                <w:rFonts w:hint="eastAsia"/>
              </w:rPr>
              <w:t>南、北侧墙壁上</w:t>
            </w:r>
            <w:r>
              <w:t>设置</w:t>
            </w:r>
            <w:r>
              <w:rPr>
                <w:rFonts w:hint="eastAsia"/>
              </w:rPr>
              <w:t>双层中空</w:t>
            </w:r>
            <w:r>
              <w:t>隔声窗户，确保生产车间</w:t>
            </w:r>
            <w:r>
              <w:rPr>
                <w:rFonts w:hint="eastAsia"/>
              </w:rPr>
              <w:t>南、北侧</w:t>
            </w:r>
            <w:r>
              <w:t>隔声量大于</w:t>
            </w:r>
            <w:r>
              <w:rPr>
                <w:rFonts w:hint="eastAsia"/>
              </w:rPr>
              <w:t>25</w:t>
            </w:r>
            <w:r>
              <w:t>dB，</w:t>
            </w:r>
            <w:r>
              <w:rPr>
                <w:rFonts w:hint="eastAsia"/>
              </w:rPr>
              <w:t>东侧墙壁上设置隔声窗户，隔声量大于20dB，</w:t>
            </w:r>
            <w:r>
              <w:t>在严格做到上述的治理措施后，具体预测模式如下：</w:t>
            </w:r>
          </w:p>
          <w:p>
            <w:pPr>
              <w:ind w:firstLine="480"/>
            </w:pPr>
            <w:r>
              <w:t>3、预测模式</w:t>
            </w:r>
          </w:p>
          <w:p>
            <w:pPr>
              <w:ind w:firstLine="480"/>
            </w:pPr>
            <w:r>
              <w:t>整体声源声功率级的计算公式：</w:t>
            </w:r>
          </w:p>
          <w:p>
            <w:pPr>
              <w:ind w:firstLine="480"/>
            </w:pPr>
            <w:r>
              <w:t>其基本思路是：将整个车间看作一个声源，预先求得该整体声源的声功率级，然后计算该整体声源辐射的声能在向受声点传播过程中由各种因素引起的衰减，最后求得预测受声点的噪声级。受声点的预测声级按下式计算：</w:t>
            </w:r>
          </w:p>
          <w:p>
            <w:pPr>
              <w:ind w:firstLine="0" w:firstLineChars="0"/>
              <w:jc w:val="center"/>
            </w:pPr>
            <w:r>
              <w:t>Lp = Lw - ΣAi</w:t>
            </w:r>
          </w:p>
          <w:p>
            <w:pPr>
              <w:ind w:firstLine="480"/>
            </w:pPr>
            <w:r>
              <w:t>式中：Lp ——受声点的预测声压级；</w:t>
            </w:r>
          </w:p>
          <w:p>
            <w:pPr>
              <w:ind w:firstLine="1200" w:firstLineChars="500"/>
            </w:pPr>
            <w:r>
              <w:t>Lw ——整体声源的声功率级；</w:t>
            </w:r>
          </w:p>
          <w:p>
            <w:pPr>
              <w:ind w:firstLine="1200" w:firstLineChars="500"/>
            </w:pPr>
            <w:r>
              <w:t>ΣAi ——声源传播途径上各种因素引起声能源的总衰减量；</w:t>
            </w:r>
          </w:p>
          <w:p>
            <w:pPr>
              <w:ind w:firstLine="1200" w:firstLineChars="500"/>
            </w:pPr>
            <w:r>
              <w:t>Ai ——第i 种因素造成的衰减量。</w:t>
            </w:r>
          </w:p>
          <w:p>
            <w:pPr>
              <w:ind w:firstLine="480"/>
            </w:pPr>
            <w:r>
              <w:t>整体声源声功率级的计算公式：</w:t>
            </w:r>
          </w:p>
          <w:p>
            <w:pPr>
              <w:ind w:firstLine="0" w:firstLineChars="0"/>
              <w:jc w:val="center"/>
            </w:pPr>
            <w:r>
              <w:t>Lw=Lpi+10lg（2S）</w:t>
            </w:r>
          </w:p>
          <w:p>
            <w:pPr>
              <w:ind w:firstLine="480"/>
            </w:pPr>
            <w:r>
              <w:t>式中：Lpi ——整体声源周围测量线上的声级平均值，dB(A)；本评价取Lpi=</w:t>
            </w:r>
            <w:r>
              <w:rPr>
                <w:rFonts w:hint="eastAsia"/>
              </w:rPr>
              <w:t>80</w:t>
            </w:r>
            <w:r>
              <w:t>dB。</w:t>
            </w:r>
          </w:p>
          <w:p>
            <w:pPr>
              <w:ind w:firstLine="480"/>
            </w:pPr>
            <w:r>
              <w:t>ΣAi的计算方法：</w:t>
            </w:r>
          </w:p>
          <w:p>
            <w:pPr>
              <w:ind w:firstLine="480"/>
            </w:pPr>
            <w:r>
              <w:t>声波在传播过程中能量衰减的因素颇多。在预测时，为留有较大余地，以噪声对环境最不利的情况为前提，只考虑距离衰减和屏障衰减，其他因素的衰减，如空气吸收衰减、地面吸收、温度梯度、雨、雾等均作为预测计算安全系数而不计。</w:t>
            </w:r>
          </w:p>
          <w:p>
            <w:pPr>
              <w:ind w:firstLine="480"/>
            </w:pPr>
            <w:r>
              <w:t>1）距离衰减Ad</w:t>
            </w:r>
          </w:p>
          <w:p>
            <w:pPr>
              <w:ind w:firstLine="480"/>
            </w:pPr>
            <w:r>
              <w:t xml:space="preserve">   Ad=10lg（2πr²），其中r为受声点到整体声源中心的距离。</w:t>
            </w:r>
          </w:p>
          <w:p>
            <w:pPr>
              <w:ind w:firstLine="480"/>
            </w:pPr>
            <w:r>
              <w:t>2）屏障衰减Ab</w:t>
            </w:r>
          </w:p>
          <w:p>
            <w:pPr>
              <w:ind w:firstLine="480"/>
            </w:pPr>
            <w:r>
              <w:t>房子的隔声量由墙、门、窗等综合而成，一般在10~25dB，普通车间房屋隔声量取15dB，双层中空玻璃窗的隔声量约25dB，如该面密闭不设门窗，隔声量取30dB。一排房屋的声屏障隔声3</w:t>
            </w:r>
            <w:r>
              <w:rPr>
                <w:rFonts w:hint="eastAsia"/>
              </w:rPr>
              <w:t>~</w:t>
            </w:r>
            <w:r>
              <w:t>5dB，二排房屋的声屏障隔声6</w:t>
            </w:r>
            <w:r>
              <w:rPr>
                <w:rFonts w:hint="eastAsia"/>
              </w:rPr>
              <w:t>~</w:t>
            </w:r>
            <w:r>
              <w:t>10dB，三排房屋的声屏障隔声10</w:t>
            </w:r>
            <w:r>
              <w:rPr>
                <w:rFonts w:hint="eastAsia"/>
              </w:rPr>
              <w:t>~</w:t>
            </w:r>
            <w:r>
              <w:t>12dB，围墙的声屏障隔声3dB，建筑物最大声屏障取20dB。本评价按一排厂房降3dB，二排降8dB，三排或多排降10dB，墙体围墙的隔声按3dB计算。</w:t>
            </w:r>
          </w:p>
          <w:p>
            <w:pPr>
              <w:ind w:firstLine="480"/>
            </w:pPr>
            <w:r>
              <w:t>总的衰减量：ΣAi=Ad+Ab</w:t>
            </w:r>
          </w:p>
          <w:p>
            <w:pPr>
              <w:ind w:firstLine="480"/>
            </w:pPr>
            <w:r>
              <w:t>多个声源的迭加计算：</w:t>
            </w:r>
          </w:p>
          <w:p>
            <w:pPr>
              <w:ind w:firstLine="480"/>
            </w:pPr>
            <w:r>
              <w:t>当有N个噪声源时，它们对同一个受声点声压级贡献应按下式进行计算：</w:t>
            </w:r>
          </w:p>
          <w:p>
            <w:pPr>
              <w:ind w:firstLine="0" w:firstLineChars="0"/>
              <w:jc w:val="center"/>
            </w:pPr>
            <w:r>
              <w:object>
                <v:shape id="_x0000_i1025" o:spt="75" type="#_x0000_t75" style="height:36pt;width:101.9pt;" o:ole="t" filled="f" o:preferrelative="t" stroked="f" coordsize="21600,21600">
                  <v:path/>
                  <v:fill on="f" focussize="0,0"/>
                  <v:stroke on="f" joinstyle="miter"/>
                  <v:imagedata r:id="rId30" o:title=""/>
                  <o:lock v:ext="edit" aspectratio="t"/>
                  <w10:wrap type="none"/>
                  <w10:anchorlock/>
                </v:shape>
                <o:OLEObject Type="Embed" ProgID="Equation.DSMT4" ShapeID="_x0000_i1025" DrawAspect="Content" ObjectID="_1468075725" r:id="rId29">
                  <o:LockedField>false</o:LockedField>
                </o:OLEObject>
              </w:object>
            </w:r>
          </w:p>
          <w:p>
            <w:pPr>
              <w:ind w:firstLine="480"/>
            </w:pPr>
            <w:r>
              <w:t>式中：L ——总声压级，dB；</w:t>
            </w:r>
          </w:p>
          <w:p>
            <w:pPr>
              <w:ind w:firstLine="480"/>
            </w:pPr>
            <w:r>
              <w:t xml:space="preserve">      Lpi ——第I个噪声源对某一受声点的声级贡献值，dB。</w:t>
            </w:r>
          </w:p>
          <w:p>
            <w:pPr>
              <w:ind w:firstLine="480"/>
            </w:pPr>
            <w:r>
              <w:t>4、预测计算</w:t>
            </w:r>
          </w:p>
          <w:p>
            <w:pPr>
              <w:ind w:firstLine="480"/>
            </w:pPr>
            <w:r>
              <w:t>本环评对生产车间进行预测，声源基本参数见表7-1</w:t>
            </w:r>
            <w:r>
              <w:rPr>
                <w:rFonts w:hint="eastAsia"/>
              </w:rPr>
              <w:t>5</w:t>
            </w:r>
            <w:r>
              <w:t>、表7-1</w:t>
            </w:r>
            <w:r>
              <w:rPr>
                <w:rFonts w:hint="eastAsia"/>
              </w:rPr>
              <w:t>6</w:t>
            </w:r>
            <w:r>
              <w:t>。</w:t>
            </w:r>
          </w:p>
          <w:p>
            <w:pPr>
              <w:pStyle w:val="46"/>
            </w:pPr>
            <w:r>
              <w:t>表7-1</w:t>
            </w:r>
            <w:r>
              <w:rPr>
                <w:rFonts w:hint="eastAsia"/>
              </w:rPr>
              <w:t>5</w:t>
            </w:r>
            <w:r>
              <w:t xml:space="preserve">  噪声预测参数</w:t>
            </w:r>
          </w:p>
          <w:tbl>
            <w:tblPr>
              <w:tblStyle w:val="34"/>
              <w:tblW w:w="87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1436"/>
              <w:gridCol w:w="1802"/>
              <w:gridCol w:w="1374"/>
              <w:gridCol w:w="1373"/>
              <w:gridCol w:w="1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pct"/>
                  <w:vMerge w:val="restart"/>
                  <w:tcBorders>
                    <w:top w:val="single" w:color="auto" w:sz="4" w:space="0"/>
                    <w:left w:val="single" w:color="auto" w:sz="4" w:space="0"/>
                    <w:bottom w:val="single" w:color="auto" w:sz="4" w:space="0"/>
                    <w:right w:val="single" w:color="auto" w:sz="4" w:space="0"/>
                  </w:tcBorders>
                  <w:vAlign w:val="center"/>
                </w:tcPr>
                <w:p>
                  <w:pPr>
                    <w:pStyle w:val="46"/>
                  </w:pPr>
                  <w:r>
                    <w:t>噪声源</w:t>
                  </w:r>
                </w:p>
              </w:tc>
              <w:tc>
                <w:tcPr>
                  <w:tcW w:w="822" w:type="pct"/>
                  <w:vMerge w:val="restart"/>
                  <w:tcBorders>
                    <w:top w:val="single" w:color="auto" w:sz="4" w:space="0"/>
                    <w:left w:val="single" w:color="auto" w:sz="4" w:space="0"/>
                    <w:bottom w:val="single" w:color="auto" w:sz="4" w:space="0"/>
                    <w:right w:val="single" w:color="auto" w:sz="4" w:space="0"/>
                  </w:tcBorders>
                  <w:vAlign w:val="center"/>
                </w:tcPr>
                <w:p>
                  <w:pPr>
                    <w:pStyle w:val="46"/>
                  </w:pPr>
                  <w:r>
                    <w:t>平均噪声级(dB)</w:t>
                  </w:r>
                </w:p>
              </w:tc>
              <w:tc>
                <w:tcPr>
                  <w:tcW w:w="1031" w:type="pct"/>
                  <w:vMerge w:val="restart"/>
                  <w:tcBorders>
                    <w:top w:val="single" w:color="auto" w:sz="4" w:space="0"/>
                    <w:left w:val="single" w:color="auto" w:sz="4" w:space="0"/>
                    <w:bottom w:val="single" w:color="auto" w:sz="4" w:space="0"/>
                    <w:right w:val="single" w:color="auto" w:sz="4" w:space="0"/>
                  </w:tcBorders>
                  <w:vAlign w:val="center"/>
                </w:tcPr>
                <w:p>
                  <w:pPr>
                    <w:pStyle w:val="46"/>
                  </w:pPr>
                  <w:r>
                    <w:t>车间面积(m</w:t>
                  </w:r>
                  <w:r>
                    <w:rPr>
                      <w:vertAlign w:val="superscript"/>
                    </w:rPr>
                    <w:t>2</w:t>
                  </w:r>
                  <w:r>
                    <w:t>)</w:t>
                  </w:r>
                </w:p>
              </w:tc>
              <w:tc>
                <w:tcPr>
                  <w:tcW w:w="2372" w:type="pct"/>
                  <w:gridSpan w:val="3"/>
                  <w:tcBorders>
                    <w:top w:val="single" w:color="auto" w:sz="4" w:space="0"/>
                    <w:left w:val="single" w:color="auto" w:sz="4" w:space="0"/>
                    <w:bottom w:val="single" w:color="auto" w:sz="4" w:space="0"/>
                    <w:right w:val="single" w:color="auto" w:sz="4" w:space="0"/>
                  </w:tcBorders>
                  <w:vAlign w:val="center"/>
                </w:tcPr>
                <w:p>
                  <w:pPr>
                    <w:pStyle w:val="46"/>
                  </w:pPr>
                  <w:r>
                    <w:t>声源中心与预测点距离（m）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pct"/>
                  <w:vMerge w:val="continue"/>
                  <w:tcBorders>
                    <w:top w:val="single" w:color="auto" w:sz="4" w:space="0"/>
                    <w:left w:val="single" w:color="auto" w:sz="4" w:space="0"/>
                    <w:bottom w:val="single" w:color="auto" w:sz="4" w:space="0"/>
                    <w:right w:val="single" w:color="auto" w:sz="4" w:space="0"/>
                  </w:tcBorders>
                  <w:vAlign w:val="center"/>
                </w:tcPr>
                <w:p>
                  <w:pPr>
                    <w:pStyle w:val="46"/>
                  </w:pPr>
                </w:p>
              </w:tc>
              <w:tc>
                <w:tcPr>
                  <w:tcW w:w="822" w:type="pct"/>
                  <w:vMerge w:val="continue"/>
                  <w:tcBorders>
                    <w:top w:val="single" w:color="auto" w:sz="4" w:space="0"/>
                    <w:left w:val="single" w:color="auto" w:sz="4" w:space="0"/>
                    <w:bottom w:val="single" w:color="auto" w:sz="4" w:space="0"/>
                    <w:right w:val="single" w:color="auto" w:sz="4" w:space="0"/>
                  </w:tcBorders>
                  <w:vAlign w:val="center"/>
                </w:tcPr>
                <w:p>
                  <w:pPr>
                    <w:pStyle w:val="46"/>
                  </w:pPr>
                </w:p>
              </w:tc>
              <w:tc>
                <w:tcPr>
                  <w:tcW w:w="1031" w:type="pct"/>
                  <w:vMerge w:val="continue"/>
                  <w:tcBorders>
                    <w:top w:val="single" w:color="auto" w:sz="4" w:space="0"/>
                    <w:left w:val="single" w:color="auto" w:sz="4" w:space="0"/>
                    <w:bottom w:val="single" w:color="auto" w:sz="4" w:space="0"/>
                    <w:right w:val="single" w:color="auto" w:sz="4" w:space="0"/>
                  </w:tcBorders>
                  <w:vAlign w:val="center"/>
                </w:tcPr>
                <w:p>
                  <w:pPr>
                    <w:pStyle w:val="46"/>
                  </w:pPr>
                </w:p>
              </w:tc>
              <w:tc>
                <w:tcPr>
                  <w:tcW w:w="787" w:type="pct"/>
                  <w:tcBorders>
                    <w:top w:val="single" w:color="auto" w:sz="4" w:space="0"/>
                    <w:left w:val="single" w:color="auto" w:sz="4" w:space="0"/>
                    <w:bottom w:val="single" w:color="auto" w:sz="4" w:space="0"/>
                    <w:right w:val="single" w:color="auto" w:sz="4" w:space="0"/>
                  </w:tcBorders>
                  <w:vAlign w:val="center"/>
                </w:tcPr>
                <w:p>
                  <w:pPr>
                    <w:pStyle w:val="46"/>
                  </w:pPr>
                  <w:r>
                    <w:t>东厂界1#</w:t>
                  </w:r>
                </w:p>
              </w:tc>
              <w:tc>
                <w:tcPr>
                  <w:tcW w:w="787" w:type="pct"/>
                  <w:tcBorders>
                    <w:top w:val="single" w:color="auto" w:sz="4" w:space="0"/>
                    <w:left w:val="single" w:color="auto" w:sz="4" w:space="0"/>
                    <w:bottom w:val="single" w:color="auto" w:sz="4" w:space="0"/>
                    <w:right w:val="single" w:color="auto" w:sz="4" w:space="0"/>
                  </w:tcBorders>
                  <w:vAlign w:val="center"/>
                </w:tcPr>
                <w:p>
                  <w:pPr>
                    <w:pStyle w:val="46"/>
                  </w:pPr>
                  <w:r>
                    <w:t>南厂界2#</w:t>
                  </w:r>
                </w:p>
              </w:tc>
              <w:tc>
                <w:tcPr>
                  <w:tcW w:w="797" w:type="pct"/>
                  <w:tcBorders>
                    <w:top w:val="single" w:color="auto" w:sz="4" w:space="0"/>
                    <w:left w:val="single" w:color="auto" w:sz="4" w:space="0"/>
                    <w:bottom w:val="single" w:color="auto" w:sz="4" w:space="0"/>
                    <w:right w:val="single" w:color="auto" w:sz="4" w:space="0"/>
                  </w:tcBorders>
                  <w:vAlign w:val="center"/>
                </w:tcPr>
                <w:p>
                  <w:pPr>
                    <w:pStyle w:val="46"/>
                  </w:pPr>
                  <w:r>
                    <w:rPr>
                      <w:rFonts w:hint="eastAsia"/>
                    </w:rPr>
                    <w:t>北</w:t>
                  </w:r>
                  <w:r>
                    <w:t>厂界3#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pct"/>
                  <w:tcBorders>
                    <w:top w:val="single" w:color="auto" w:sz="4" w:space="0"/>
                    <w:left w:val="single" w:color="auto" w:sz="4" w:space="0"/>
                    <w:bottom w:val="single" w:color="auto" w:sz="4" w:space="0"/>
                    <w:right w:val="single" w:color="auto" w:sz="4" w:space="0"/>
                  </w:tcBorders>
                  <w:vAlign w:val="center"/>
                </w:tcPr>
                <w:p>
                  <w:pPr>
                    <w:pStyle w:val="47"/>
                  </w:pPr>
                  <w:r>
                    <w:t>生产车间</w:t>
                  </w:r>
                </w:p>
              </w:tc>
              <w:tc>
                <w:tcPr>
                  <w:tcW w:w="822"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80</w:t>
                  </w:r>
                </w:p>
              </w:tc>
              <w:tc>
                <w:tcPr>
                  <w:tcW w:w="1031"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1275</w:t>
                  </w:r>
                  <w:r>
                    <w:t>（</w:t>
                  </w:r>
                  <w:r>
                    <w:rPr>
                      <w:rFonts w:hint="eastAsia"/>
                    </w:rPr>
                    <w:t>1~3</w:t>
                  </w:r>
                  <w:r>
                    <w:t>层）</w:t>
                  </w:r>
                </w:p>
              </w:tc>
              <w:tc>
                <w:tcPr>
                  <w:tcW w:w="787"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13.5</w:t>
                  </w:r>
                </w:p>
              </w:tc>
              <w:tc>
                <w:tcPr>
                  <w:tcW w:w="787"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8.5</w:t>
                  </w:r>
                </w:p>
              </w:tc>
              <w:tc>
                <w:tcPr>
                  <w:tcW w:w="797"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8.5</w:t>
                  </w:r>
                </w:p>
              </w:tc>
            </w:tr>
          </w:tbl>
          <w:p>
            <w:pPr>
              <w:pStyle w:val="46"/>
            </w:pPr>
          </w:p>
          <w:p>
            <w:pPr>
              <w:pStyle w:val="46"/>
            </w:pPr>
          </w:p>
          <w:p>
            <w:pPr>
              <w:pStyle w:val="46"/>
            </w:pPr>
          </w:p>
          <w:p>
            <w:pPr>
              <w:pStyle w:val="46"/>
            </w:pPr>
          </w:p>
          <w:p>
            <w:pPr>
              <w:pStyle w:val="46"/>
            </w:pPr>
            <w:r>
              <w:t>表7-1</w:t>
            </w:r>
            <w:r>
              <w:rPr>
                <w:rFonts w:hint="eastAsia"/>
              </w:rPr>
              <w:t>6</w:t>
            </w:r>
            <w:r>
              <w:t xml:space="preserve">  源强及隔声量   单位：dB（A）</w:t>
            </w:r>
          </w:p>
          <w:tbl>
            <w:tblPr>
              <w:tblStyle w:val="34"/>
              <w:tblW w:w="87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880"/>
              <w:gridCol w:w="1843"/>
              <w:gridCol w:w="983"/>
              <w:gridCol w:w="1373"/>
              <w:gridCol w:w="1375"/>
              <w:gridCol w:w="1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3" w:type="pct"/>
                  <w:vMerge w:val="restart"/>
                  <w:tcBorders>
                    <w:top w:val="single" w:color="auto" w:sz="4" w:space="0"/>
                    <w:left w:val="single" w:color="auto" w:sz="4" w:space="0"/>
                    <w:bottom w:val="single" w:color="auto" w:sz="4" w:space="0"/>
                    <w:right w:val="single" w:color="auto" w:sz="4" w:space="0"/>
                  </w:tcBorders>
                  <w:vAlign w:val="center"/>
                </w:tcPr>
                <w:p>
                  <w:pPr>
                    <w:pStyle w:val="46"/>
                  </w:pPr>
                  <w:r>
                    <w:t>噪声源</w:t>
                  </w:r>
                </w:p>
              </w:tc>
              <w:tc>
                <w:tcPr>
                  <w:tcW w:w="504" w:type="pct"/>
                  <w:vMerge w:val="restart"/>
                  <w:tcBorders>
                    <w:top w:val="single" w:color="auto" w:sz="4" w:space="0"/>
                    <w:left w:val="single" w:color="auto" w:sz="4" w:space="0"/>
                    <w:bottom w:val="single" w:color="auto" w:sz="4" w:space="0"/>
                    <w:right w:val="single" w:color="auto" w:sz="4" w:space="0"/>
                  </w:tcBorders>
                  <w:vAlign w:val="center"/>
                </w:tcPr>
                <w:p>
                  <w:pPr>
                    <w:pStyle w:val="46"/>
                  </w:pPr>
                  <w:r>
                    <w:t>源强</w:t>
                  </w:r>
                </w:p>
              </w:tc>
              <w:tc>
                <w:tcPr>
                  <w:tcW w:w="1056" w:type="pct"/>
                  <w:vMerge w:val="restart"/>
                  <w:tcBorders>
                    <w:top w:val="single" w:color="auto" w:sz="4" w:space="0"/>
                    <w:left w:val="single" w:color="auto" w:sz="4" w:space="0"/>
                    <w:bottom w:val="single" w:color="auto" w:sz="4" w:space="0"/>
                    <w:right w:val="single" w:color="auto" w:sz="4" w:space="0"/>
                  </w:tcBorders>
                  <w:vAlign w:val="center"/>
                </w:tcPr>
                <w:p>
                  <w:pPr>
                    <w:pStyle w:val="46"/>
                  </w:pPr>
                  <w:r>
                    <w:t>车间隔声量</w:t>
                  </w:r>
                </w:p>
              </w:tc>
              <w:tc>
                <w:tcPr>
                  <w:tcW w:w="563" w:type="pct"/>
                  <w:vMerge w:val="restart"/>
                  <w:tcBorders>
                    <w:top w:val="single" w:color="auto" w:sz="4" w:space="0"/>
                    <w:left w:val="single" w:color="auto" w:sz="4" w:space="0"/>
                    <w:bottom w:val="single" w:color="auto" w:sz="4" w:space="0"/>
                    <w:right w:val="single" w:color="auto" w:sz="4" w:space="0"/>
                  </w:tcBorders>
                  <w:vAlign w:val="center"/>
                </w:tcPr>
                <w:p>
                  <w:pPr>
                    <w:pStyle w:val="46"/>
                  </w:pPr>
                  <w:r>
                    <w:t>围墙隔声量</w:t>
                  </w:r>
                </w:p>
              </w:tc>
              <w:tc>
                <w:tcPr>
                  <w:tcW w:w="2373" w:type="pct"/>
                  <w:gridSpan w:val="3"/>
                  <w:tcBorders>
                    <w:top w:val="single" w:color="auto" w:sz="4" w:space="0"/>
                    <w:left w:val="single" w:color="auto" w:sz="4" w:space="0"/>
                    <w:bottom w:val="single" w:color="auto" w:sz="4" w:space="0"/>
                    <w:right w:val="single" w:color="auto" w:sz="4" w:space="0"/>
                  </w:tcBorders>
                  <w:vAlign w:val="center"/>
                </w:tcPr>
                <w:p>
                  <w:pPr>
                    <w:pStyle w:val="46"/>
                  </w:pPr>
                  <w:r>
                    <w:t>建筑物隔声量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3" w:type="pct"/>
                  <w:vMerge w:val="continue"/>
                  <w:tcBorders>
                    <w:top w:val="single" w:color="auto" w:sz="4" w:space="0"/>
                    <w:left w:val="single" w:color="auto" w:sz="4" w:space="0"/>
                    <w:bottom w:val="single" w:color="auto" w:sz="4" w:space="0"/>
                    <w:right w:val="single" w:color="auto" w:sz="4" w:space="0"/>
                  </w:tcBorders>
                  <w:vAlign w:val="center"/>
                </w:tcPr>
                <w:p>
                  <w:pPr>
                    <w:pStyle w:val="46"/>
                  </w:pPr>
                </w:p>
              </w:tc>
              <w:tc>
                <w:tcPr>
                  <w:tcW w:w="504" w:type="pct"/>
                  <w:vMerge w:val="continue"/>
                  <w:tcBorders>
                    <w:top w:val="single" w:color="auto" w:sz="4" w:space="0"/>
                    <w:left w:val="single" w:color="auto" w:sz="4" w:space="0"/>
                    <w:bottom w:val="single" w:color="auto" w:sz="4" w:space="0"/>
                    <w:right w:val="single" w:color="auto" w:sz="4" w:space="0"/>
                  </w:tcBorders>
                  <w:vAlign w:val="center"/>
                </w:tcPr>
                <w:p>
                  <w:pPr>
                    <w:pStyle w:val="46"/>
                  </w:pPr>
                </w:p>
              </w:tc>
              <w:tc>
                <w:tcPr>
                  <w:tcW w:w="1056" w:type="pct"/>
                  <w:vMerge w:val="continue"/>
                  <w:tcBorders>
                    <w:top w:val="single" w:color="auto" w:sz="4" w:space="0"/>
                    <w:left w:val="single" w:color="auto" w:sz="4" w:space="0"/>
                    <w:bottom w:val="single" w:color="auto" w:sz="4" w:space="0"/>
                    <w:right w:val="single" w:color="auto" w:sz="4" w:space="0"/>
                  </w:tcBorders>
                  <w:vAlign w:val="center"/>
                </w:tcPr>
                <w:p>
                  <w:pPr>
                    <w:pStyle w:val="46"/>
                  </w:pPr>
                </w:p>
              </w:tc>
              <w:tc>
                <w:tcPr>
                  <w:tcW w:w="563" w:type="pct"/>
                  <w:vMerge w:val="continue"/>
                  <w:tcBorders>
                    <w:top w:val="single" w:color="auto" w:sz="4" w:space="0"/>
                    <w:left w:val="single" w:color="auto" w:sz="4" w:space="0"/>
                    <w:bottom w:val="single" w:color="auto" w:sz="4" w:space="0"/>
                    <w:right w:val="single" w:color="auto" w:sz="4" w:space="0"/>
                  </w:tcBorders>
                  <w:vAlign w:val="center"/>
                </w:tcPr>
                <w:p>
                  <w:pPr>
                    <w:pStyle w:val="46"/>
                  </w:pPr>
                </w:p>
              </w:tc>
              <w:tc>
                <w:tcPr>
                  <w:tcW w:w="787" w:type="pct"/>
                  <w:tcBorders>
                    <w:top w:val="single" w:color="auto" w:sz="4" w:space="0"/>
                    <w:left w:val="single" w:color="auto" w:sz="4" w:space="0"/>
                    <w:bottom w:val="single" w:color="auto" w:sz="4" w:space="0"/>
                    <w:right w:val="single" w:color="auto" w:sz="4" w:space="0"/>
                  </w:tcBorders>
                  <w:vAlign w:val="center"/>
                </w:tcPr>
                <w:p>
                  <w:pPr>
                    <w:pStyle w:val="46"/>
                  </w:pPr>
                  <w:r>
                    <w:t>东厂界1#</w:t>
                  </w:r>
                </w:p>
              </w:tc>
              <w:tc>
                <w:tcPr>
                  <w:tcW w:w="788" w:type="pct"/>
                  <w:tcBorders>
                    <w:top w:val="single" w:color="auto" w:sz="4" w:space="0"/>
                    <w:left w:val="single" w:color="auto" w:sz="4" w:space="0"/>
                    <w:bottom w:val="single" w:color="auto" w:sz="4" w:space="0"/>
                    <w:right w:val="single" w:color="auto" w:sz="4" w:space="0"/>
                  </w:tcBorders>
                  <w:vAlign w:val="center"/>
                </w:tcPr>
                <w:p>
                  <w:pPr>
                    <w:pStyle w:val="46"/>
                  </w:pPr>
                  <w:r>
                    <w:t>南厂界2#</w:t>
                  </w:r>
                </w:p>
              </w:tc>
              <w:tc>
                <w:tcPr>
                  <w:tcW w:w="797" w:type="pct"/>
                  <w:tcBorders>
                    <w:top w:val="single" w:color="auto" w:sz="4" w:space="0"/>
                    <w:left w:val="single" w:color="auto" w:sz="4" w:space="0"/>
                    <w:bottom w:val="single" w:color="auto" w:sz="4" w:space="0"/>
                    <w:right w:val="single" w:color="auto" w:sz="4" w:space="0"/>
                  </w:tcBorders>
                  <w:vAlign w:val="center"/>
                </w:tcPr>
                <w:p>
                  <w:pPr>
                    <w:pStyle w:val="46"/>
                  </w:pPr>
                  <w:r>
                    <w:rPr>
                      <w:rFonts w:hint="eastAsia"/>
                    </w:rPr>
                    <w:t>北</w:t>
                  </w:r>
                  <w:r>
                    <w:t>厂界3#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3" w:type="pct"/>
                  <w:tcBorders>
                    <w:top w:val="single" w:color="auto" w:sz="4" w:space="0"/>
                    <w:left w:val="single" w:color="auto" w:sz="4" w:space="0"/>
                    <w:bottom w:val="single" w:color="auto" w:sz="4" w:space="0"/>
                    <w:right w:val="single" w:color="auto" w:sz="4" w:space="0"/>
                  </w:tcBorders>
                  <w:vAlign w:val="center"/>
                </w:tcPr>
                <w:p>
                  <w:pPr>
                    <w:pStyle w:val="47"/>
                  </w:pPr>
                  <w:r>
                    <w:t>生产车间</w:t>
                  </w:r>
                </w:p>
              </w:tc>
              <w:tc>
                <w:tcPr>
                  <w:tcW w:w="504"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114.1</w:t>
                  </w:r>
                </w:p>
              </w:tc>
              <w:tc>
                <w:tcPr>
                  <w:tcW w:w="1056"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20（东侧）</w:t>
                  </w:r>
                </w:p>
                <w:p>
                  <w:pPr>
                    <w:pStyle w:val="47"/>
                  </w:pPr>
                  <w:r>
                    <w:t>2</w:t>
                  </w:r>
                  <w:r>
                    <w:rPr>
                      <w:rFonts w:hint="eastAsia"/>
                    </w:rPr>
                    <w:t>5（南、北两侧）</w:t>
                  </w:r>
                </w:p>
              </w:tc>
              <w:tc>
                <w:tcPr>
                  <w:tcW w:w="56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w:t>
                  </w:r>
                </w:p>
              </w:tc>
              <w:tc>
                <w:tcPr>
                  <w:tcW w:w="787"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w:t>
                  </w:r>
                </w:p>
              </w:tc>
              <w:tc>
                <w:tcPr>
                  <w:tcW w:w="788"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w:t>
                  </w:r>
                </w:p>
              </w:tc>
              <w:tc>
                <w:tcPr>
                  <w:tcW w:w="797" w:type="pct"/>
                  <w:tcBorders>
                    <w:top w:val="single" w:color="auto" w:sz="4" w:space="0"/>
                    <w:left w:val="single" w:color="auto" w:sz="4" w:space="0"/>
                    <w:bottom w:val="single" w:color="auto" w:sz="4" w:space="0"/>
                    <w:right w:val="single" w:color="auto" w:sz="4" w:space="0"/>
                  </w:tcBorders>
                  <w:vAlign w:val="center"/>
                </w:tcPr>
                <w:p>
                  <w:pPr>
                    <w:pStyle w:val="47"/>
                  </w:pPr>
                  <w:r>
                    <w:t>0</w:t>
                  </w:r>
                </w:p>
              </w:tc>
            </w:tr>
          </w:tbl>
          <w:p>
            <w:pPr>
              <w:ind w:firstLine="480"/>
            </w:pPr>
            <w:r>
              <w:rPr>
                <w:rFonts w:hint="eastAsia"/>
              </w:rPr>
              <w:t>5</w:t>
            </w:r>
            <w:r>
              <w:t>、预测结果</w:t>
            </w:r>
          </w:p>
          <w:p>
            <w:pPr>
              <w:ind w:firstLine="480"/>
            </w:pPr>
            <w:r>
              <w:t>企业夜间不生产，本项目厂界昼间噪声预测结果见表7-1</w:t>
            </w:r>
            <w:r>
              <w:rPr>
                <w:rFonts w:hint="eastAsia"/>
              </w:rPr>
              <w:t>7</w:t>
            </w:r>
            <w:r>
              <w:t>。</w:t>
            </w:r>
          </w:p>
          <w:p>
            <w:pPr>
              <w:pStyle w:val="46"/>
            </w:pPr>
            <w:r>
              <w:t>表7-1</w:t>
            </w:r>
            <w:r>
              <w:rPr>
                <w:rFonts w:hint="eastAsia"/>
              </w:rPr>
              <w:t>7</w:t>
            </w:r>
            <w:r>
              <w:t xml:space="preserve">  噪声影响预测结果  单位：dB(A)</w:t>
            </w:r>
          </w:p>
          <w:tbl>
            <w:tblPr>
              <w:tblStyle w:val="3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5"/>
              <w:gridCol w:w="1682"/>
              <w:gridCol w:w="1657"/>
              <w:gridCol w:w="1657"/>
              <w:gridCol w:w="1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8" w:type="pct"/>
                  <w:gridSpan w:val="2"/>
                  <w:vAlign w:val="center"/>
                </w:tcPr>
                <w:p>
                  <w:pPr>
                    <w:pStyle w:val="47"/>
                    <w:rPr>
                      <w:b/>
                      <w:bCs/>
                    </w:rPr>
                  </w:pPr>
                  <w:r>
                    <w:rPr>
                      <w:b/>
                      <w:bCs/>
                    </w:rPr>
                    <w:t>项   目</w:t>
                  </w:r>
                </w:p>
              </w:tc>
              <w:tc>
                <w:tcPr>
                  <w:tcW w:w="950" w:type="pct"/>
                  <w:vAlign w:val="center"/>
                </w:tcPr>
                <w:p>
                  <w:pPr>
                    <w:pStyle w:val="47"/>
                    <w:rPr>
                      <w:b/>
                      <w:bCs/>
                    </w:rPr>
                  </w:pPr>
                  <w:r>
                    <w:rPr>
                      <w:b/>
                      <w:bCs/>
                    </w:rPr>
                    <w:t>东厂界1#</w:t>
                  </w:r>
                </w:p>
              </w:tc>
              <w:tc>
                <w:tcPr>
                  <w:tcW w:w="950" w:type="pct"/>
                  <w:vAlign w:val="center"/>
                </w:tcPr>
                <w:p>
                  <w:pPr>
                    <w:pStyle w:val="47"/>
                    <w:rPr>
                      <w:b/>
                      <w:bCs/>
                    </w:rPr>
                  </w:pPr>
                  <w:r>
                    <w:rPr>
                      <w:b/>
                      <w:bCs/>
                    </w:rPr>
                    <w:t>南厂界2#</w:t>
                  </w:r>
                </w:p>
              </w:tc>
              <w:tc>
                <w:tcPr>
                  <w:tcW w:w="950" w:type="pct"/>
                  <w:vAlign w:val="center"/>
                </w:tcPr>
                <w:p>
                  <w:pPr>
                    <w:pStyle w:val="47"/>
                    <w:rPr>
                      <w:b/>
                      <w:bCs/>
                    </w:rPr>
                  </w:pPr>
                  <w:r>
                    <w:rPr>
                      <w:b/>
                      <w:bCs/>
                    </w:rPr>
                    <w:t>北厂界</w:t>
                  </w:r>
                  <w:r>
                    <w:rPr>
                      <w:rFonts w:hint="eastAsia"/>
                      <w:b/>
                      <w:bCs/>
                    </w:rPr>
                    <w:t>3</w:t>
                  </w:r>
                  <w:r>
                    <w:rPr>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8" w:type="pct"/>
                  <w:gridSpan w:val="2"/>
                  <w:vAlign w:val="center"/>
                </w:tcPr>
                <w:p>
                  <w:pPr>
                    <w:pStyle w:val="47"/>
                  </w:pPr>
                  <w:r>
                    <w:t>生产车间贡献值</w:t>
                  </w:r>
                </w:p>
              </w:tc>
              <w:tc>
                <w:tcPr>
                  <w:tcW w:w="950" w:type="pct"/>
                  <w:vAlign w:val="center"/>
                </w:tcPr>
                <w:p>
                  <w:pPr>
                    <w:pStyle w:val="47"/>
                  </w:pPr>
                  <w:r>
                    <w:rPr>
                      <w:rFonts w:hint="eastAsia"/>
                    </w:rPr>
                    <w:t>63.5</w:t>
                  </w:r>
                </w:p>
              </w:tc>
              <w:tc>
                <w:tcPr>
                  <w:tcW w:w="950" w:type="pct"/>
                  <w:vAlign w:val="center"/>
                </w:tcPr>
                <w:p>
                  <w:pPr>
                    <w:pStyle w:val="47"/>
                  </w:pPr>
                  <w:r>
                    <w:rPr>
                      <w:rFonts w:hint="eastAsia"/>
                    </w:rPr>
                    <w:t>62.5</w:t>
                  </w:r>
                </w:p>
              </w:tc>
              <w:tc>
                <w:tcPr>
                  <w:tcW w:w="950" w:type="pct"/>
                  <w:vAlign w:val="center"/>
                </w:tcPr>
                <w:p>
                  <w:pPr>
                    <w:pStyle w:val="47"/>
                  </w:pPr>
                  <w:r>
                    <w:rPr>
                      <w:rFonts w:hint="eastAsia"/>
                    </w:rPr>
                    <w:t>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4" w:type="pct"/>
                  <w:vAlign w:val="center"/>
                </w:tcPr>
                <w:p>
                  <w:pPr>
                    <w:pStyle w:val="47"/>
                  </w:pPr>
                  <w:r>
                    <w:t>背景值</w:t>
                  </w:r>
                </w:p>
              </w:tc>
              <w:tc>
                <w:tcPr>
                  <w:tcW w:w="963" w:type="pct"/>
                  <w:vAlign w:val="center"/>
                </w:tcPr>
                <w:p>
                  <w:pPr>
                    <w:pStyle w:val="47"/>
                  </w:pPr>
                  <w:r>
                    <w:t>昼间</w:t>
                  </w:r>
                </w:p>
              </w:tc>
              <w:tc>
                <w:tcPr>
                  <w:tcW w:w="950" w:type="pct"/>
                  <w:vAlign w:val="center"/>
                </w:tcPr>
                <w:p>
                  <w:pPr>
                    <w:pStyle w:val="47"/>
                  </w:pPr>
                  <w:r>
                    <w:rPr>
                      <w:rFonts w:hint="eastAsia"/>
                    </w:rPr>
                    <w:t>/</w:t>
                  </w:r>
                </w:p>
              </w:tc>
              <w:tc>
                <w:tcPr>
                  <w:tcW w:w="950" w:type="pct"/>
                  <w:vAlign w:val="center"/>
                </w:tcPr>
                <w:p>
                  <w:pPr>
                    <w:pStyle w:val="47"/>
                  </w:pPr>
                  <w:r>
                    <w:rPr>
                      <w:rFonts w:hint="eastAsia"/>
                    </w:rPr>
                    <w:t>/</w:t>
                  </w:r>
                </w:p>
              </w:tc>
              <w:tc>
                <w:tcPr>
                  <w:tcW w:w="950" w:type="pct"/>
                  <w:vAlign w:val="center"/>
                </w:tcPr>
                <w:p>
                  <w:pPr>
                    <w:pStyle w:val="47"/>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184" w:type="pct"/>
                  <w:vAlign w:val="center"/>
                </w:tcPr>
                <w:p>
                  <w:pPr>
                    <w:pStyle w:val="47"/>
                  </w:pPr>
                  <w:r>
                    <w:t>预测值</w:t>
                  </w:r>
                </w:p>
              </w:tc>
              <w:tc>
                <w:tcPr>
                  <w:tcW w:w="963" w:type="pct"/>
                  <w:vAlign w:val="center"/>
                </w:tcPr>
                <w:p>
                  <w:pPr>
                    <w:pStyle w:val="47"/>
                  </w:pPr>
                  <w:r>
                    <w:t>昼间</w:t>
                  </w:r>
                </w:p>
              </w:tc>
              <w:tc>
                <w:tcPr>
                  <w:tcW w:w="1657" w:type="dxa"/>
                  <w:vAlign w:val="center"/>
                </w:tcPr>
                <w:p>
                  <w:pPr>
                    <w:pStyle w:val="47"/>
                  </w:pPr>
                  <w:r>
                    <w:rPr>
                      <w:rFonts w:hint="eastAsia"/>
                    </w:rPr>
                    <w:t>63.5</w:t>
                  </w:r>
                </w:p>
              </w:tc>
              <w:tc>
                <w:tcPr>
                  <w:tcW w:w="1657" w:type="dxa"/>
                  <w:vAlign w:val="center"/>
                </w:tcPr>
                <w:p>
                  <w:pPr>
                    <w:pStyle w:val="47"/>
                  </w:pPr>
                  <w:r>
                    <w:rPr>
                      <w:rFonts w:hint="eastAsia"/>
                    </w:rPr>
                    <w:t>62.5</w:t>
                  </w:r>
                </w:p>
              </w:tc>
              <w:tc>
                <w:tcPr>
                  <w:tcW w:w="1658" w:type="dxa"/>
                  <w:vAlign w:val="center"/>
                </w:tcPr>
                <w:p>
                  <w:pPr>
                    <w:pStyle w:val="47"/>
                  </w:pPr>
                  <w:r>
                    <w:rPr>
                      <w:rFonts w:hint="eastAsia"/>
                    </w:rPr>
                    <w:t>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4" w:type="pct"/>
                  <w:vAlign w:val="center"/>
                </w:tcPr>
                <w:p>
                  <w:pPr>
                    <w:pStyle w:val="47"/>
                  </w:pPr>
                  <w:r>
                    <w:t>评价标准</w:t>
                  </w:r>
                </w:p>
              </w:tc>
              <w:tc>
                <w:tcPr>
                  <w:tcW w:w="963" w:type="pct"/>
                  <w:vAlign w:val="center"/>
                </w:tcPr>
                <w:p>
                  <w:pPr>
                    <w:pStyle w:val="47"/>
                  </w:pPr>
                  <w:r>
                    <w:t>昼间</w:t>
                  </w:r>
                </w:p>
              </w:tc>
              <w:tc>
                <w:tcPr>
                  <w:tcW w:w="950" w:type="pct"/>
                  <w:vAlign w:val="center"/>
                </w:tcPr>
                <w:p>
                  <w:pPr>
                    <w:pStyle w:val="47"/>
                  </w:pPr>
                  <w:r>
                    <w:t>65</w:t>
                  </w:r>
                </w:p>
              </w:tc>
              <w:tc>
                <w:tcPr>
                  <w:tcW w:w="950" w:type="pct"/>
                  <w:vAlign w:val="center"/>
                </w:tcPr>
                <w:p>
                  <w:pPr>
                    <w:pStyle w:val="47"/>
                  </w:pPr>
                  <w:r>
                    <w:t>65</w:t>
                  </w:r>
                </w:p>
              </w:tc>
              <w:tc>
                <w:tcPr>
                  <w:tcW w:w="950" w:type="pct"/>
                  <w:vAlign w:val="center"/>
                </w:tcPr>
                <w:p>
                  <w:pPr>
                    <w:pStyle w:val="47"/>
                  </w:pPr>
                  <w: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4" w:type="pct"/>
                  <w:vAlign w:val="center"/>
                </w:tcPr>
                <w:p>
                  <w:pPr>
                    <w:pStyle w:val="47"/>
                  </w:pPr>
                  <w:r>
                    <w:t>超标值</w:t>
                  </w:r>
                </w:p>
              </w:tc>
              <w:tc>
                <w:tcPr>
                  <w:tcW w:w="963" w:type="pct"/>
                  <w:vAlign w:val="center"/>
                </w:tcPr>
                <w:p>
                  <w:pPr>
                    <w:pStyle w:val="47"/>
                  </w:pPr>
                  <w:r>
                    <w:t>昼间</w:t>
                  </w:r>
                </w:p>
              </w:tc>
              <w:tc>
                <w:tcPr>
                  <w:tcW w:w="950" w:type="pct"/>
                  <w:vAlign w:val="center"/>
                </w:tcPr>
                <w:p>
                  <w:pPr>
                    <w:pStyle w:val="47"/>
                  </w:pPr>
                  <w:r>
                    <w:t>0</w:t>
                  </w:r>
                </w:p>
              </w:tc>
              <w:tc>
                <w:tcPr>
                  <w:tcW w:w="950" w:type="pct"/>
                  <w:vAlign w:val="center"/>
                </w:tcPr>
                <w:p>
                  <w:pPr>
                    <w:pStyle w:val="47"/>
                  </w:pPr>
                  <w:r>
                    <w:t>0</w:t>
                  </w:r>
                </w:p>
              </w:tc>
              <w:tc>
                <w:tcPr>
                  <w:tcW w:w="950" w:type="pct"/>
                  <w:vAlign w:val="center"/>
                </w:tcPr>
                <w:p>
                  <w:pPr>
                    <w:pStyle w:val="47"/>
                  </w:pPr>
                  <w:r>
                    <w:t>0</w:t>
                  </w:r>
                </w:p>
              </w:tc>
            </w:tr>
          </w:tbl>
          <w:p>
            <w:pPr>
              <w:ind w:firstLine="480"/>
            </w:pPr>
            <w:r>
              <w:t>从上表可知，本项目在经过墙体隔声和距离衰减后，厂界四周昼间噪声能达到《工业企业厂界环境噪声排放标准》（GB12348-2008）中的3类标准。</w:t>
            </w:r>
          </w:p>
          <w:p>
            <w:pPr>
              <w:ind w:firstLine="480"/>
            </w:pPr>
            <w:bookmarkStart w:id="163" w:name="_Toc29380643"/>
            <w:bookmarkStart w:id="164" w:name="_Toc29388594"/>
            <w:r>
              <w:t>为进一步减少本项目厂界噪声对外环境的影响，要求企业对强声源设备采用防震、消声、隔音等降噪措施</w:t>
            </w:r>
            <w:r>
              <w:rPr>
                <w:rFonts w:hint="eastAsia"/>
              </w:rPr>
              <w:t>，在</w:t>
            </w:r>
            <w:r>
              <w:t>生产车间</w:t>
            </w:r>
            <w:r>
              <w:rPr>
                <w:rFonts w:hint="eastAsia"/>
              </w:rPr>
              <w:t>南、北侧墙壁上</w:t>
            </w:r>
            <w:r>
              <w:t>设置</w:t>
            </w:r>
            <w:r>
              <w:rPr>
                <w:rFonts w:hint="eastAsia"/>
              </w:rPr>
              <w:t>双层中空</w:t>
            </w:r>
            <w:r>
              <w:t>隔声窗户，确保生产车间</w:t>
            </w:r>
            <w:r>
              <w:rPr>
                <w:rFonts w:hint="eastAsia"/>
              </w:rPr>
              <w:t>南、北侧</w:t>
            </w:r>
            <w:r>
              <w:t>隔声量大于</w:t>
            </w:r>
            <w:r>
              <w:rPr>
                <w:rFonts w:hint="eastAsia"/>
              </w:rPr>
              <w:t>25</w:t>
            </w:r>
            <w:r>
              <w:t>dB，</w:t>
            </w:r>
            <w:r>
              <w:rPr>
                <w:rFonts w:hint="eastAsia"/>
              </w:rPr>
              <w:t>东侧墙壁上设置隔声窗户，隔声量大于20dB</w:t>
            </w:r>
            <w:r>
              <w:t>；加强生产设备的维修保养，发现设备有异常声音应及时维修；加强厂区绿化。在此基础上，本项目实施后，对周边环境的噪声影响不大。</w:t>
            </w:r>
          </w:p>
          <w:p>
            <w:pPr>
              <w:pStyle w:val="6"/>
            </w:pPr>
            <w:r>
              <w:t>7.2.5固体废弃物环境影响分析</w:t>
            </w:r>
            <w:bookmarkEnd w:id="163"/>
            <w:bookmarkEnd w:id="164"/>
          </w:p>
          <w:p>
            <w:pPr>
              <w:pStyle w:val="6"/>
            </w:pPr>
            <w:r>
              <w:rPr>
                <w:rFonts w:hint="eastAsia"/>
              </w:rPr>
              <w:t>7.2.5.1固体废物利用处置方式</w:t>
            </w:r>
          </w:p>
          <w:p>
            <w:pPr>
              <w:ind w:firstLine="480"/>
            </w:pPr>
            <w:r>
              <w:t>本项目的固体废物主要为一般包装材料、</w:t>
            </w:r>
            <w:r>
              <w:rPr>
                <w:rFonts w:hint="eastAsia"/>
              </w:rPr>
              <w:t>金属</w:t>
            </w:r>
            <w:r>
              <w:t>边角料、次品、</w:t>
            </w:r>
            <w:r>
              <w:rPr>
                <w:rFonts w:hint="eastAsia"/>
              </w:rPr>
              <w:t>金属沉渣、废滤芯、</w:t>
            </w:r>
            <w:r>
              <w:t>废乳化液、</w:t>
            </w:r>
            <w:r>
              <w:rPr>
                <w:rFonts w:hint="eastAsia"/>
              </w:rPr>
              <w:t>废漆料、</w:t>
            </w:r>
            <w:r>
              <w:t>废包装桶、</w:t>
            </w:r>
            <w:r>
              <w:rPr>
                <w:rFonts w:hint="eastAsia"/>
              </w:rPr>
              <w:t>废机油、废油桶、</w:t>
            </w:r>
            <w:r>
              <w:t>废活性炭</w:t>
            </w:r>
            <w:r>
              <w:rPr>
                <w:rFonts w:hint="eastAsia"/>
              </w:rPr>
              <w:t>、含漆废抹布和手套、含油废抹布和手套以及</w:t>
            </w:r>
            <w:r>
              <w:t>生活垃圾。本项目固体废物利用处置方式情况见表7-1</w:t>
            </w:r>
            <w:r>
              <w:rPr>
                <w:rFonts w:hint="eastAsia"/>
              </w:rPr>
              <w:t>8</w:t>
            </w:r>
            <w:r>
              <w:t>。</w:t>
            </w:r>
          </w:p>
          <w:p>
            <w:pPr>
              <w:pStyle w:val="46"/>
              <w:rPr>
                <w:rFonts w:hint="eastAsia"/>
              </w:rPr>
            </w:pPr>
          </w:p>
          <w:p>
            <w:pPr>
              <w:pStyle w:val="46"/>
              <w:rPr>
                <w:rFonts w:hint="eastAsia"/>
              </w:rPr>
            </w:pPr>
          </w:p>
          <w:p>
            <w:pPr>
              <w:pStyle w:val="46"/>
              <w:rPr>
                <w:rFonts w:hint="eastAsia"/>
              </w:rPr>
            </w:pPr>
          </w:p>
          <w:p>
            <w:pPr>
              <w:pStyle w:val="46"/>
              <w:rPr>
                <w:rFonts w:hint="eastAsia"/>
              </w:rPr>
            </w:pPr>
          </w:p>
          <w:p>
            <w:pPr>
              <w:pStyle w:val="46"/>
              <w:rPr>
                <w:rFonts w:hint="eastAsia"/>
              </w:rPr>
            </w:pPr>
          </w:p>
          <w:p>
            <w:pPr>
              <w:pStyle w:val="46"/>
              <w:rPr>
                <w:rFonts w:hint="eastAsia"/>
              </w:rPr>
            </w:pPr>
          </w:p>
          <w:p>
            <w:pPr>
              <w:pStyle w:val="46"/>
              <w:rPr>
                <w:rFonts w:hint="eastAsia"/>
              </w:rPr>
            </w:pPr>
          </w:p>
          <w:p>
            <w:pPr>
              <w:pStyle w:val="46"/>
              <w:rPr>
                <w:rFonts w:hint="eastAsia"/>
              </w:rPr>
            </w:pPr>
          </w:p>
          <w:p>
            <w:pPr>
              <w:pStyle w:val="46"/>
              <w:rPr>
                <w:rFonts w:hint="eastAsia"/>
              </w:rPr>
            </w:pPr>
          </w:p>
          <w:p>
            <w:pPr>
              <w:pStyle w:val="46"/>
              <w:rPr>
                <w:rFonts w:hint="eastAsia"/>
              </w:rPr>
            </w:pPr>
          </w:p>
          <w:p>
            <w:pPr>
              <w:pStyle w:val="46"/>
              <w:rPr>
                <w:rFonts w:hint="eastAsia"/>
              </w:rPr>
            </w:pPr>
          </w:p>
          <w:p>
            <w:pPr>
              <w:pStyle w:val="46"/>
              <w:rPr>
                <w:rFonts w:hint="eastAsia"/>
              </w:rPr>
            </w:pPr>
          </w:p>
          <w:p>
            <w:pPr>
              <w:pStyle w:val="46"/>
              <w:rPr>
                <w:rFonts w:hint="eastAsia"/>
              </w:rPr>
            </w:pPr>
          </w:p>
          <w:p>
            <w:pPr>
              <w:pStyle w:val="46"/>
              <w:rPr>
                <w:rFonts w:hint="eastAsia"/>
              </w:rPr>
            </w:pPr>
          </w:p>
          <w:p>
            <w:pPr>
              <w:pStyle w:val="46"/>
            </w:pPr>
            <w:r>
              <w:rPr>
                <w:rFonts w:hint="eastAsia"/>
              </w:rPr>
              <w:t>表7-18 固体废</w:t>
            </w:r>
            <w:r>
              <w:t>物利用处置方式评价表</w:t>
            </w:r>
          </w:p>
          <w:tbl>
            <w:tblPr>
              <w:tblStyle w:val="3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1212"/>
              <w:gridCol w:w="1719"/>
              <w:gridCol w:w="748"/>
              <w:gridCol w:w="720"/>
              <w:gridCol w:w="927"/>
              <w:gridCol w:w="1199"/>
              <w:gridCol w:w="870"/>
              <w:gridCol w:w="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 w:type="pct"/>
                  <w:tcBorders>
                    <w:top w:val="single" w:color="auto" w:sz="4" w:space="0"/>
                    <w:left w:val="single" w:color="auto" w:sz="4" w:space="0"/>
                    <w:bottom w:val="single" w:color="auto" w:sz="4" w:space="0"/>
                    <w:right w:val="single" w:color="auto" w:sz="4" w:space="0"/>
                  </w:tcBorders>
                  <w:vAlign w:val="center"/>
                </w:tcPr>
                <w:p>
                  <w:pPr>
                    <w:pStyle w:val="46"/>
                  </w:pPr>
                  <w:r>
                    <w:t>序号</w:t>
                  </w:r>
                </w:p>
              </w:tc>
              <w:tc>
                <w:tcPr>
                  <w:tcW w:w="694" w:type="pct"/>
                  <w:tcBorders>
                    <w:top w:val="single" w:color="auto" w:sz="4" w:space="0"/>
                    <w:left w:val="single" w:color="auto" w:sz="4" w:space="0"/>
                    <w:bottom w:val="single" w:color="auto" w:sz="4" w:space="0"/>
                    <w:right w:val="single" w:color="auto" w:sz="4" w:space="0"/>
                  </w:tcBorders>
                  <w:vAlign w:val="center"/>
                </w:tcPr>
                <w:p>
                  <w:pPr>
                    <w:pStyle w:val="46"/>
                  </w:pPr>
                  <w:r>
                    <w:t>固体废物</w:t>
                  </w:r>
                </w:p>
                <w:p>
                  <w:pPr>
                    <w:pStyle w:val="46"/>
                  </w:pPr>
                  <w:r>
                    <w:t>名称</w:t>
                  </w:r>
                </w:p>
              </w:tc>
              <w:tc>
                <w:tcPr>
                  <w:tcW w:w="985" w:type="pct"/>
                  <w:tcBorders>
                    <w:top w:val="single" w:color="auto" w:sz="4" w:space="0"/>
                    <w:left w:val="single" w:color="auto" w:sz="4" w:space="0"/>
                    <w:bottom w:val="single" w:color="auto" w:sz="4" w:space="0"/>
                    <w:right w:val="single" w:color="auto" w:sz="4" w:space="0"/>
                  </w:tcBorders>
                  <w:vAlign w:val="center"/>
                </w:tcPr>
                <w:p>
                  <w:pPr>
                    <w:pStyle w:val="46"/>
                  </w:pPr>
                  <w:r>
                    <w:t>产生工序</w:t>
                  </w:r>
                </w:p>
              </w:tc>
              <w:tc>
                <w:tcPr>
                  <w:tcW w:w="429" w:type="pct"/>
                  <w:tcBorders>
                    <w:top w:val="single" w:color="auto" w:sz="4" w:space="0"/>
                    <w:left w:val="single" w:color="auto" w:sz="4" w:space="0"/>
                    <w:bottom w:val="single" w:color="auto" w:sz="4" w:space="0"/>
                    <w:right w:val="single" w:color="auto" w:sz="4" w:space="0"/>
                  </w:tcBorders>
                  <w:vAlign w:val="center"/>
                </w:tcPr>
                <w:p>
                  <w:pPr>
                    <w:pStyle w:val="46"/>
                  </w:pPr>
                  <w:r>
                    <w:t>属性</w:t>
                  </w:r>
                </w:p>
              </w:tc>
              <w:tc>
                <w:tcPr>
                  <w:tcW w:w="413" w:type="pct"/>
                  <w:tcBorders>
                    <w:top w:val="single" w:color="auto" w:sz="4" w:space="0"/>
                    <w:left w:val="single" w:color="auto" w:sz="4" w:space="0"/>
                    <w:bottom w:val="single" w:color="auto" w:sz="4" w:space="0"/>
                    <w:right w:val="single" w:color="auto" w:sz="4" w:space="0"/>
                  </w:tcBorders>
                  <w:vAlign w:val="center"/>
                </w:tcPr>
                <w:p>
                  <w:pPr>
                    <w:pStyle w:val="46"/>
                  </w:pPr>
                  <w:r>
                    <w:t>废物代码</w:t>
                  </w:r>
                </w:p>
              </w:tc>
              <w:tc>
                <w:tcPr>
                  <w:tcW w:w="532" w:type="pct"/>
                  <w:tcBorders>
                    <w:top w:val="single" w:color="auto" w:sz="4" w:space="0"/>
                    <w:left w:val="single" w:color="auto" w:sz="4" w:space="0"/>
                    <w:bottom w:val="single" w:color="auto" w:sz="4" w:space="0"/>
                    <w:right w:val="single" w:color="auto" w:sz="4" w:space="0"/>
                  </w:tcBorders>
                  <w:vAlign w:val="center"/>
                </w:tcPr>
                <w:p>
                  <w:pPr>
                    <w:pStyle w:val="46"/>
                  </w:pPr>
                  <w:r>
                    <w:t>预测产生量（t/a）</w:t>
                  </w:r>
                </w:p>
              </w:tc>
              <w:tc>
                <w:tcPr>
                  <w:tcW w:w="687" w:type="pct"/>
                  <w:tcBorders>
                    <w:top w:val="single" w:color="auto" w:sz="4" w:space="0"/>
                    <w:left w:val="single" w:color="auto" w:sz="4" w:space="0"/>
                    <w:bottom w:val="single" w:color="auto" w:sz="4" w:space="0"/>
                    <w:right w:val="single" w:color="auto" w:sz="4" w:space="0"/>
                  </w:tcBorders>
                  <w:vAlign w:val="center"/>
                </w:tcPr>
                <w:p>
                  <w:pPr>
                    <w:pStyle w:val="46"/>
                  </w:pPr>
                  <w:r>
                    <w:t>利用处置方式</w:t>
                  </w:r>
                </w:p>
              </w:tc>
              <w:tc>
                <w:tcPr>
                  <w:tcW w:w="499" w:type="pct"/>
                  <w:tcBorders>
                    <w:top w:val="single" w:color="auto" w:sz="4" w:space="0"/>
                    <w:left w:val="single" w:color="auto" w:sz="4" w:space="0"/>
                    <w:bottom w:val="single" w:color="auto" w:sz="4" w:space="0"/>
                    <w:right w:val="single" w:color="auto" w:sz="4" w:space="0"/>
                  </w:tcBorders>
                  <w:vAlign w:val="center"/>
                </w:tcPr>
                <w:p>
                  <w:pPr>
                    <w:pStyle w:val="46"/>
                  </w:pPr>
                  <w:r>
                    <w:t>委托利用处置的单位</w:t>
                  </w:r>
                </w:p>
              </w:tc>
              <w:tc>
                <w:tcPr>
                  <w:tcW w:w="502" w:type="pct"/>
                  <w:tcBorders>
                    <w:top w:val="single" w:color="auto" w:sz="4" w:space="0"/>
                    <w:left w:val="single" w:color="auto" w:sz="4" w:space="0"/>
                    <w:bottom w:val="single" w:color="auto" w:sz="4" w:space="0"/>
                    <w:right w:val="single" w:color="auto" w:sz="4" w:space="0"/>
                  </w:tcBorders>
                  <w:vAlign w:val="center"/>
                </w:tcPr>
                <w:p>
                  <w:pPr>
                    <w:pStyle w:val="46"/>
                  </w:pPr>
                  <w:r>
                    <w:t>是否符合环保要求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 w:type="pct"/>
                  <w:tcBorders>
                    <w:top w:val="single" w:color="auto" w:sz="4" w:space="0"/>
                    <w:left w:val="single" w:color="auto" w:sz="4" w:space="0"/>
                    <w:bottom w:val="single" w:color="auto" w:sz="4" w:space="0"/>
                    <w:right w:val="single" w:color="auto" w:sz="4" w:space="0"/>
                  </w:tcBorders>
                  <w:vAlign w:val="center"/>
                </w:tcPr>
                <w:p>
                  <w:pPr>
                    <w:pStyle w:val="47"/>
                  </w:pPr>
                  <w:r>
                    <w:t>1</w:t>
                  </w:r>
                </w:p>
              </w:tc>
              <w:tc>
                <w:tcPr>
                  <w:tcW w:w="694" w:type="pct"/>
                  <w:tcBorders>
                    <w:top w:val="single" w:color="auto" w:sz="4" w:space="0"/>
                    <w:left w:val="single" w:color="auto" w:sz="4" w:space="0"/>
                    <w:bottom w:val="single" w:color="auto" w:sz="4" w:space="0"/>
                    <w:right w:val="single" w:color="auto" w:sz="4" w:space="0"/>
                  </w:tcBorders>
                  <w:vAlign w:val="center"/>
                </w:tcPr>
                <w:p>
                  <w:pPr>
                    <w:pStyle w:val="47"/>
                  </w:pPr>
                  <w:r>
                    <w:t>一般包装材料</w:t>
                  </w:r>
                </w:p>
              </w:tc>
              <w:tc>
                <w:tcPr>
                  <w:tcW w:w="985" w:type="pct"/>
                  <w:tcBorders>
                    <w:top w:val="single" w:color="auto" w:sz="4" w:space="0"/>
                    <w:left w:val="single" w:color="auto" w:sz="4" w:space="0"/>
                    <w:bottom w:val="single" w:color="auto" w:sz="4" w:space="0"/>
                    <w:right w:val="single" w:color="auto" w:sz="4" w:space="0"/>
                  </w:tcBorders>
                  <w:vAlign w:val="center"/>
                </w:tcPr>
                <w:p>
                  <w:pPr>
                    <w:pStyle w:val="47"/>
                  </w:pPr>
                  <w:r>
                    <w:t>原料使用</w:t>
                  </w:r>
                </w:p>
              </w:tc>
              <w:tc>
                <w:tcPr>
                  <w:tcW w:w="429" w:type="pct"/>
                  <w:tcBorders>
                    <w:top w:val="single" w:color="auto" w:sz="4" w:space="0"/>
                    <w:left w:val="single" w:color="auto" w:sz="4" w:space="0"/>
                    <w:bottom w:val="single" w:color="auto" w:sz="4" w:space="0"/>
                    <w:right w:val="single" w:color="auto" w:sz="4" w:space="0"/>
                  </w:tcBorders>
                  <w:vAlign w:val="center"/>
                </w:tcPr>
                <w:p>
                  <w:pPr>
                    <w:pStyle w:val="47"/>
                  </w:pPr>
                  <w:r>
                    <w:t>一般固废</w:t>
                  </w:r>
                </w:p>
              </w:tc>
              <w:tc>
                <w:tcPr>
                  <w:tcW w:w="413" w:type="pct"/>
                  <w:tcBorders>
                    <w:top w:val="single" w:color="auto" w:sz="4" w:space="0"/>
                    <w:left w:val="single" w:color="auto" w:sz="4" w:space="0"/>
                    <w:bottom w:val="single" w:color="auto" w:sz="4" w:space="0"/>
                    <w:right w:val="single" w:color="auto" w:sz="4" w:space="0"/>
                  </w:tcBorders>
                  <w:vAlign w:val="center"/>
                </w:tcPr>
                <w:p>
                  <w:pPr>
                    <w:pStyle w:val="47"/>
                  </w:pPr>
                  <w:r>
                    <w:t>/</w:t>
                  </w:r>
                </w:p>
              </w:tc>
              <w:tc>
                <w:tcPr>
                  <w:tcW w:w="532" w:type="pct"/>
                  <w:tcBorders>
                    <w:top w:val="single" w:color="auto" w:sz="4" w:space="0"/>
                    <w:left w:val="single" w:color="auto" w:sz="4" w:space="0"/>
                    <w:bottom w:val="single" w:color="auto" w:sz="4" w:space="0"/>
                    <w:right w:val="single" w:color="auto" w:sz="4" w:space="0"/>
                  </w:tcBorders>
                  <w:vAlign w:val="center"/>
                </w:tcPr>
                <w:p>
                  <w:pPr>
                    <w:pStyle w:val="47"/>
                  </w:pPr>
                  <w:r>
                    <w:t>4.0</w:t>
                  </w:r>
                </w:p>
              </w:tc>
              <w:tc>
                <w:tcPr>
                  <w:tcW w:w="687" w:type="pct"/>
                  <w:vMerge w:val="restart"/>
                  <w:tcBorders>
                    <w:top w:val="single" w:color="auto" w:sz="4" w:space="0"/>
                    <w:left w:val="single" w:color="auto" w:sz="4" w:space="0"/>
                    <w:right w:val="single" w:color="auto" w:sz="4" w:space="0"/>
                  </w:tcBorders>
                  <w:vAlign w:val="center"/>
                </w:tcPr>
                <w:p>
                  <w:pPr>
                    <w:pStyle w:val="47"/>
                  </w:pPr>
                  <w:r>
                    <w:t>收集后外售综合利用</w:t>
                  </w:r>
                </w:p>
              </w:tc>
              <w:tc>
                <w:tcPr>
                  <w:tcW w:w="499" w:type="pct"/>
                  <w:vMerge w:val="restart"/>
                  <w:tcBorders>
                    <w:top w:val="single" w:color="auto" w:sz="4" w:space="0"/>
                    <w:left w:val="single" w:color="auto" w:sz="4" w:space="0"/>
                    <w:right w:val="single" w:color="auto" w:sz="4" w:space="0"/>
                  </w:tcBorders>
                  <w:vAlign w:val="center"/>
                </w:tcPr>
                <w:p>
                  <w:pPr>
                    <w:pStyle w:val="47"/>
                  </w:pPr>
                  <w:r>
                    <w:t>外卖单位</w:t>
                  </w:r>
                </w:p>
              </w:tc>
              <w:tc>
                <w:tcPr>
                  <w:tcW w:w="502" w:type="pct"/>
                  <w:tcBorders>
                    <w:top w:val="single" w:color="auto" w:sz="4" w:space="0"/>
                    <w:left w:val="single" w:color="auto" w:sz="4" w:space="0"/>
                    <w:bottom w:val="single" w:color="auto" w:sz="4" w:space="0"/>
                    <w:right w:val="single" w:color="auto" w:sz="4" w:space="0"/>
                  </w:tcBorders>
                  <w:vAlign w:val="center"/>
                </w:tcPr>
                <w:p>
                  <w:pPr>
                    <w:pStyle w:val="47"/>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55" w:type="pct"/>
                  <w:tcBorders>
                    <w:top w:val="single" w:color="auto" w:sz="4" w:space="0"/>
                    <w:left w:val="single" w:color="auto" w:sz="4" w:space="0"/>
                    <w:bottom w:val="single" w:color="auto" w:sz="4" w:space="0"/>
                    <w:right w:val="single" w:color="auto" w:sz="4" w:space="0"/>
                  </w:tcBorders>
                  <w:vAlign w:val="center"/>
                </w:tcPr>
                <w:p>
                  <w:pPr>
                    <w:pStyle w:val="47"/>
                  </w:pPr>
                  <w:r>
                    <w:t>2</w:t>
                  </w:r>
                </w:p>
              </w:tc>
              <w:tc>
                <w:tcPr>
                  <w:tcW w:w="694"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金属边角料</w:t>
                  </w:r>
                </w:p>
              </w:tc>
              <w:tc>
                <w:tcPr>
                  <w:tcW w:w="985"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下料、粗车、普铣、精车、打孔、攻丝</w:t>
                  </w:r>
                </w:p>
              </w:tc>
              <w:tc>
                <w:tcPr>
                  <w:tcW w:w="429" w:type="pct"/>
                  <w:tcBorders>
                    <w:top w:val="single" w:color="auto" w:sz="4" w:space="0"/>
                    <w:left w:val="single" w:color="auto" w:sz="4" w:space="0"/>
                    <w:bottom w:val="single" w:color="auto" w:sz="4" w:space="0"/>
                    <w:right w:val="single" w:color="auto" w:sz="4" w:space="0"/>
                  </w:tcBorders>
                  <w:vAlign w:val="center"/>
                </w:tcPr>
                <w:p>
                  <w:pPr>
                    <w:pStyle w:val="47"/>
                  </w:pPr>
                  <w:r>
                    <w:t>一般固废</w:t>
                  </w:r>
                </w:p>
              </w:tc>
              <w:tc>
                <w:tcPr>
                  <w:tcW w:w="41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w:t>
                  </w:r>
                </w:p>
              </w:tc>
              <w:tc>
                <w:tcPr>
                  <w:tcW w:w="532" w:type="pct"/>
                  <w:tcBorders>
                    <w:top w:val="single" w:color="auto" w:sz="4" w:space="0"/>
                    <w:left w:val="single" w:color="auto" w:sz="4" w:space="0"/>
                    <w:bottom w:val="single" w:color="auto" w:sz="4" w:space="0"/>
                    <w:right w:val="single" w:color="auto" w:sz="4" w:space="0"/>
                  </w:tcBorders>
                  <w:vAlign w:val="center"/>
                </w:tcPr>
                <w:p>
                  <w:pPr>
                    <w:pStyle w:val="47"/>
                  </w:pPr>
                  <w:r>
                    <w:t>5.0</w:t>
                  </w:r>
                </w:p>
              </w:tc>
              <w:tc>
                <w:tcPr>
                  <w:tcW w:w="687" w:type="pct"/>
                  <w:vMerge w:val="continue"/>
                  <w:tcBorders>
                    <w:left w:val="single" w:color="auto" w:sz="4" w:space="0"/>
                    <w:right w:val="single" w:color="auto" w:sz="4" w:space="0"/>
                  </w:tcBorders>
                  <w:vAlign w:val="center"/>
                </w:tcPr>
                <w:p>
                  <w:pPr>
                    <w:pStyle w:val="47"/>
                  </w:pPr>
                </w:p>
              </w:tc>
              <w:tc>
                <w:tcPr>
                  <w:tcW w:w="499" w:type="pct"/>
                  <w:vMerge w:val="continue"/>
                  <w:tcBorders>
                    <w:left w:val="single" w:color="auto" w:sz="4" w:space="0"/>
                    <w:right w:val="single" w:color="auto" w:sz="4" w:space="0"/>
                  </w:tcBorders>
                  <w:vAlign w:val="center"/>
                </w:tcPr>
                <w:p>
                  <w:pPr>
                    <w:pStyle w:val="47"/>
                  </w:pPr>
                </w:p>
              </w:tc>
              <w:tc>
                <w:tcPr>
                  <w:tcW w:w="502" w:type="pct"/>
                  <w:tcBorders>
                    <w:top w:val="single" w:color="auto" w:sz="4" w:space="0"/>
                    <w:left w:val="single" w:color="auto" w:sz="4" w:space="0"/>
                    <w:bottom w:val="single" w:color="auto" w:sz="4" w:space="0"/>
                    <w:right w:val="single" w:color="auto" w:sz="4" w:space="0"/>
                  </w:tcBorders>
                  <w:vAlign w:val="center"/>
                </w:tcPr>
                <w:p>
                  <w:pPr>
                    <w:pStyle w:val="47"/>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55"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3</w:t>
                  </w:r>
                </w:p>
              </w:tc>
              <w:tc>
                <w:tcPr>
                  <w:tcW w:w="694" w:type="pct"/>
                  <w:tcBorders>
                    <w:top w:val="single" w:color="auto" w:sz="4" w:space="0"/>
                    <w:left w:val="single" w:color="auto" w:sz="4" w:space="0"/>
                    <w:bottom w:val="single" w:color="auto" w:sz="4" w:space="0"/>
                    <w:right w:val="single" w:color="auto" w:sz="4" w:space="0"/>
                  </w:tcBorders>
                  <w:vAlign w:val="center"/>
                </w:tcPr>
                <w:p>
                  <w:pPr>
                    <w:pStyle w:val="47"/>
                  </w:pPr>
                  <w:r>
                    <w:t>次品</w:t>
                  </w:r>
                </w:p>
              </w:tc>
              <w:tc>
                <w:tcPr>
                  <w:tcW w:w="985" w:type="pct"/>
                  <w:tcBorders>
                    <w:top w:val="single" w:color="auto" w:sz="4" w:space="0"/>
                    <w:left w:val="single" w:color="auto" w:sz="4" w:space="0"/>
                    <w:bottom w:val="single" w:color="auto" w:sz="4" w:space="0"/>
                    <w:right w:val="single" w:color="auto" w:sz="4" w:space="0"/>
                  </w:tcBorders>
                  <w:vAlign w:val="center"/>
                </w:tcPr>
                <w:p>
                  <w:pPr>
                    <w:pStyle w:val="47"/>
                  </w:pPr>
                  <w:r>
                    <w:t>检测</w:t>
                  </w:r>
                </w:p>
              </w:tc>
              <w:tc>
                <w:tcPr>
                  <w:tcW w:w="429" w:type="pct"/>
                  <w:tcBorders>
                    <w:top w:val="single" w:color="auto" w:sz="4" w:space="0"/>
                    <w:left w:val="single" w:color="auto" w:sz="4" w:space="0"/>
                    <w:bottom w:val="single" w:color="auto" w:sz="4" w:space="0"/>
                    <w:right w:val="single" w:color="auto" w:sz="4" w:space="0"/>
                  </w:tcBorders>
                  <w:vAlign w:val="center"/>
                </w:tcPr>
                <w:p>
                  <w:pPr>
                    <w:pStyle w:val="47"/>
                  </w:pPr>
                  <w:r>
                    <w:t>一般固废</w:t>
                  </w:r>
                </w:p>
              </w:tc>
              <w:tc>
                <w:tcPr>
                  <w:tcW w:w="413" w:type="pct"/>
                  <w:tcBorders>
                    <w:top w:val="single" w:color="auto" w:sz="4" w:space="0"/>
                    <w:left w:val="single" w:color="auto" w:sz="4" w:space="0"/>
                    <w:bottom w:val="single" w:color="auto" w:sz="4" w:space="0"/>
                    <w:right w:val="single" w:color="auto" w:sz="4" w:space="0"/>
                  </w:tcBorders>
                  <w:vAlign w:val="center"/>
                </w:tcPr>
                <w:p>
                  <w:pPr>
                    <w:pStyle w:val="47"/>
                  </w:pPr>
                  <w:r>
                    <w:t>/</w:t>
                  </w:r>
                </w:p>
              </w:tc>
              <w:tc>
                <w:tcPr>
                  <w:tcW w:w="532" w:type="pct"/>
                  <w:tcBorders>
                    <w:top w:val="single" w:color="auto" w:sz="4" w:space="0"/>
                    <w:left w:val="single" w:color="auto" w:sz="4" w:space="0"/>
                    <w:bottom w:val="single" w:color="auto" w:sz="4" w:space="0"/>
                    <w:right w:val="single" w:color="auto" w:sz="4" w:space="0"/>
                  </w:tcBorders>
                  <w:vAlign w:val="center"/>
                </w:tcPr>
                <w:p>
                  <w:pPr>
                    <w:pStyle w:val="47"/>
                  </w:pPr>
                  <w:r>
                    <w:t>1.0</w:t>
                  </w:r>
                </w:p>
              </w:tc>
              <w:tc>
                <w:tcPr>
                  <w:tcW w:w="687" w:type="pct"/>
                  <w:vMerge w:val="continue"/>
                  <w:tcBorders>
                    <w:left w:val="single" w:color="auto" w:sz="4" w:space="0"/>
                    <w:right w:val="single" w:color="auto" w:sz="4" w:space="0"/>
                  </w:tcBorders>
                  <w:vAlign w:val="center"/>
                </w:tcPr>
                <w:p>
                  <w:pPr>
                    <w:pStyle w:val="47"/>
                  </w:pPr>
                </w:p>
              </w:tc>
              <w:tc>
                <w:tcPr>
                  <w:tcW w:w="499" w:type="pct"/>
                  <w:vMerge w:val="continue"/>
                  <w:tcBorders>
                    <w:left w:val="single" w:color="auto" w:sz="4" w:space="0"/>
                    <w:right w:val="single" w:color="auto" w:sz="4" w:space="0"/>
                  </w:tcBorders>
                  <w:vAlign w:val="center"/>
                </w:tcPr>
                <w:p>
                  <w:pPr>
                    <w:pStyle w:val="47"/>
                  </w:pPr>
                </w:p>
              </w:tc>
              <w:tc>
                <w:tcPr>
                  <w:tcW w:w="502" w:type="pct"/>
                  <w:tcBorders>
                    <w:top w:val="single" w:color="auto" w:sz="4" w:space="0"/>
                    <w:left w:val="single" w:color="auto" w:sz="4" w:space="0"/>
                    <w:bottom w:val="single" w:color="auto" w:sz="4" w:space="0"/>
                    <w:right w:val="single" w:color="auto" w:sz="4" w:space="0"/>
                  </w:tcBorders>
                  <w:vAlign w:val="center"/>
                </w:tcPr>
                <w:p>
                  <w:pPr>
                    <w:pStyle w:val="47"/>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4</w:t>
                  </w:r>
                </w:p>
              </w:tc>
              <w:tc>
                <w:tcPr>
                  <w:tcW w:w="694"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金属沉渣</w:t>
                  </w:r>
                </w:p>
              </w:tc>
              <w:tc>
                <w:tcPr>
                  <w:tcW w:w="985"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废水处理</w:t>
                  </w:r>
                </w:p>
              </w:tc>
              <w:tc>
                <w:tcPr>
                  <w:tcW w:w="429" w:type="pct"/>
                  <w:tcBorders>
                    <w:top w:val="single" w:color="auto" w:sz="4" w:space="0"/>
                    <w:left w:val="single" w:color="auto" w:sz="4" w:space="0"/>
                    <w:bottom w:val="single" w:color="auto" w:sz="4" w:space="0"/>
                    <w:right w:val="single" w:color="auto" w:sz="4" w:space="0"/>
                  </w:tcBorders>
                  <w:vAlign w:val="center"/>
                </w:tcPr>
                <w:p>
                  <w:pPr>
                    <w:pStyle w:val="47"/>
                  </w:pPr>
                  <w:r>
                    <w:t>一般固废</w:t>
                  </w:r>
                </w:p>
              </w:tc>
              <w:tc>
                <w:tcPr>
                  <w:tcW w:w="41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w:t>
                  </w:r>
                </w:p>
              </w:tc>
              <w:tc>
                <w:tcPr>
                  <w:tcW w:w="532"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0.1</w:t>
                  </w:r>
                </w:p>
              </w:tc>
              <w:tc>
                <w:tcPr>
                  <w:tcW w:w="687" w:type="pct"/>
                  <w:vMerge w:val="continue"/>
                  <w:tcBorders>
                    <w:left w:val="single" w:color="auto" w:sz="4" w:space="0"/>
                    <w:right w:val="single" w:color="auto" w:sz="4" w:space="0"/>
                  </w:tcBorders>
                  <w:vAlign w:val="center"/>
                </w:tcPr>
                <w:p>
                  <w:pPr>
                    <w:pStyle w:val="47"/>
                  </w:pPr>
                </w:p>
              </w:tc>
              <w:tc>
                <w:tcPr>
                  <w:tcW w:w="499" w:type="pct"/>
                  <w:vMerge w:val="continue"/>
                  <w:tcBorders>
                    <w:left w:val="single" w:color="auto" w:sz="4" w:space="0"/>
                    <w:right w:val="single" w:color="auto" w:sz="4" w:space="0"/>
                  </w:tcBorders>
                  <w:vAlign w:val="center"/>
                </w:tcPr>
                <w:p>
                  <w:pPr>
                    <w:pStyle w:val="47"/>
                  </w:pPr>
                </w:p>
              </w:tc>
              <w:tc>
                <w:tcPr>
                  <w:tcW w:w="502" w:type="pct"/>
                  <w:tcBorders>
                    <w:top w:val="single" w:color="auto" w:sz="4" w:space="0"/>
                    <w:left w:val="single" w:color="auto" w:sz="4" w:space="0"/>
                    <w:bottom w:val="single" w:color="auto" w:sz="4" w:space="0"/>
                    <w:right w:val="single" w:color="auto" w:sz="4" w:space="0"/>
                  </w:tcBorders>
                  <w:vAlign w:val="center"/>
                </w:tcPr>
                <w:p>
                  <w:pPr>
                    <w:pStyle w:val="47"/>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5</w:t>
                  </w:r>
                </w:p>
              </w:tc>
              <w:tc>
                <w:tcPr>
                  <w:tcW w:w="694"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废滤芯</w:t>
                  </w:r>
                </w:p>
              </w:tc>
              <w:tc>
                <w:tcPr>
                  <w:tcW w:w="985"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废气处理</w:t>
                  </w:r>
                </w:p>
              </w:tc>
              <w:tc>
                <w:tcPr>
                  <w:tcW w:w="429" w:type="pct"/>
                  <w:tcBorders>
                    <w:top w:val="single" w:color="auto" w:sz="4" w:space="0"/>
                    <w:left w:val="single" w:color="auto" w:sz="4" w:space="0"/>
                    <w:bottom w:val="single" w:color="auto" w:sz="4" w:space="0"/>
                    <w:right w:val="single" w:color="auto" w:sz="4" w:space="0"/>
                  </w:tcBorders>
                  <w:vAlign w:val="center"/>
                </w:tcPr>
                <w:p>
                  <w:pPr>
                    <w:pStyle w:val="47"/>
                  </w:pPr>
                  <w:r>
                    <w:t>一般固废</w:t>
                  </w:r>
                </w:p>
              </w:tc>
              <w:tc>
                <w:tcPr>
                  <w:tcW w:w="41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w:t>
                  </w:r>
                </w:p>
              </w:tc>
              <w:tc>
                <w:tcPr>
                  <w:tcW w:w="532"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0.01</w:t>
                  </w:r>
                </w:p>
              </w:tc>
              <w:tc>
                <w:tcPr>
                  <w:tcW w:w="687" w:type="pct"/>
                  <w:vMerge w:val="continue"/>
                  <w:tcBorders>
                    <w:left w:val="single" w:color="auto" w:sz="4" w:space="0"/>
                    <w:right w:val="single" w:color="auto" w:sz="4" w:space="0"/>
                  </w:tcBorders>
                  <w:vAlign w:val="center"/>
                </w:tcPr>
                <w:p>
                  <w:pPr>
                    <w:pStyle w:val="47"/>
                  </w:pPr>
                </w:p>
              </w:tc>
              <w:tc>
                <w:tcPr>
                  <w:tcW w:w="499" w:type="pct"/>
                  <w:vMerge w:val="continue"/>
                  <w:tcBorders>
                    <w:left w:val="single" w:color="auto" w:sz="4" w:space="0"/>
                    <w:right w:val="single" w:color="auto" w:sz="4" w:space="0"/>
                  </w:tcBorders>
                  <w:vAlign w:val="center"/>
                </w:tcPr>
                <w:p>
                  <w:pPr>
                    <w:pStyle w:val="47"/>
                  </w:pPr>
                </w:p>
              </w:tc>
              <w:tc>
                <w:tcPr>
                  <w:tcW w:w="502" w:type="pct"/>
                  <w:tcBorders>
                    <w:top w:val="single" w:color="auto" w:sz="4" w:space="0"/>
                    <w:left w:val="single" w:color="auto" w:sz="4" w:space="0"/>
                    <w:bottom w:val="single" w:color="auto" w:sz="4" w:space="0"/>
                    <w:right w:val="single" w:color="auto" w:sz="4" w:space="0"/>
                  </w:tcBorders>
                  <w:vAlign w:val="center"/>
                </w:tcPr>
                <w:p>
                  <w:pPr>
                    <w:pStyle w:val="47"/>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6</w:t>
                  </w:r>
                </w:p>
              </w:tc>
              <w:tc>
                <w:tcPr>
                  <w:tcW w:w="694" w:type="pct"/>
                  <w:tcBorders>
                    <w:top w:val="single" w:color="auto" w:sz="4" w:space="0"/>
                    <w:left w:val="single" w:color="auto" w:sz="4" w:space="0"/>
                    <w:bottom w:val="single" w:color="auto" w:sz="4" w:space="0"/>
                    <w:right w:val="single" w:color="auto" w:sz="4" w:space="0"/>
                  </w:tcBorders>
                  <w:vAlign w:val="center"/>
                </w:tcPr>
                <w:p>
                  <w:pPr>
                    <w:pStyle w:val="47"/>
                  </w:pPr>
                  <w:r>
                    <w:t>废乳化液</w:t>
                  </w:r>
                </w:p>
              </w:tc>
              <w:tc>
                <w:tcPr>
                  <w:tcW w:w="985" w:type="pct"/>
                  <w:tcBorders>
                    <w:top w:val="single" w:color="auto" w:sz="4" w:space="0"/>
                    <w:left w:val="single" w:color="auto" w:sz="4" w:space="0"/>
                    <w:bottom w:val="single" w:color="auto" w:sz="4" w:space="0"/>
                    <w:right w:val="single" w:color="auto" w:sz="4" w:space="0"/>
                  </w:tcBorders>
                  <w:vAlign w:val="center"/>
                </w:tcPr>
                <w:p>
                  <w:pPr>
                    <w:pStyle w:val="47"/>
                  </w:pPr>
                  <w:r>
                    <w:t>粗车、普铣、精车</w:t>
                  </w:r>
                </w:p>
              </w:tc>
              <w:tc>
                <w:tcPr>
                  <w:tcW w:w="429" w:type="pct"/>
                  <w:tcBorders>
                    <w:top w:val="single" w:color="auto" w:sz="4" w:space="0"/>
                    <w:left w:val="single" w:color="auto" w:sz="4" w:space="0"/>
                    <w:bottom w:val="single" w:color="auto" w:sz="4" w:space="0"/>
                    <w:right w:val="single" w:color="auto" w:sz="4" w:space="0"/>
                  </w:tcBorders>
                  <w:vAlign w:val="center"/>
                </w:tcPr>
                <w:p>
                  <w:pPr>
                    <w:pStyle w:val="47"/>
                  </w:pPr>
                  <w:r>
                    <w:t>危险废物</w:t>
                  </w:r>
                </w:p>
              </w:tc>
              <w:tc>
                <w:tcPr>
                  <w:tcW w:w="41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900-006-09</w:t>
                  </w:r>
                </w:p>
              </w:tc>
              <w:tc>
                <w:tcPr>
                  <w:tcW w:w="532" w:type="pct"/>
                  <w:tcBorders>
                    <w:top w:val="single" w:color="auto" w:sz="4" w:space="0"/>
                    <w:left w:val="single" w:color="auto" w:sz="4" w:space="0"/>
                    <w:bottom w:val="single" w:color="auto" w:sz="4" w:space="0"/>
                    <w:right w:val="single" w:color="auto" w:sz="4" w:space="0"/>
                  </w:tcBorders>
                  <w:vAlign w:val="center"/>
                </w:tcPr>
                <w:p>
                  <w:pPr>
                    <w:pStyle w:val="47"/>
                  </w:pPr>
                  <w:r>
                    <w:t>1.0</w:t>
                  </w:r>
                </w:p>
              </w:tc>
              <w:tc>
                <w:tcPr>
                  <w:tcW w:w="687" w:type="pct"/>
                  <w:vMerge w:val="restart"/>
                  <w:tcBorders>
                    <w:left w:val="single" w:color="auto" w:sz="4" w:space="0"/>
                    <w:right w:val="single" w:color="auto" w:sz="4" w:space="0"/>
                  </w:tcBorders>
                  <w:vAlign w:val="center"/>
                </w:tcPr>
                <w:p>
                  <w:pPr>
                    <w:pStyle w:val="47"/>
                  </w:pPr>
                  <w:r>
                    <w:rPr>
                      <w:rFonts w:hint="eastAsia"/>
                    </w:rPr>
                    <w:t>收集后在厂区内危废仓库暂存，定期委托有相关危废处理资质的单位进行集中处置</w:t>
                  </w:r>
                </w:p>
              </w:tc>
              <w:tc>
                <w:tcPr>
                  <w:tcW w:w="499" w:type="pct"/>
                  <w:vMerge w:val="restart"/>
                  <w:tcBorders>
                    <w:left w:val="single" w:color="auto" w:sz="4" w:space="0"/>
                    <w:right w:val="single" w:color="auto" w:sz="4" w:space="0"/>
                  </w:tcBorders>
                  <w:vAlign w:val="center"/>
                </w:tcPr>
                <w:p>
                  <w:pPr>
                    <w:pStyle w:val="47"/>
                  </w:pPr>
                  <w:r>
                    <w:rPr>
                      <w:rFonts w:hint="eastAsia"/>
                    </w:rPr>
                    <w:t>危废处置单位</w:t>
                  </w:r>
                </w:p>
              </w:tc>
              <w:tc>
                <w:tcPr>
                  <w:tcW w:w="502" w:type="pct"/>
                  <w:tcBorders>
                    <w:top w:val="single" w:color="auto" w:sz="4" w:space="0"/>
                    <w:left w:val="single" w:color="auto" w:sz="4" w:space="0"/>
                    <w:bottom w:val="single" w:color="auto" w:sz="4" w:space="0"/>
                    <w:right w:val="single" w:color="auto" w:sz="4" w:space="0"/>
                  </w:tcBorders>
                  <w:vAlign w:val="center"/>
                </w:tcPr>
                <w:p>
                  <w:pPr>
                    <w:pStyle w:val="47"/>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7</w:t>
                  </w:r>
                </w:p>
              </w:tc>
              <w:tc>
                <w:tcPr>
                  <w:tcW w:w="694"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废漆料</w:t>
                  </w:r>
                </w:p>
              </w:tc>
              <w:tc>
                <w:tcPr>
                  <w:tcW w:w="985"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真空浸漆</w:t>
                  </w:r>
                </w:p>
              </w:tc>
              <w:tc>
                <w:tcPr>
                  <w:tcW w:w="429"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危险废物</w:t>
                  </w:r>
                </w:p>
              </w:tc>
              <w:tc>
                <w:tcPr>
                  <w:tcW w:w="41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900-252-12</w:t>
                  </w:r>
                </w:p>
              </w:tc>
              <w:tc>
                <w:tcPr>
                  <w:tcW w:w="532"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0.2</w:t>
                  </w:r>
                </w:p>
              </w:tc>
              <w:tc>
                <w:tcPr>
                  <w:tcW w:w="687" w:type="pct"/>
                  <w:vMerge w:val="continue"/>
                  <w:tcBorders>
                    <w:left w:val="single" w:color="auto" w:sz="4" w:space="0"/>
                    <w:right w:val="single" w:color="auto" w:sz="4" w:space="0"/>
                  </w:tcBorders>
                  <w:vAlign w:val="center"/>
                </w:tcPr>
                <w:p>
                  <w:pPr>
                    <w:pStyle w:val="47"/>
                  </w:pPr>
                </w:p>
              </w:tc>
              <w:tc>
                <w:tcPr>
                  <w:tcW w:w="499" w:type="pct"/>
                  <w:vMerge w:val="continue"/>
                  <w:tcBorders>
                    <w:left w:val="single" w:color="auto" w:sz="4" w:space="0"/>
                    <w:right w:val="single" w:color="auto" w:sz="4" w:space="0"/>
                  </w:tcBorders>
                  <w:vAlign w:val="center"/>
                </w:tcPr>
                <w:p>
                  <w:pPr>
                    <w:pStyle w:val="47"/>
                  </w:pPr>
                </w:p>
              </w:tc>
              <w:tc>
                <w:tcPr>
                  <w:tcW w:w="502" w:type="pct"/>
                  <w:tcBorders>
                    <w:top w:val="single" w:color="auto" w:sz="4" w:space="0"/>
                    <w:left w:val="single" w:color="auto" w:sz="4" w:space="0"/>
                    <w:bottom w:val="single" w:color="auto" w:sz="4" w:space="0"/>
                    <w:right w:val="single" w:color="auto" w:sz="4" w:space="0"/>
                  </w:tcBorders>
                  <w:vAlign w:val="center"/>
                </w:tcPr>
                <w:p>
                  <w:pPr>
                    <w:pStyle w:val="47"/>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8</w:t>
                  </w:r>
                </w:p>
              </w:tc>
              <w:tc>
                <w:tcPr>
                  <w:tcW w:w="694" w:type="pct"/>
                  <w:tcBorders>
                    <w:top w:val="single" w:color="auto" w:sz="4" w:space="0"/>
                    <w:left w:val="single" w:color="auto" w:sz="4" w:space="0"/>
                    <w:bottom w:val="single" w:color="auto" w:sz="4" w:space="0"/>
                    <w:right w:val="single" w:color="auto" w:sz="4" w:space="0"/>
                  </w:tcBorders>
                  <w:vAlign w:val="center"/>
                </w:tcPr>
                <w:p>
                  <w:pPr>
                    <w:pStyle w:val="47"/>
                  </w:pPr>
                  <w:r>
                    <w:t>废包装桶</w:t>
                  </w:r>
                </w:p>
              </w:tc>
              <w:tc>
                <w:tcPr>
                  <w:tcW w:w="985" w:type="pct"/>
                  <w:tcBorders>
                    <w:top w:val="single" w:color="auto" w:sz="4" w:space="0"/>
                    <w:left w:val="single" w:color="auto" w:sz="4" w:space="0"/>
                    <w:bottom w:val="single" w:color="auto" w:sz="4" w:space="0"/>
                    <w:right w:val="single" w:color="auto" w:sz="4" w:space="0"/>
                  </w:tcBorders>
                  <w:vAlign w:val="center"/>
                </w:tcPr>
                <w:p>
                  <w:pPr>
                    <w:pStyle w:val="47"/>
                  </w:pPr>
                  <w:r>
                    <w:t>乳化液</w:t>
                  </w:r>
                  <w:r>
                    <w:rPr>
                      <w:rFonts w:hint="eastAsia"/>
                    </w:rPr>
                    <w:t>、绝缘漆</w:t>
                  </w:r>
                  <w:r>
                    <w:t>使用</w:t>
                  </w:r>
                </w:p>
              </w:tc>
              <w:tc>
                <w:tcPr>
                  <w:tcW w:w="429" w:type="pct"/>
                  <w:tcBorders>
                    <w:top w:val="single" w:color="auto" w:sz="4" w:space="0"/>
                    <w:left w:val="single" w:color="auto" w:sz="4" w:space="0"/>
                    <w:bottom w:val="single" w:color="auto" w:sz="4" w:space="0"/>
                    <w:right w:val="single" w:color="auto" w:sz="4" w:space="0"/>
                  </w:tcBorders>
                  <w:vAlign w:val="center"/>
                </w:tcPr>
                <w:p>
                  <w:pPr>
                    <w:pStyle w:val="47"/>
                  </w:pPr>
                  <w:r>
                    <w:t>危险废物</w:t>
                  </w:r>
                </w:p>
              </w:tc>
              <w:tc>
                <w:tcPr>
                  <w:tcW w:w="41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900-041-49</w:t>
                  </w:r>
                </w:p>
              </w:tc>
              <w:tc>
                <w:tcPr>
                  <w:tcW w:w="532" w:type="pct"/>
                  <w:tcBorders>
                    <w:top w:val="single" w:color="auto" w:sz="4" w:space="0"/>
                    <w:left w:val="single" w:color="auto" w:sz="4" w:space="0"/>
                    <w:bottom w:val="single" w:color="auto" w:sz="4" w:space="0"/>
                    <w:right w:val="single" w:color="auto" w:sz="4" w:space="0"/>
                  </w:tcBorders>
                  <w:vAlign w:val="center"/>
                </w:tcPr>
                <w:p>
                  <w:pPr>
                    <w:pStyle w:val="47"/>
                  </w:pPr>
                  <w:r>
                    <w:t>0.</w:t>
                  </w:r>
                  <w:r>
                    <w:rPr>
                      <w:rFonts w:hint="eastAsia"/>
                    </w:rPr>
                    <w:t>3</w:t>
                  </w:r>
                </w:p>
              </w:tc>
              <w:tc>
                <w:tcPr>
                  <w:tcW w:w="687" w:type="pct"/>
                  <w:vMerge w:val="continue"/>
                  <w:tcBorders>
                    <w:left w:val="single" w:color="auto" w:sz="4" w:space="0"/>
                    <w:right w:val="single" w:color="auto" w:sz="4" w:space="0"/>
                  </w:tcBorders>
                  <w:vAlign w:val="center"/>
                </w:tcPr>
                <w:p>
                  <w:pPr>
                    <w:pStyle w:val="47"/>
                  </w:pPr>
                </w:p>
              </w:tc>
              <w:tc>
                <w:tcPr>
                  <w:tcW w:w="499" w:type="pct"/>
                  <w:vMerge w:val="continue"/>
                  <w:tcBorders>
                    <w:left w:val="single" w:color="auto" w:sz="4" w:space="0"/>
                    <w:right w:val="single" w:color="auto" w:sz="4" w:space="0"/>
                  </w:tcBorders>
                  <w:vAlign w:val="center"/>
                </w:tcPr>
                <w:p>
                  <w:pPr>
                    <w:pStyle w:val="47"/>
                  </w:pPr>
                </w:p>
              </w:tc>
              <w:tc>
                <w:tcPr>
                  <w:tcW w:w="502" w:type="pct"/>
                  <w:tcBorders>
                    <w:top w:val="single" w:color="auto" w:sz="4" w:space="0"/>
                    <w:left w:val="single" w:color="auto" w:sz="4" w:space="0"/>
                    <w:bottom w:val="single" w:color="auto" w:sz="4" w:space="0"/>
                    <w:right w:val="single" w:color="auto" w:sz="4" w:space="0"/>
                  </w:tcBorders>
                  <w:vAlign w:val="center"/>
                </w:tcPr>
                <w:p>
                  <w:pPr>
                    <w:pStyle w:val="47"/>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 w:type="pct"/>
                  <w:tcBorders>
                    <w:top w:val="single" w:color="auto" w:sz="4" w:space="0"/>
                    <w:left w:val="single" w:color="auto" w:sz="4" w:space="0"/>
                    <w:bottom w:val="single" w:color="auto" w:sz="4" w:space="0"/>
                    <w:right w:val="single" w:color="auto" w:sz="4" w:space="0"/>
                  </w:tcBorders>
                  <w:vAlign w:val="center"/>
                </w:tcPr>
                <w:p>
                  <w:pPr>
                    <w:pStyle w:val="47"/>
                  </w:pPr>
                  <w:r>
                    <w:t>9</w:t>
                  </w:r>
                </w:p>
              </w:tc>
              <w:tc>
                <w:tcPr>
                  <w:tcW w:w="694"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废机油</w:t>
                  </w:r>
                </w:p>
              </w:tc>
              <w:tc>
                <w:tcPr>
                  <w:tcW w:w="985"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设备保养</w:t>
                  </w:r>
                </w:p>
              </w:tc>
              <w:tc>
                <w:tcPr>
                  <w:tcW w:w="429" w:type="pct"/>
                  <w:tcBorders>
                    <w:top w:val="single" w:color="auto" w:sz="4" w:space="0"/>
                    <w:left w:val="single" w:color="auto" w:sz="4" w:space="0"/>
                    <w:bottom w:val="single" w:color="auto" w:sz="4" w:space="0"/>
                    <w:right w:val="single" w:color="auto" w:sz="4" w:space="0"/>
                  </w:tcBorders>
                  <w:vAlign w:val="center"/>
                </w:tcPr>
                <w:p>
                  <w:pPr>
                    <w:pStyle w:val="47"/>
                  </w:pPr>
                  <w:r>
                    <w:rPr>
                      <w:szCs w:val="22"/>
                    </w:rPr>
                    <w:t>危险废物</w:t>
                  </w:r>
                </w:p>
              </w:tc>
              <w:tc>
                <w:tcPr>
                  <w:tcW w:w="41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900-214-08</w:t>
                  </w:r>
                </w:p>
              </w:tc>
              <w:tc>
                <w:tcPr>
                  <w:tcW w:w="532"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0.02</w:t>
                  </w:r>
                </w:p>
              </w:tc>
              <w:tc>
                <w:tcPr>
                  <w:tcW w:w="687" w:type="pct"/>
                  <w:vMerge w:val="continue"/>
                  <w:tcBorders>
                    <w:left w:val="single" w:color="auto" w:sz="4" w:space="0"/>
                    <w:right w:val="single" w:color="auto" w:sz="4" w:space="0"/>
                  </w:tcBorders>
                  <w:vAlign w:val="center"/>
                </w:tcPr>
                <w:p>
                  <w:pPr>
                    <w:pStyle w:val="47"/>
                  </w:pPr>
                </w:p>
              </w:tc>
              <w:tc>
                <w:tcPr>
                  <w:tcW w:w="499" w:type="pct"/>
                  <w:vMerge w:val="continue"/>
                  <w:tcBorders>
                    <w:left w:val="single" w:color="auto" w:sz="4" w:space="0"/>
                    <w:right w:val="single" w:color="auto" w:sz="4" w:space="0"/>
                  </w:tcBorders>
                  <w:vAlign w:val="center"/>
                </w:tcPr>
                <w:p>
                  <w:pPr>
                    <w:pStyle w:val="47"/>
                  </w:pPr>
                </w:p>
              </w:tc>
              <w:tc>
                <w:tcPr>
                  <w:tcW w:w="502" w:type="pct"/>
                  <w:tcBorders>
                    <w:top w:val="single" w:color="auto" w:sz="4" w:space="0"/>
                    <w:left w:val="single" w:color="auto" w:sz="4" w:space="0"/>
                    <w:bottom w:val="single" w:color="auto" w:sz="4" w:space="0"/>
                    <w:right w:val="single" w:color="auto" w:sz="4" w:space="0"/>
                  </w:tcBorders>
                  <w:vAlign w:val="center"/>
                </w:tcPr>
                <w:p>
                  <w:pPr>
                    <w:pStyle w:val="47"/>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10</w:t>
                  </w:r>
                </w:p>
              </w:tc>
              <w:tc>
                <w:tcPr>
                  <w:tcW w:w="694"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废油桶</w:t>
                  </w:r>
                </w:p>
              </w:tc>
              <w:tc>
                <w:tcPr>
                  <w:tcW w:w="985" w:type="pct"/>
                  <w:tcBorders>
                    <w:top w:val="single" w:color="auto" w:sz="4" w:space="0"/>
                    <w:left w:val="single" w:color="auto" w:sz="4" w:space="0"/>
                    <w:bottom w:val="single" w:color="auto" w:sz="4" w:space="0"/>
                    <w:right w:val="single" w:color="auto" w:sz="4" w:space="0"/>
                  </w:tcBorders>
                  <w:vAlign w:val="center"/>
                </w:tcPr>
                <w:p>
                  <w:pPr>
                    <w:pStyle w:val="47"/>
                  </w:pPr>
                  <w:r>
                    <w:t>机油</w:t>
                  </w:r>
                  <w:r>
                    <w:rPr>
                      <w:rFonts w:hint="eastAsia"/>
                    </w:rPr>
                    <w:t>、液压油</w:t>
                  </w:r>
                  <w:r>
                    <w:t>使用</w:t>
                  </w:r>
                </w:p>
              </w:tc>
              <w:tc>
                <w:tcPr>
                  <w:tcW w:w="429" w:type="pct"/>
                  <w:tcBorders>
                    <w:top w:val="single" w:color="auto" w:sz="4" w:space="0"/>
                    <w:left w:val="single" w:color="auto" w:sz="4" w:space="0"/>
                    <w:bottom w:val="single" w:color="auto" w:sz="4" w:space="0"/>
                    <w:right w:val="single" w:color="auto" w:sz="4" w:space="0"/>
                  </w:tcBorders>
                  <w:vAlign w:val="center"/>
                </w:tcPr>
                <w:p>
                  <w:pPr>
                    <w:pStyle w:val="47"/>
                  </w:pPr>
                  <w:r>
                    <w:rPr>
                      <w:szCs w:val="22"/>
                    </w:rPr>
                    <w:t>危险废物</w:t>
                  </w:r>
                </w:p>
              </w:tc>
              <w:tc>
                <w:tcPr>
                  <w:tcW w:w="41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900-249-08</w:t>
                  </w:r>
                </w:p>
              </w:tc>
              <w:tc>
                <w:tcPr>
                  <w:tcW w:w="532" w:type="pct"/>
                  <w:tcBorders>
                    <w:top w:val="single" w:color="auto" w:sz="4" w:space="0"/>
                    <w:left w:val="single" w:color="auto" w:sz="4" w:space="0"/>
                    <w:bottom w:val="single" w:color="auto" w:sz="4" w:space="0"/>
                    <w:right w:val="single" w:color="auto" w:sz="4" w:space="0"/>
                  </w:tcBorders>
                  <w:vAlign w:val="center"/>
                </w:tcPr>
                <w:p>
                  <w:pPr>
                    <w:pStyle w:val="47"/>
                  </w:pPr>
                  <w:r>
                    <w:t>0.</w:t>
                  </w:r>
                  <w:r>
                    <w:rPr>
                      <w:rFonts w:hint="eastAsia"/>
                    </w:rPr>
                    <w:t>004</w:t>
                  </w:r>
                </w:p>
              </w:tc>
              <w:tc>
                <w:tcPr>
                  <w:tcW w:w="687" w:type="pct"/>
                  <w:vMerge w:val="continue"/>
                  <w:tcBorders>
                    <w:left w:val="single" w:color="auto" w:sz="4" w:space="0"/>
                    <w:right w:val="single" w:color="auto" w:sz="4" w:space="0"/>
                  </w:tcBorders>
                  <w:vAlign w:val="center"/>
                </w:tcPr>
                <w:p>
                  <w:pPr>
                    <w:pStyle w:val="47"/>
                  </w:pPr>
                </w:p>
              </w:tc>
              <w:tc>
                <w:tcPr>
                  <w:tcW w:w="499" w:type="pct"/>
                  <w:vMerge w:val="continue"/>
                  <w:tcBorders>
                    <w:left w:val="single" w:color="auto" w:sz="4" w:space="0"/>
                    <w:right w:val="single" w:color="auto" w:sz="4" w:space="0"/>
                  </w:tcBorders>
                  <w:vAlign w:val="center"/>
                </w:tcPr>
                <w:p>
                  <w:pPr>
                    <w:pStyle w:val="47"/>
                  </w:pPr>
                </w:p>
              </w:tc>
              <w:tc>
                <w:tcPr>
                  <w:tcW w:w="502" w:type="pct"/>
                  <w:tcBorders>
                    <w:top w:val="single" w:color="auto" w:sz="4" w:space="0"/>
                    <w:left w:val="single" w:color="auto" w:sz="4" w:space="0"/>
                    <w:bottom w:val="single" w:color="auto" w:sz="4" w:space="0"/>
                    <w:right w:val="single" w:color="auto" w:sz="4" w:space="0"/>
                  </w:tcBorders>
                  <w:vAlign w:val="center"/>
                </w:tcPr>
                <w:p>
                  <w:pPr>
                    <w:pStyle w:val="47"/>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11</w:t>
                  </w:r>
                </w:p>
              </w:tc>
              <w:tc>
                <w:tcPr>
                  <w:tcW w:w="694" w:type="pct"/>
                  <w:tcBorders>
                    <w:top w:val="single" w:color="auto" w:sz="4" w:space="0"/>
                    <w:left w:val="single" w:color="auto" w:sz="4" w:space="0"/>
                    <w:bottom w:val="single" w:color="auto" w:sz="4" w:space="0"/>
                    <w:right w:val="single" w:color="auto" w:sz="4" w:space="0"/>
                  </w:tcBorders>
                  <w:vAlign w:val="center"/>
                </w:tcPr>
                <w:p>
                  <w:pPr>
                    <w:pStyle w:val="47"/>
                  </w:pPr>
                  <w:r>
                    <w:t>废活性炭</w:t>
                  </w:r>
                </w:p>
              </w:tc>
              <w:tc>
                <w:tcPr>
                  <w:tcW w:w="985" w:type="pct"/>
                  <w:tcBorders>
                    <w:top w:val="single" w:color="auto" w:sz="4" w:space="0"/>
                    <w:left w:val="single" w:color="auto" w:sz="4" w:space="0"/>
                    <w:bottom w:val="single" w:color="auto" w:sz="4" w:space="0"/>
                    <w:right w:val="single" w:color="auto" w:sz="4" w:space="0"/>
                  </w:tcBorders>
                  <w:vAlign w:val="center"/>
                </w:tcPr>
                <w:p>
                  <w:pPr>
                    <w:pStyle w:val="47"/>
                  </w:pPr>
                  <w:r>
                    <w:t>废气处理</w:t>
                  </w:r>
                </w:p>
              </w:tc>
              <w:tc>
                <w:tcPr>
                  <w:tcW w:w="429" w:type="pct"/>
                  <w:tcBorders>
                    <w:top w:val="single" w:color="auto" w:sz="4" w:space="0"/>
                    <w:left w:val="single" w:color="auto" w:sz="4" w:space="0"/>
                    <w:bottom w:val="single" w:color="auto" w:sz="4" w:space="0"/>
                    <w:right w:val="single" w:color="auto" w:sz="4" w:space="0"/>
                  </w:tcBorders>
                  <w:vAlign w:val="center"/>
                </w:tcPr>
                <w:p>
                  <w:pPr>
                    <w:pStyle w:val="47"/>
                  </w:pPr>
                  <w:r>
                    <w:rPr>
                      <w:szCs w:val="22"/>
                    </w:rPr>
                    <w:t>危险废物</w:t>
                  </w:r>
                </w:p>
              </w:tc>
              <w:tc>
                <w:tcPr>
                  <w:tcW w:w="41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900-039-49</w:t>
                  </w:r>
                </w:p>
              </w:tc>
              <w:tc>
                <w:tcPr>
                  <w:tcW w:w="532"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3.173</w:t>
                  </w:r>
                </w:p>
              </w:tc>
              <w:tc>
                <w:tcPr>
                  <w:tcW w:w="687" w:type="pct"/>
                  <w:vMerge w:val="continue"/>
                  <w:tcBorders>
                    <w:left w:val="single" w:color="auto" w:sz="4" w:space="0"/>
                    <w:right w:val="single" w:color="auto" w:sz="4" w:space="0"/>
                  </w:tcBorders>
                  <w:vAlign w:val="center"/>
                </w:tcPr>
                <w:p>
                  <w:pPr>
                    <w:pStyle w:val="47"/>
                  </w:pPr>
                </w:p>
              </w:tc>
              <w:tc>
                <w:tcPr>
                  <w:tcW w:w="499" w:type="pct"/>
                  <w:vMerge w:val="continue"/>
                  <w:tcBorders>
                    <w:left w:val="single" w:color="auto" w:sz="4" w:space="0"/>
                    <w:right w:val="single" w:color="auto" w:sz="4" w:space="0"/>
                  </w:tcBorders>
                  <w:vAlign w:val="center"/>
                </w:tcPr>
                <w:p>
                  <w:pPr>
                    <w:pStyle w:val="47"/>
                  </w:pPr>
                </w:p>
              </w:tc>
              <w:tc>
                <w:tcPr>
                  <w:tcW w:w="502" w:type="pct"/>
                  <w:tcBorders>
                    <w:top w:val="single" w:color="auto" w:sz="4" w:space="0"/>
                    <w:left w:val="single" w:color="auto" w:sz="4" w:space="0"/>
                    <w:bottom w:val="single" w:color="auto" w:sz="4" w:space="0"/>
                    <w:right w:val="single" w:color="auto" w:sz="4" w:space="0"/>
                  </w:tcBorders>
                  <w:vAlign w:val="center"/>
                </w:tcPr>
                <w:p>
                  <w:pPr>
                    <w:pStyle w:val="47"/>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12</w:t>
                  </w:r>
                </w:p>
              </w:tc>
              <w:tc>
                <w:tcPr>
                  <w:tcW w:w="694"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含漆废抹布和手套</w:t>
                  </w:r>
                </w:p>
              </w:tc>
              <w:tc>
                <w:tcPr>
                  <w:tcW w:w="985"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绝缘漆使用</w:t>
                  </w:r>
                </w:p>
              </w:tc>
              <w:tc>
                <w:tcPr>
                  <w:tcW w:w="429" w:type="pct"/>
                  <w:tcBorders>
                    <w:top w:val="single" w:color="auto" w:sz="4" w:space="0"/>
                    <w:left w:val="single" w:color="auto" w:sz="4" w:space="0"/>
                    <w:bottom w:val="single" w:color="auto" w:sz="4" w:space="0"/>
                    <w:right w:val="single" w:color="auto" w:sz="4" w:space="0"/>
                  </w:tcBorders>
                  <w:vAlign w:val="center"/>
                </w:tcPr>
                <w:p>
                  <w:pPr>
                    <w:pStyle w:val="47"/>
                  </w:pPr>
                  <w:r>
                    <w:rPr>
                      <w:szCs w:val="22"/>
                    </w:rPr>
                    <w:t>危险废物</w:t>
                  </w:r>
                </w:p>
              </w:tc>
              <w:tc>
                <w:tcPr>
                  <w:tcW w:w="41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900-041-49</w:t>
                  </w:r>
                </w:p>
              </w:tc>
              <w:tc>
                <w:tcPr>
                  <w:tcW w:w="532"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0.01</w:t>
                  </w:r>
                </w:p>
              </w:tc>
              <w:tc>
                <w:tcPr>
                  <w:tcW w:w="687" w:type="pct"/>
                  <w:vMerge w:val="continue"/>
                  <w:tcBorders>
                    <w:left w:val="single" w:color="auto" w:sz="4" w:space="0"/>
                    <w:right w:val="single" w:color="auto" w:sz="4" w:space="0"/>
                  </w:tcBorders>
                  <w:vAlign w:val="center"/>
                </w:tcPr>
                <w:p>
                  <w:pPr>
                    <w:pStyle w:val="47"/>
                  </w:pPr>
                </w:p>
              </w:tc>
              <w:tc>
                <w:tcPr>
                  <w:tcW w:w="499" w:type="pct"/>
                  <w:vMerge w:val="continue"/>
                  <w:tcBorders>
                    <w:left w:val="single" w:color="auto" w:sz="4" w:space="0"/>
                    <w:right w:val="single" w:color="auto" w:sz="4" w:space="0"/>
                  </w:tcBorders>
                  <w:vAlign w:val="center"/>
                </w:tcPr>
                <w:p>
                  <w:pPr>
                    <w:pStyle w:val="47"/>
                  </w:pPr>
                </w:p>
              </w:tc>
              <w:tc>
                <w:tcPr>
                  <w:tcW w:w="502" w:type="pct"/>
                  <w:tcBorders>
                    <w:top w:val="single" w:color="auto" w:sz="4" w:space="0"/>
                    <w:left w:val="single" w:color="auto" w:sz="4" w:space="0"/>
                    <w:bottom w:val="single" w:color="auto" w:sz="4" w:space="0"/>
                    <w:right w:val="single" w:color="auto" w:sz="4" w:space="0"/>
                  </w:tcBorders>
                  <w:vAlign w:val="center"/>
                </w:tcPr>
                <w:p>
                  <w:pPr>
                    <w:pStyle w:val="47"/>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13</w:t>
                  </w:r>
                </w:p>
              </w:tc>
              <w:tc>
                <w:tcPr>
                  <w:tcW w:w="694"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含油废抹布和手套</w:t>
                  </w:r>
                </w:p>
              </w:tc>
              <w:tc>
                <w:tcPr>
                  <w:tcW w:w="985"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设备保养</w:t>
                  </w:r>
                </w:p>
              </w:tc>
              <w:tc>
                <w:tcPr>
                  <w:tcW w:w="429"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危险废物</w:t>
                  </w:r>
                </w:p>
              </w:tc>
              <w:tc>
                <w:tcPr>
                  <w:tcW w:w="41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900-041-49</w:t>
                  </w:r>
                </w:p>
              </w:tc>
              <w:tc>
                <w:tcPr>
                  <w:tcW w:w="532" w:type="pct"/>
                  <w:tcBorders>
                    <w:top w:val="single" w:color="auto" w:sz="4" w:space="0"/>
                    <w:left w:val="single" w:color="auto" w:sz="4" w:space="0"/>
                    <w:bottom w:val="single" w:color="auto" w:sz="4" w:space="0"/>
                    <w:right w:val="single" w:color="auto" w:sz="4" w:space="0"/>
                  </w:tcBorders>
                  <w:vAlign w:val="center"/>
                </w:tcPr>
                <w:p>
                  <w:pPr>
                    <w:pStyle w:val="47"/>
                  </w:pPr>
                  <w:r>
                    <w:t>0.</w:t>
                  </w:r>
                  <w:r>
                    <w:rPr>
                      <w:rFonts w:hint="eastAsia"/>
                    </w:rPr>
                    <w:t>002</w:t>
                  </w:r>
                </w:p>
              </w:tc>
              <w:tc>
                <w:tcPr>
                  <w:tcW w:w="687" w:type="pct"/>
                  <w:vMerge w:val="restart"/>
                  <w:tcBorders>
                    <w:left w:val="single" w:color="auto" w:sz="4" w:space="0"/>
                    <w:right w:val="single" w:color="auto" w:sz="4" w:space="0"/>
                  </w:tcBorders>
                  <w:vAlign w:val="center"/>
                </w:tcPr>
                <w:p>
                  <w:pPr>
                    <w:pStyle w:val="47"/>
                  </w:pPr>
                  <w:r>
                    <w:t>环卫部门</w:t>
                  </w:r>
                  <w:r>
                    <w:rPr>
                      <w:rFonts w:hint="eastAsia"/>
                    </w:rPr>
                    <w:t>统一</w:t>
                  </w:r>
                  <w:r>
                    <w:t>清运</w:t>
                  </w:r>
                </w:p>
              </w:tc>
              <w:tc>
                <w:tcPr>
                  <w:tcW w:w="499" w:type="pct"/>
                  <w:vMerge w:val="restart"/>
                  <w:tcBorders>
                    <w:left w:val="single" w:color="auto" w:sz="4" w:space="0"/>
                    <w:right w:val="single" w:color="auto" w:sz="4" w:space="0"/>
                  </w:tcBorders>
                  <w:vAlign w:val="center"/>
                </w:tcPr>
                <w:p>
                  <w:pPr>
                    <w:pStyle w:val="47"/>
                  </w:pPr>
                  <w:r>
                    <w:t>环卫部门</w:t>
                  </w:r>
                </w:p>
              </w:tc>
              <w:tc>
                <w:tcPr>
                  <w:tcW w:w="502" w:type="pct"/>
                  <w:tcBorders>
                    <w:top w:val="single" w:color="auto" w:sz="4" w:space="0"/>
                    <w:left w:val="single" w:color="auto" w:sz="4" w:space="0"/>
                    <w:bottom w:val="single" w:color="auto" w:sz="4" w:space="0"/>
                    <w:right w:val="single" w:color="auto" w:sz="4" w:space="0"/>
                  </w:tcBorders>
                  <w:vAlign w:val="center"/>
                </w:tcPr>
                <w:p>
                  <w:pPr>
                    <w:pStyle w:val="47"/>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14</w:t>
                  </w:r>
                </w:p>
              </w:tc>
              <w:tc>
                <w:tcPr>
                  <w:tcW w:w="694" w:type="pct"/>
                  <w:tcBorders>
                    <w:top w:val="single" w:color="auto" w:sz="4" w:space="0"/>
                    <w:left w:val="single" w:color="auto" w:sz="4" w:space="0"/>
                    <w:bottom w:val="single" w:color="auto" w:sz="4" w:space="0"/>
                    <w:right w:val="single" w:color="auto" w:sz="4" w:space="0"/>
                  </w:tcBorders>
                  <w:vAlign w:val="center"/>
                </w:tcPr>
                <w:p>
                  <w:pPr>
                    <w:pStyle w:val="47"/>
                  </w:pPr>
                  <w:r>
                    <w:t>生活垃圾</w:t>
                  </w:r>
                </w:p>
              </w:tc>
              <w:tc>
                <w:tcPr>
                  <w:tcW w:w="985" w:type="pct"/>
                  <w:tcBorders>
                    <w:top w:val="single" w:color="auto" w:sz="4" w:space="0"/>
                    <w:left w:val="single" w:color="auto" w:sz="4" w:space="0"/>
                    <w:bottom w:val="single" w:color="auto" w:sz="4" w:space="0"/>
                    <w:right w:val="single" w:color="auto" w:sz="4" w:space="0"/>
                  </w:tcBorders>
                  <w:vAlign w:val="center"/>
                </w:tcPr>
                <w:p>
                  <w:pPr>
                    <w:pStyle w:val="47"/>
                  </w:pPr>
                  <w:r>
                    <w:t>职工生活</w:t>
                  </w:r>
                </w:p>
              </w:tc>
              <w:tc>
                <w:tcPr>
                  <w:tcW w:w="429"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一般固废</w:t>
                  </w:r>
                </w:p>
              </w:tc>
              <w:tc>
                <w:tcPr>
                  <w:tcW w:w="413" w:type="pct"/>
                  <w:tcBorders>
                    <w:top w:val="single" w:color="auto" w:sz="4" w:space="0"/>
                    <w:left w:val="single" w:color="auto" w:sz="4" w:space="0"/>
                    <w:bottom w:val="single" w:color="auto" w:sz="4" w:space="0"/>
                    <w:right w:val="single" w:color="auto" w:sz="4" w:space="0"/>
                  </w:tcBorders>
                  <w:vAlign w:val="center"/>
                </w:tcPr>
                <w:p>
                  <w:pPr>
                    <w:pStyle w:val="47"/>
                  </w:pPr>
                  <w:r>
                    <w:t>/</w:t>
                  </w:r>
                </w:p>
              </w:tc>
              <w:tc>
                <w:tcPr>
                  <w:tcW w:w="532" w:type="pct"/>
                  <w:tcBorders>
                    <w:top w:val="single" w:color="auto" w:sz="4" w:space="0"/>
                    <w:left w:val="single" w:color="auto" w:sz="4" w:space="0"/>
                    <w:bottom w:val="single" w:color="auto" w:sz="4" w:space="0"/>
                    <w:right w:val="single" w:color="auto" w:sz="4" w:space="0"/>
                  </w:tcBorders>
                  <w:vAlign w:val="center"/>
                </w:tcPr>
                <w:p>
                  <w:pPr>
                    <w:pStyle w:val="47"/>
                  </w:pPr>
                  <w:r>
                    <w:t>9.0</w:t>
                  </w:r>
                </w:p>
              </w:tc>
              <w:tc>
                <w:tcPr>
                  <w:tcW w:w="687" w:type="pct"/>
                  <w:vMerge w:val="continue"/>
                  <w:tcBorders>
                    <w:left w:val="single" w:color="auto" w:sz="4" w:space="0"/>
                    <w:bottom w:val="single" w:color="auto" w:sz="4" w:space="0"/>
                    <w:right w:val="single" w:color="auto" w:sz="4" w:space="0"/>
                  </w:tcBorders>
                  <w:vAlign w:val="center"/>
                </w:tcPr>
                <w:p>
                  <w:pPr>
                    <w:pStyle w:val="47"/>
                  </w:pPr>
                </w:p>
              </w:tc>
              <w:tc>
                <w:tcPr>
                  <w:tcW w:w="499" w:type="pct"/>
                  <w:vMerge w:val="continue"/>
                  <w:tcBorders>
                    <w:left w:val="single" w:color="auto" w:sz="4" w:space="0"/>
                    <w:bottom w:val="single" w:color="auto" w:sz="4" w:space="0"/>
                    <w:right w:val="single" w:color="auto" w:sz="4" w:space="0"/>
                  </w:tcBorders>
                  <w:vAlign w:val="center"/>
                </w:tcPr>
                <w:p>
                  <w:pPr>
                    <w:pStyle w:val="47"/>
                  </w:pPr>
                </w:p>
              </w:tc>
              <w:tc>
                <w:tcPr>
                  <w:tcW w:w="502" w:type="pct"/>
                  <w:tcBorders>
                    <w:top w:val="single" w:color="auto" w:sz="4" w:space="0"/>
                    <w:left w:val="single" w:color="auto" w:sz="4" w:space="0"/>
                    <w:bottom w:val="single" w:color="auto" w:sz="4" w:space="0"/>
                    <w:right w:val="single" w:color="auto" w:sz="4" w:space="0"/>
                  </w:tcBorders>
                  <w:vAlign w:val="center"/>
                </w:tcPr>
                <w:p>
                  <w:pPr>
                    <w:pStyle w:val="47"/>
                  </w:pPr>
                  <w:r>
                    <w:t>符合</w:t>
                  </w:r>
                </w:p>
              </w:tc>
            </w:tr>
          </w:tbl>
          <w:p>
            <w:pPr>
              <w:ind w:firstLine="480"/>
            </w:pPr>
            <w:r>
              <w:rPr>
                <w:rFonts w:hint="eastAsia"/>
              </w:rPr>
              <w:t>由上表可知，</w:t>
            </w:r>
            <w:r>
              <w:t>本项目产生的一般包装材料、</w:t>
            </w:r>
            <w:r>
              <w:rPr>
                <w:rFonts w:hint="eastAsia"/>
              </w:rPr>
              <w:t>金属</w:t>
            </w:r>
            <w:r>
              <w:t>边角料、次品、</w:t>
            </w:r>
            <w:r>
              <w:rPr>
                <w:rFonts w:hint="eastAsia"/>
              </w:rPr>
              <w:t>金属沉渣、废滤芯</w:t>
            </w:r>
            <w:r>
              <w:t>由企业收集后外售综合利用</w:t>
            </w:r>
            <w:r>
              <w:rPr>
                <w:rFonts w:hint="eastAsia"/>
              </w:rPr>
              <w:t>；</w:t>
            </w:r>
            <w:r>
              <w:t>废乳化液、</w:t>
            </w:r>
            <w:r>
              <w:rPr>
                <w:rFonts w:hint="eastAsia"/>
              </w:rPr>
              <w:t>废漆料、</w:t>
            </w:r>
            <w:r>
              <w:t>废包装桶、</w:t>
            </w:r>
            <w:r>
              <w:rPr>
                <w:rFonts w:hint="eastAsia"/>
              </w:rPr>
              <w:t>废机油、废油桶、</w:t>
            </w:r>
            <w:r>
              <w:t>废活性炭</w:t>
            </w:r>
            <w:r>
              <w:rPr>
                <w:rFonts w:hint="eastAsia"/>
              </w:rPr>
              <w:t>、含漆废抹布和手套</w:t>
            </w:r>
            <w:r>
              <w:t>属于危险废物</w:t>
            </w:r>
            <w:r>
              <w:rPr>
                <w:rFonts w:hint="eastAsia"/>
              </w:rPr>
              <w:t>，要求企业收集后在厂区内危废仓库暂存，定期委托有相关危废处理资质的单位进行集中处置；含油废抹布和手套、</w:t>
            </w:r>
            <w:r>
              <w:t>生活垃圾在厂内定点收集，由当地环卫部门统一清运。</w:t>
            </w:r>
          </w:p>
          <w:p>
            <w:pPr>
              <w:ind w:firstLine="480"/>
            </w:pPr>
            <w:r>
              <w:rPr>
                <w:rFonts w:hint="eastAsia"/>
              </w:rPr>
              <w:t>综上，本项目固废</w:t>
            </w:r>
            <w:r>
              <w:t>均能得到相应处置，最终排放量为零，不会对周边环境产生影响。</w:t>
            </w:r>
          </w:p>
          <w:p>
            <w:pPr>
              <w:pStyle w:val="6"/>
            </w:pPr>
            <w:bookmarkStart w:id="165" w:name="_Toc29388595"/>
            <w:bookmarkStart w:id="166" w:name="_Toc29380644"/>
            <w:r>
              <w:rPr>
                <w:rFonts w:hint="eastAsia"/>
              </w:rPr>
              <w:t>7.2.5.2危险废物污染防治措施及危险废物贮存场所分析</w:t>
            </w:r>
          </w:p>
          <w:p>
            <w:pPr>
              <w:ind w:firstLine="480"/>
            </w:pPr>
            <w:r>
              <w:rPr>
                <w:rFonts w:hint="eastAsia"/>
              </w:rPr>
              <w:t>根据《建设项目危险废物环境影响评价指南》，本项目危险废物污染防治措施见表7-19，危险废物贮存场所基本情况见表7-20。</w:t>
            </w:r>
          </w:p>
          <w:p>
            <w:pPr>
              <w:pStyle w:val="46"/>
            </w:pPr>
            <w:r>
              <w:rPr>
                <w:rFonts w:hint="eastAsia"/>
              </w:rPr>
              <w:t>表7-19 本项目危险废物污染防治措施表   （单位：t/a）</w:t>
            </w:r>
          </w:p>
          <w:tbl>
            <w:tblPr>
              <w:tblStyle w:val="34"/>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
              <w:gridCol w:w="983"/>
              <w:gridCol w:w="640"/>
              <w:gridCol w:w="842"/>
              <w:gridCol w:w="555"/>
              <w:gridCol w:w="901"/>
              <w:gridCol w:w="448"/>
              <w:gridCol w:w="942"/>
              <w:gridCol w:w="826"/>
              <w:gridCol w:w="690"/>
              <w:gridCol w:w="672"/>
              <w:gridCol w:w="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Align w:val="center"/>
                </w:tcPr>
                <w:p>
                  <w:pPr>
                    <w:pStyle w:val="46"/>
                  </w:pPr>
                  <w:r>
                    <w:t>序号</w:t>
                  </w:r>
                </w:p>
              </w:tc>
              <w:tc>
                <w:tcPr>
                  <w:tcW w:w="563" w:type="pct"/>
                  <w:vAlign w:val="center"/>
                </w:tcPr>
                <w:p>
                  <w:pPr>
                    <w:pStyle w:val="46"/>
                  </w:pPr>
                  <w:r>
                    <w:t>危险</w:t>
                  </w:r>
                </w:p>
                <w:p>
                  <w:pPr>
                    <w:pStyle w:val="46"/>
                  </w:pPr>
                  <w:r>
                    <w:t>废物</w:t>
                  </w:r>
                </w:p>
                <w:p>
                  <w:pPr>
                    <w:pStyle w:val="46"/>
                  </w:pPr>
                  <w:r>
                    <w:t>名称</w:t>
                  </w:r>
                </w:p>
              </w:tc>
              <w:tc>
                <w:tcPr>
                  <w:tcW w:w="367" w:type="pct"/>
                  <w:vAlign w:val="center"/>
                </w:tcPr>
                <w:p>
                  <w:pPr>
                    <w:pStyle w:val="46"/>
                  </w:pPr>
                  <w:r>
                    <w:t>危险废物</w:t>
                  </w:r>
                  <w:r>
                    <w:rPr>
                      <w:rFonts w:hint="eastAsia"/>
                    </w:rPr>
                    <w:t>类别</w:t>
                  </w:r>
                </w:p>
              </w:tc>
              <w:tc>
                <w:tcPr>
                  <w:tcW w:w="483" w:type="pct"/>
                  <w:vAlign w:val="center"/>
                </w:tcPr>
                <w:p>
                  <w:pPr>
                    <w:pStyle w:val="46"/>
                  </w:pPr>
                  <w:r>
                    <w:t>危险废物</w:t>
                  </w:r>
                  <w:r>
                    <w:rPr>
                      <w:rFonts w:hint="eastAsia"/>
                    </w:rPr>
                    <w:t>代码</w:t>
                  </w:r>
                </w:p>
              </w:tc>
              <w:tc>
                <w:tcPr>
                  <w:tcW w:w="318" w:type="pct"/>
                  <w:vAlign w:val="center"/>
                </w:tcPr>
                <w:p>
                  <w:pPr>
                    <w:pStyle w:val="46"/>
                  </w:pPr>
                  <w:r>
                    <w:t>产生量</w:t>
                  </w:r>
                </w:p>
              </w:tc>
              <w:tc>
                <w:tcPr>
                  <w:tcW w:w="516" w:type="pct"/>
                  <w:vAlign w:val="center"/>
                </w:tcPr>
                <w:p>
                  <w:pPr>
                    <w:pStyle w:val="46"/>
                  </w:pPr>
                  <w:r>
                    <w:t>产生</w:t>
                  </w:r>
                </w:p>
                <w:p>
                  <w:pPr>
                    <w:pStyle w:val="46"/>
                  </w:pPr>
                  <w:r>
                    <w:t>工序</w:t>
                  </w:r>
                </w:p>
              </w:tc>
              <w:tc>
                <w:tcPr>
                  <w:tcW w:w="257" w:type="pct"/>
                  <w:vAlign w:val="center"/>
                </w:tcPr>
                <w:p>
                  <w:pPr>
                    <w:pStyle w:val="46"/>
                  </w:pPr>
                  <w:r>
                    <w:t>形态</w:t>
                  </w:r>
                </w:p>
              </w:tc>
              <w:tc>
                <w:tcPr>
                  <w:tcW w:w="540" w:type="pct"/>
                  <w:vAlign w:val="center"/>
                </w:tcPr>
                <w:p>
                  <w:pPr>
                    <w:pStyle w:val="46"/>
                  </w:pPr>
                  <w:r>
                    <w:t>主要</w:t>
                  </w:r>
                </w:p>
                <w:p>
                  <w:pPr>
                    <w:pStyle w:val="46"/>
                  </w:pPr>
                  <w:r>
                    <w:t>成分</w:t>
                  </w:r>
                </w:p>
              </w:tc>
              <w:tc>
                <w:tcPr>
                  <w:tcW w:w="474" w:type="pct"/>
                  <w:vAlign w:val="center"/>
                </w:tcPr>
                <w:p>
                  <w:pPr>
                    <w:pStyle w:val="46"/>
                  </w:pPr>
                  <w:r>
                    <w:t>有害</w:t>
                  </w:r>
                </w:p>
                <w:p>
                  <w:pPr>
                    <w:pStyle w:val="46"/>
                  </w:pPr>
                  <w:r>
                    <w:t>成分</w:t>
                  </w:r>
                </w:p>
              </w:tc>
              <w:tc>
                <w:tcPr>
                  <w:tcW w:w="396" w:type="pct"/>
                  <w:vAlign w:val="center"/>
                </w:tcPr>
                <w:p>
                  <w:pPr>
                    <w:pStyle w:val="46"/>
                  </w:pPr>
                  <w:r>
                    <w:rPr>
                      <w:rFonts w:hint="eastAsia"/>
                    </w:rPr>
                    <w:t>产生周期</w:t>
                  </w:r>
                </w:p>
              </w:tc>
              <w:tc>
                <w:tcPr>
                  <w:tcW w:w="386" w:type="pct"/>
                  <w:vAlign w:val="center"/>
                </w:tcPr>
                <w:p>
                  <w:pPr>
                    <w:pStyle w:val="46"/>
                  </w:pPr>
                  <w:r>
                    <w:t>危险</w:t>
                  </w:r>
                </w:p>
                <w:p>
                  <w:pPr>
                    <w:pStyle w:val="46"/>
                  </w:pPr>
                  <w:r>
                    <w:t>特性</w:t>
                  </w:r>
                </w:p>
              </w:tc>
              <w:tc>
                <w:tcPr>
                  <w:tcW w:w="456" w:type="pct"/>
                  <w:vAlign w:val="center"/>
                </w:tcPr>
                <w:p>
                  <w:pPr>
                    <w:pStyle w:val="46"/>
                  </w:pPr>
                  <w: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Align w:val="center"/>
                </w:tcPr>
                <w:p>
                  <w:pPr>
                    <w:pStyle w:val="47"/>
                    <w:rPr>
                      <w:szCs w:val="21"/>
                    </w:rPr>
                  </w:pPr>
                  <w:r>
                    <w:rPr>
                      <w:rFonts w:hint="eastAsia"/>
                      <w:szCs w:val="21"/>
                    </w:rPr>
                    <w:t>1</w:t>
                  </w:r>
                </w:p>
              </w:tc>
              <w:tc>
                <w:tcPr>
                  <w:tcW w:w="563" w:type="pct"/>
                  <w:vAlign w:val="center"/>
                </w:tcPr>
                <w:p>
                  <w:pPr>
                    <w:pStyle w:val="47"/>
                    <w:rPr>
                      <w:szCs w:val="21"/>
                    </w:rPr>
                  </w:pPr>
                  <w:r>
                    <w:rPr>
                      <w:szCs w:val="21"/>
                    </w:rPr>
                    <w:t>废乳化液</w:t>
                  </w:r>
                </w:p>
              </w:tc>
              <w:tc>
                <w:tcPr>
                  <w:tcW w:w="367" w:type="pct"/>
                  <w:vAlign w:val="center"/>
                </w:tcPr>
                <w:p>
                  <w:pPr>
                    <w:pStyle w:val="47"/>
                    <w:rPr>
                      <w:szCs w:val="21"/>
                    </w:rPr>
                  </w:pPr>
                  <w:r>
                    <w:rPr>
                      <w:rFonts w:hint="eastAsia"/>
                      <w:szCs w:val="21"/>
                    </w:rPr>
                    <w:t>HW09</w:t>
                  </w:r>
                </w:p>
              </w:tc>
              <w:tc>
                <w:tcPr>
                  <w:tcW w:w="483" w:type="pct"/>
                  <w:vAlign w:val="center"/>
                </w:tcPr>
                <w:p>
                  <w:pPr>
                    <w:pStyle w:val="47"/>
                    <w:rPr>
                      <w:szCs w:val="21"/>
                    </w:rPr>
                  </w:pPr>
                  <w:r>
                    <w:rPr>
                      <w:rFonts w:hint="eastAsia"/>
                      <w:szCs w:val="21"/>
                    </w:rPr>
                    <w:t>900-006-09</w:t>
                  </w:r>
                </w:p>
              </w:tc>
              <w:tc>
                <w:tcPr>
                  <w:tcW w:w="318" w:type="pct"/>
                  <w:vAlign w:val="center"/>
                </w:tcPr>
                <w:p>
                  <w:pPr>
                    <w:pStyle w:val="47"/>
                    <w:rPr>
                      <w:szCs w:val="21"/>
                    </w:rPr>
                  </w:pPr>
                  <w:r>
                    <w:rPr>
                      <w:rFonts w:hint="eastAsia"/>
                      <w:szCs w:val="21"/>
                    </w:rPr>
                    <w:t>1.0</w:t>
                  </w:r>
                </w:p>
              </w:tc>
              <w:tc>
                <w:tcPr>
                  <w:tcW w:w="516" w:type="pct"/>
                  <w:vAlign w:val="center"/>
                </w:tcPr>
                <w:p>
                  <w:pPr>
                    <w:pStyle w:val="47"/>
                    <w:rPr>
                      <w:szCs w:val="21"/>
                    </w:rPr>
                  </w:pPr>
                  <w:r>
                    <w:rPr>
                      <w:szCs w:val="21"/>
                    </w:rPr>
                    <w:t>粗车、普铣、精车</w:t>
                  </w:r>
                </w:p>
              </w:tc>
              <w:tc>
                <w:tcPr>
                  <w:tcW w:w="257" w:type="pct"/>
                  <w:vAlign w:val="center"/>
                </w:tcPr>
                <w:p>
                  <w:pPr>
                    <w:pStyle w:val="47"/>
                    <w:rPr>
                      <w:szCs w:val="21"/>
                    </w:rPr>
                  </w:pPr>
                  <w:r>
                    <w:rPr>
                      <w:szCs w:val="21"/>
                    </w:rPr>
                    <w:t>液态</w:t>
                  </w:r>
                </w:p>
              </w:tc>
              <w:tc>
                <w:tcPr>
                  <w:tcW w:w="540" w:type="pct"/>
                  <w:vAlign w:val="center"/>
                </w:tcPr>
                <w:p>
                  <w:pPr>
                    <w:pStyle w:val="47"/>
                    <w:rPr>
                      <w:szCs w:val="21"/>
                    </w:rPr>
                  </w:pPr>
                  <w:r>
                    <w:rPr>
                      <w:rFonts w:hint="eastAsia"/>
                      <w:szCs w:val="21"/>
                    </w:rPr>
                    <w:t>乳化液</w:t>
                  </w:r>
                </w:p>
              </w:tc>
              <w:tc>
                <w:tcPr>
                  <w:tcW w:w="474" w:type="pct"/>
                  <w:vAlign w:val="center"/>
                </w:tcPr>
                <w:p>
                  <w:pPr>
                    <w:pStyle w:val="47"/>
                    <w:rPr>
                      <w:szCs w:val="21"/>
                    </w:rPr>
                  </w:pPr>
                  <w:r>
                    <w:rPr>
                      <w:rFonts w:hint="eastAsia"/>
                      <w:szCs w:val="21"/>
                    </w:rPr>
                    <w:t>废乳化液</w:t>
                  </w:r>
                </w:p>
              </w:tc>
              <w:tc>
                <w:tcPr>
                  <w:tcW w:w="396" w:type="pct"/>
                  <w:vAlign w:val="center"/>
                </w:tcPr>
                <w:p>
                  <w:pPr>
                    <w:pStyle w:val="47"/>
                    <w:rPr>
                      <w:szCs w:val="21"/>
                    </w:rPr>
                  </w:pPr>
                  <w:r>
                    <w:rPr>
                      <w:rFonts w:hint="eastAsia"/>
                      <w:szCs w:val="21"/>
                    </w:rPr>
                    <w:t>每月</w:t>
                  </w:r>
                </w:p>
              </w:tc>
              <w:tc>
                <w:tcPr>
                  <w:tcW w:w="386" w:type="pct"/>
                  <w:vAlign w:val="center"/>
                </w:tcPr>
                <w:p>
                  <w:pPr>
                    <w:pStyle w:val="47"/>
                    <w:rPr>
                      <w:szCs w:val="21"/>
                    </w:rPr>
                  </w:pPr>
                  <w:r>
                    <w:rPr>
                      <w:rFonts w:hint="eastAsia"/>
                      <w:szCs w:val="21"/>
                    </w:rPr>
                    <w:t>T</w:t>
                  </w:r>
                </w:p>
              </w:tc>
              <w:tc>
                <w:tcPr>
                  <w:tcW w:w="456" w:type="pct"/>
                  <w:vMerge w:val="restart"/>
                  <w:vAlign w:val="center"/>
                </w:tcPr>
                <w:p>
                  <w:pPr>
                    <w:pStyle w:val="47"/>
                    <w:rPr>
                      <w:szCs w:val="21"/>
                    </w:rPr>
                  </w:pPr>
                  <w:r>
                    <w:rPr>
                      <w:rFonts w:hint="eastAsia"/>
                      <w:szCs w:val="21"/>
                    </w:rPr>
                    <w:t>收集后在厂区内危废仓库暂存，定期委托有相关危废处理资质的单位进行集中处置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Align w:val="center"/>
                </w:tcPr>
                <w:p>
                  <w:pPr>
                    <w:pStyle w:val="47"/>
                    <w:rPr>
                      <w:szCs w:val="21"/>
                    </w:rPr>
                  </w:pPr>
                  <w:r>
                    <w:rPr>
                      <w:rFonts w:hint="eastAsia"/>
                      <w:szCs w:val="21"/>
                    </w:rPr>
                    <w:t>2</w:t>
                  </w:r>
                </w:p>
              </w:tc>
              <w:tc>
                <w:tcPr>
                  <w:tcW w:w="563" w:type="pct"/>
                  <w:vAlign w:val="center"/>
                </w:tcPr>
                <w:p>
                  <w:pPr>
                    <w:pStyle w:val="47"/>
                    <w:rPr>
                      <w:szCs w:val="21"/>
                    </w:rPr>
                  </w:pPr>
                  <w:r>
                    <w:rPr>
                      <w:rFonts w:hint="eastAsia"/>
                      <w:szCs w:val="21"/>
                    </w:rPr>
                    <w:t>废漆料</w:t>
                  </w:r>
                </w:p>
              </w:tc>
              <w:tc>
                <w:tcPr>
                  <w:tcW w:w="367" w:type="pct"/>
                  <w:vAlign w:val="center"/>
                </w:tcPr>
                <w:p>
                  <w:pPr>
                    <w:pStyle w:val="47"/>
                    <w:rPr>
                      <w:szCs w:val="21"/>
                    </w:rPr>
                  </w:pPr>
                  <w:r>
                    <w:rPr>
                      <w:rFonts w:hint="eastAsia"/>
                      <w:szCs w:val="21"/>
                    </w:rPr>
                    <w:t>HW12</w:t>
                  </w:r>
                </w:p>
              </w:tc>
              <w:tc>
                <w:tcPr>
                  <w:tcW w:w="483" w:type="pct"/>
                  <w:vAlign w:val="center"/>
                </w:tcPr>
                <w:p>
                  <w:pPr>
                    <w:pStyle w:val="47"/>
                    <w:rPr>
                      <w:szCs w:val="21"/>
                    </w:rPr>
                  </w:pPr>
                  <w:r>
                    <w:rPr>
                      <w:rFonts w:hint="eastAsia"/>
                      <w:szCs w:val="21"/>
                    </w:rPr>
                    <w:t>900-252-12</w:t>
                  </w:r>
                </w:p>
              </w:tc>
              <w:tc>
                <w:tcPr>
                  <w:tcW w:w="318" w:type="pct"/>
                  <w:vAlign w:val="center"/>
                </w:tcPr>
                <w:p>
                  <w:pPr>
                    <w:pStyle w:val="47"/>
                    <w:rPr>
                      <w:szCs w:val="21"/>
                    </w:rPr>
                  </w:pPr>
                  <w:r>
                    <w:rPr>
                      <w:rFonts w:hint="eastAsia"/>
                      <w:szCs w:val="21"/>
                    </w:rPr>
                    <w:t>0.2</w:t>
                  </w:r>
                </w:p>
              </w:tc>
              <w:tc>
                <w:tcPr>
                  <w:tcW w:w="516" w:type="pct"/>
                  <w:vAlign w:val="center"/>
                </w:tcPr>
                <w:p>
                  <w:pPr>
                    <w:pStyle w:val="47"/>
                    <w:rPr>
                      <w:szCs w:val="21"/>
                    </w:rPr>
                  </w:pPr>
                  <w:r>
                    <w:rPr>
                      <w:rFonts w:hint="eastAsia"/>
                      <w:szCs w:val="21"/>
                    </w:rPr>
                    <w:t>真空浸漆</w:t>
                  </w:r>
                </w:p>
              </w:tc>
              <w:tc>
                <w:tcPr>
                  <w:tcW w:w="257" w:type="pct"/>
                  <w:vAlign w:val="center"/>
                </w:tcPr>
                <w:p>
                  <w:pPr>
                    <w:pStyle w:val="47"/>
                    <w:rPr>
                      <w:szCs w:val="21"/>
                    </w:rPr>
                  </w:pPr>
                  <w:r>
                    <w:rPr>
                      <w:szCs w:val="21"/>
                    </w:rPr>
                    <w:t>固态</w:t>
                  </w:r>
                </w:p>
              </w:tc>
              <w:tc>
                <w:tcPr>
                  <w:tcW w:w="540" w:type="pct"/>
                  <w:vAlign w:val="center"/>
                </w:tcPr>
                <w:p>
                  <w:pPr>
                    <w:pStyle w:val="47"/>
                    <w:rPr>
                      <w:szCs w:val="21"/>
                    </w:rPr>
                  </w:pPr>
                  <w:r>
                    <w:rPr>
                      <w:rFonts w:hint="eastAsia"/>
                      <w:szCs w:val="21"/>
                    </w:rPr>
                    <w:t>绝缘漆残渣</w:t>
                  </w:r>
                </w:p>
              </w:tc>
              <w:tc>
                <w:tcPr>
                  <w:tcW w:w="474" w:type="pct"/>
                  <w:vAlign w:val="center"/>
                </w:tcPr>
                <w:p>
                  <w:pPr>
                    <w:pStyle w:val="47"/>
                    <w:rPr>
                      <w:szCs w:val="21"/>
                    </w:rPr>
                  </w:pPr>
                  <w:r>
                    <w:rPr>
                      <w:rFonts w:hint="eastAsia"/>
                      <w:szCs w:val="21"/>
                    </w:rPr>
                    <w:t>绝缘漆</w:t>
                  </w:r>
                </w:p>
              </w:tc>
              <w:tc>
                <w:tcPr>
                  <w:tcW w:w="396" w:type="pct"/>
                  <w:vAlign w:val="center"/>
                </w:tcPr>
                <w:p>
                  <w:pPr>
                    <w:pStyle w:val="47"/>
                    <w:rPr>
                      <w:szCs w:val="21"/>
                    </w:rPr>
                  </w:pPr>
                  <w:r>
                    <w:rPr>
                      <w:rFonts w:hint="eastAsia"/>
                      <w:szCs w:val="21"/>
                    </w:rPr>
                    <w:t>每月</w:t>
                  </w:r>
                </w:p>
              </w:tc>
              <w:tc>
                <w:tcPr>
                  <w:tcW w:w="386" w:type="pct"/>
                  <w:vAlign w:val="center"/>
                </w:tcPr>
                <w:p>
                  <w:pPr>
                    <w:pStyle w:val="47"/>
                    <w:rPr>
                      <w:szCs w:val="21"/>
                    </w:rPr>
                  </w:pPr>
                  <w:r>
                    <w:rPr>
                      <w:rFonts w:hint="eastAsia"/>
                      <w:szCs w:val="21"/>
                    </w:rPr>
                    <w:t>T,I</w:t>
                  </w:r>
                </w:p>
              </w:tc>
              <w:tc>
                <w:tcPr>
                  <w:tcW w:w="456" w:type="pct"/>
                  <w:vMerge w:val="continue"/>
                  <w:vAlign w:val="center"/>
                </w:tcPr>
                <w:p>
                  <w:pPr>
                    <w:pStyle w:val="47"/>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Align w:val="center"/>
                </w:tcPr>
                <w:p>
                  <w:pPr>
                    <w:pStyle w:val="47"/>
                    <w:rPr>
                      <w:szCs w:val="21"/>
                    </w:rPr>
                  </w:pPr>
                  <w:r>
                    <w:rPr>
                      <w:rFonts w:hint="eastAsia"/>
                      <w:szCs w:val="21"/>
                    </w:rPr>
                    <w:t>3</w:t>
                  </w:r>
                </w:p>
              </w:tc>
              <w:tc>
                <w:tcPr>
                  <w:tcW w:w="563" w:type="pct"/>
                  <w:vAlign w:val="center"/>
                </w:tcPr>
                <w:p>
                  <w:pPr>
                    <w:pStyle w:val="47"/>
                    <w:rPr>
                      <w:szCs w:val="21"/>
                    </w:rPr>
                  </w:pPr>
                  <w:r>
                    <w:rPr>
                      <w:szCs w:val="21"/>
                    </w:rPr>
                    <w:t>废包装桶</w:t>
                  </w:r>
                </w:p>
              </w:tc>
              <w:tc>
                <w:tcPr>
                  <w:tcW w:w="367" w:type="pct"/>
                  <w:vAlign w:val="center"/>
                </w:tcPr>
                <w:p>
                  <w:pPr>
                    <w:pStyle w:val="47"/>
                    <w:rPr>
                      <w:szCs w:val="21"/>
                    </w:rPr>
                  </w:pPr>
                  <w:r>
                    <w:rPr>
                      <w:rFonts w:hint="eastAsia"/>
                      <w:szCs w:val="21"/>
                    </w:rPr>
                    <w:t>HW49</w:t>
                  </w:r>
                </w:p>
              </w:tc>
              <w:tc>
                <w:tcPr>
                  <w:tcW w:w="483" w:type="pct"/>
                  <w:vAlign w:val="center"/>
                </w:tcPr>
                <w:p>
                  <w:pPr>
                    <w:pStyle w:val="47"/>
                    <w:rPr>
                      <w:szCs w:val="21"/>
                    </w:rPr>
                  </w:pPr>
                  <w:r>
                    <w:rPr>
                      <w:rFonts w:hint="eastAsia"/>
                      <w:szCs w:val="21"/>
                    </w:rPr>
                    <w:t>900-041-49</w:t>
                  </w:r>
                </w:p>
              </w:tc>
              <w:tc>
                <w:tcPr>
                  <w:tcW w:w="318" w:type="pct"/>
                  <w:vAlign w:val="center"/>
                </w:tcPr>
                <w:p>
                  <w:pPr>
                    <w:pStyle w:val="47"/>
                    <w:rPr>
                      <w:szCs w:val="21"/>
                    </w:rPr>
                  </w:pPr>
                  <w:r>
                    <w:rPr>
                      <w:szCs w:val="21"/>
                    </w:rPr>
                    <w:t>0.</w:t>
                  </w:r>
                  <w:r>
                    <w:rPr>
                      <w:rFonts w:hint="eastAsia"/>
                      <w:szCs w:val="21"/>
                    </w:rPr>
                    <w:t>3</w:t>
                  </w:r>
                </w:p>
              </w:tc>
              <w:tc>
                <w:tcPr>
                  <w:tcW w:w="516" w:type="pct"/>
                  <w:vAlign w:val="center"/>
                </w:tcPr>
                <w:p>
                  <w:pPr>
                    <w:pStyle w:val="47"/>
                    <w:rPr>
                      <w:szCs w:val="21"/>
                    </w:rPr>
                  </w:pPr>
                  <w:r>
                    <w:rPr>
                      <w:szCs w:val="21"/>
                    </w:rPr>
                    <w:t>乳化液</w:t>
                  </w:r>
                  <w:r>
                    <w:rPr>
                      <w:rFonts w:hint="eastAsia"/>
                      <w:szCs w:val="21"/>
                    </w:rPr>
                    <w:t>、绝缘漆</w:t>
                  </w:r>
                  <w:r>
                    <w:rPr>
                      <w:szCs w:val="21"/>
                    </w:rPr>
                    <w:t>使用</w:t>
                  </w:r>
                </w:p>
              </w:tc>
              <w:tc>
                <w:tcPr>
                  <w:tcW w:w="257" w:type="pct"/>
                  <w:vAlign w:val="center"/>
                </w:tcPr>
                <w:p>
                  <w:pPr>
                    <w:pStyle w:val="47"/>
                    <w:rPr>
                      <w:szCs w:val="21"/>
                    </w:rPr>
                  </w:pPr>
                  <w:r>
                    <w:rPr>
                      <w:szCs w:val="21"/>
                    </w:rPr>
                    <w:t>固态</w:t>
                  </w:r>
                </w:p>
              </w:tc>
              <w:tc>
                <w:tcPr>
                  <w:tcW w:w="540" w:type="pct"/>
                  <w:vAlign w:val="center"/>
                </w:tcPr>
                <w:p>
                  <w:pPr>
                    <w:pStyle w:val="47"/>
                    <w:rPr>
                      <w:szCs w:val="21"/>
                    </w:rPr>
                  </w:pPr>
                  <w:r>
                    <w:rPr>
                      <w:rFonts w:hint="eastAsia"/>
                      <w:szCs w:val="21"/>
                    </w:rPr>
                    <w:t>乳化液、绝缘漆、废包装桶</w:t>
                  </w:r>
                </w:p>
              </w:tc>
              <w:tc>
                <w:tcPr>
                  <w:tcW w:w="474" w:type="pct"/>
                  <w:vAlign w:val="center"/>
                </w:tcPr>
                <w:p>
                  <w:pPr>
                    <w:pStyle w:val="47"/>
                    <w:rPr>
                      <w:szCs w:val="21"/>
                    </w:rPr>
                  </w:pPr>
                  <w:r>
                    <w:rPr>
                      <w:rFonts w:hint="eastAsia"/>
                      <w:szCs w:val="21"/>
                    </w:rPr>
                    <w:t>乳化液、绝缘漆</w:t>
                  </w:r>
                </w:p>
              </w:tc>
              <w:tc>
                <w:tcPr>
                  <w:tcW w:w="396" w:type="pct"/>
                  <w:vAlign w:val="center"/>
                </w:tcPr>
                <w:p>
                  <w:pPr>
                    <w:pStyle w:val="47"/>
                    <w:rPr>
                      <w:szCs w:val="21"/>
                    </w:rPr>
                  </w:pPr>
                  <w:r>
                    <w:rPr>
                      <w:rFonts w:hint="eastAsia"/>
                      <w:szCs w:val="21"/>
                    </w:rPr>
                    <w:t>每月</w:t>
                  </w:r>
                </w:p>
              </w:tc>
              <w:tc>
                <w:tcPr>
                  <w:tcW w:w="386" w:type="pct"/>
                  <w:vAlign w:val="center"/>
                </w:tcPr>
                <w:p>
                  <w:pPr>
                    <w:pStyle w:val="47"/>
                    <w:rPr>
                      <w:szCs w:val="21"/>
                    </w:rPr>
                  </w:pPr>
                  <w:r>
                    <w:rPr>
                      <w:rFonts w:hint="eastAsia"/>
                      <w:szCs w:val="21"/>
                    </w:rPr>
                    <w:t>T/In</w:t>
                  </w:r>
                </w:p>
              </w:tc>
              <w:tc>
                <w:tcPr>
                  <w:tcW w:w="456" w:type="pct"/>
                  <w:vMerge w:val="continue"/>
                  <w:vAlign w:val="center"/>
                </w:tcPr>
                <w:p>
                  <w:pPr>
                    <w:pStyle w:val="47"/>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Align w:val="center"/>
                </w:tcPr>
                <w:p>
                  <w:pPr>
                    <w:pStyle w:val="47"/>
                    <w:rPr>
                      <w:szCs w:val="21"/>
                    </w:rPr>
                  </w:pPr>
                  <w:r>
                    <w:rPr>
                      <w:rFonts w:hint="eastAsia"/>
                      <w:szCs w:val="21"/>
                    </w:rPr>
                    <w:t>4</w:t>
                  </w:r>
                </w:p>
              </w:tc>
              <w:tc>
                <w:tcPr>
                  <w:tcW w:w="563" w:type="pct"/>
                  <w:vAlign w:val="center"/>
                </w:tcPr>
                <w:p>
                  <w:pPr>
                    <w:pStyle w:val="47"/>
                    <w:rPr>
                      <w:szCs w:val="21"/>
                    </w:rPr>
                  </w:pPr>
                  <w:r>
                    <w:rPr>
                      <w:rFonts w:hint="eastAsia"/>
                      <w:szCs w:val="21"/>
                    </w:rPr>
                    <w:t>废机油</w:t>
                  </w:r>
                </w:p>
              </w:tc>
              <w:tc>
                <w:tcPr>
                  <w:tcW w:w="367" w:type="pct"/>
                  <w:vAlign w:val="center"/>
                </w:tcPr>
                <w:p>
                  <w:pPr>
                    <w:pStyle w:val="47"/>
                    <w:rPr>
                      <w:szCs w:val="21"/>
                    </w:rPr>
                  </w:pPr>
                  <w:r>
                    <w:rPr>
                      <w:rFonts w:hint="eastAsia"/>
                      <w:szCs w:val="21"/>
                    </w:rPr>
                    <w:t>HW08</w:t>
                  </w:r>
                </w:p>
              </w:tc>
              <w:tc>
                <w:tcPr>
                  <w:tcW w:w="483" w:type="pct"/>
                  <w:vAlign w:val="center"/>
                </w:tcPr>
                <w:p>
                  <w:pPr>
                    <w:pStyle w:val="47"/>
                    <w:rPr>
                      <w:szCs w:val="21"/>
                    </w:rPr>
                  </w:pPr>
                  <w:r>
                    <w:rPr>
                      <w:rFonts w:hint="eastAsia"/>
                      <w:szCs w:val="21"/>
                    </w:rPr>
                    <w:t>900-214-08</w:t>
                  </w:r>
                </w:p>
              </w:tc>
              <w:tc>
                <w:tcPr>
                  <w:tcW w:w="318" w:type="pct"/>
                  <w:vAlign w:val="center"/>
                </w:tcPr>
                <w:p>
                  <w:pPr>
                    <w:pStyle w:val="47"/>
                    <w:rPr>
                      <w:szCs w:val="21"/>
                    </w:rPr>
                  </w:pPr>
                  <w:r>
                    <w:rPr>
                      <w:rFonts w:hint="eastAsia"/>
                      <w:szCs w:val="21"/>
                    </w:rPr>
                    <w:t>0.02</w:t>
                  </w:r>
                </w:p>
              </w:tc>
              <w:tc>
                <w:tcPr>
                  <w:tcW w:w="516" w:type="pct"/>
                  <w:vAlign w:val="center"/>
                </w:tcPr>
                <w:p>
                  <w:pPr>
                    <w:pStyle w:val="47"/>
                    <w:rPr>
                      <w:szCs w:val="21"/>
                    </w:rPr>
                  </w:pPr>
                  <w:r>
                    <w:rPr>
                      <w:rFonts w:hint="eastAsia"/>
                      <w:szCs w:val="21"/>
                    </w:rPr>
                    <w:t>设备保养</w:t>
                  </w:r>
                </w:p>
              </w:tc>
              <w:tc>
                <w:tcPr>
                  <w:tcW w:w="257" w:type="pct"/>
                  <w:vAlign w:val="center"/>
                </w:tcPr>
                <w:p>
                  <w:pPr>
                    <w:pStyle w:val="47"/>
                    <w:rPr>
                      <w:szCs w:val="21"/>
                    </w:rPr>
                  </w:pPr>
                  <w:r>
                    <w:rPr>
                      <w:szCs w:val="21"/>
                    </w:rPr>
                    <w:t>液态</w:t>
                  </w:r>
                </w:p>
              </w:tc>
              <w:tc>
                <w:tcPr>
                  <w:tcW w:w="540" w:type="pct"/>
                  <w:vAlign w:val="center"/>
                </w:tcPr>
                <w:p>
                  <w:pPr>
                    <w:pStyle w:val="47"/>
                    <w:rPr>
                      <w:szCs w:val="21"/>
                    </w:rPr>
                  </w:pPr>
                  <w:r>
                    <w:rPr>
                      <w:rFonts w:hint="eastAsia"/>
                      <w:szCs w:val="21"/>
                    </w:rPr>
                    <w:t>机油</w:t>
                  </w:r>
                </w:p>
              </w:tc>
              <w:tc>
                <w:tcPr>
                  <w:tcW w:w="474" w:type="pct"/>
                  <w:vAlign w:val="center"/>
                </w:tcPr>
                <w:p>
                  <w:pPr>
                    <w:pStyle w:val="47"/>
                    <w:rPr>
                      <w:szCs w:val="21"/>
                    </w:rPr>
                  </w:pPr>
                  <w:r>
                    <w:rPr>
                      <w:rFonts w:hint="eastAsia"/>
                      <w:szCs w:val="21"/>
                    </w:rPr>
                    <w:t>机油</w:t>
                  </w:r>
                </w:p>
              </w:tc>
              <w:tc>
                <w:tcPr>
                  <w:tcW w:w="396" w:type="pct"/>
                  <w:vAlign w:val="center"/>
                </w:tcPr>
                <w:p>
                  <w:pPr>
                    <w:pStyle w:val="47"/>
                    <w:rPr>
                      <w:szCs w:val="21"/>
                    </w:rPr>
                  </w:pPr>
                  <w:r>
                    <w:rPr>
                      <w:rFonts w:hint="eastAsia"/>
                      <w:szCs w:val="21"/>
                    </w:rPr>
                    <w:t>每年</w:t>
                  </w:r>
                </w:p>
              </w:tc>
              <w:tc>
                <w:tcPr>
                  <w:tcW w:w="386" w:type="pct"/>
                  <w:vAlign w:val="center"/>
                </w:tcPr>
                <w:p>
                  <w:pPr>
                    <w:pStyle w:val="47"/>
                    <w:rPr>
                      <w:szCs w:val="21"/>
                    </w:rPr>
                  </w:pPr>
                  <w:r>
                    <w:rPr>
                      <w:rFonts w:hint="eastAsia"/>
                      <w:szCs w:val="21"/>
                    </w:rPr>
                    <w:t>T/I</w:t>
                  </w:r>
                </w:p>
              </w:tc>
              <w:tc>
                <w:tcPr>
                  <w:tcW w:w="456" w:type="pct"/>
                  <w:vMerge w:val="continue"/>
                  <w:vAlign w:val="center"/>
                </w:tcPr>
                <w:p>
                  <w:pPr>
                    <w:pStyle w:val="47"/>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Align w:val="center"/>
                </w:tcPr>
                <w:p>
                  <w:pPr>
                    <w:pStyle w:val="47"/>
                    <w:rPr>
                      <w:szCs w:val="21"/>
                    </w:rPr>
                  </w:pPr>
                  <w:r>
                    <w:rPr>
                      <w:rFonts w:hint="eastAsia"/>
                      <w:szCs w:val="21"/>
                    </w:rPr>
                    <w:t>5</w:t>
                  </w:r>
                </w:p>
              </w:tc>
              <w:tc>
                <w:tcPr>
                  <w:tcW w:w="563" w:type="pct"/>
                  <w:vAlign w:val="center"/>
                </w:tcPr>
                <w:p>
                  <w:pPr>
                    <w:pStyle w:val="47"/>
                    <w:rPr>
                      <w:szCs w:val="21"/>
                    </w:rPr>
                  </w:pPr>
                  <w:r>
                    <w:rPr>
                      <w:rFonts w:hint="eastAsia"/>
                      <w:szCs w:val="21"/>
                    </w:rPr>
                    <w:t>废油桶</w:t>
                  </w:r>
                </w:p>
              </w:tc>
              <w:tc>
                <w:tcPr>
                  <w:tcW w:w="367" w:type="pct"/>
                  <w:vAlign w:val="center"/>
                </w:tcPr>
                <w:p>
                  <w:pPr>
                    <w:pStyle w:val="47"/>
                    <w:rPr>
                      <w:szCs w:val="21"/>
                    </w:rPr>
                  </w:pPr>
                  <w:r>
                    <w:rPr>
                      <w:rFonts w:hint="eastAsia"/>
                      <w:szCs w:val="21"/>
                    </w:rPr>
                    <w:t>HW08</w:t>
                  </w:r>
                </w:p>
              </w:tc>
              <w:tc>
                <w:tcPr>
                  <w:tcW w:w="483" w:type="pct"/>
                  <w:vAlign w:val="center"/>
                </w:tcPr>
                <w:p>
                  <w:pPr>
                    <w:pStyle w:val="47"/>
                    <w:rPr>
                      <w:szCs w:val="21"/>
                    </w:rPr>
                  </w:pPr>
                  <w:r>
                    <w:rPr>
                      <w:rFonts w:hint="eastAsia"/>
                      <w:szCs w:val="21"/>
                    </w:rPr>
                    <w:t>900-249-08</w:t>
                  </w:r>
                </w:p>
              </w:tc>
              <w:tc>
                <w:tcPr>
                  <w:tcW w:w="318" w:type="pct"/>
                  <w:vAlign w:val="center"/>
                </w:tcPr>
                <w:p>
                  <w:pPr>
                    <w:pStyle w:val="47"/>
                    <w:rPr>
                      <w:szCs w:val="21"/>
                    </w:rPr>
                  </w:pPr>
                  <w:r>
                    <w:rPr>
                      <w:szCs w:val="21"/>
                    </w:rPr>
                    <w:t>0.</w:t>
                  </w:r>
                  <w:r>
                    <w:rPr>
                      <w:rFonts w:hint="eastAsia"/>
                      <w:szCs w:val="21"/>
                    </w:rPr>
                    <w:t>004</w:t>
                  </w:r>
                </w:p>
              </w:tc>
              <w:tc>
                <w:tcPr>
                  <w:tcW w:w="516" w:type="pct"/>
                  <w:vAlign w:val="center"/>
                </w:tcPr>
                <w:p>
                  <w:pPr>
                    <w:pStyle w:val="47"/>
                    <w:rPr>
                      <w:szCs w:val="21"/>
                    </w:rPr>
                  </w:pPr>
                  <w:r>
                    <w:rPr>
                      <w:szCs w:val="21"/>
                    </w:rPr>
                    <w:t>机油</w:t>
                  </w:r>
                  <w:r>
                    <w:rPr>
                      <w:rFonts w:hint="eastAsia"/>
                      <w:szCs w:val="21"/>
                    </w:rPr>
                    <w:t>、液压油</w:t>
                  </w:r>
                  <w:r>
                    <w:rPr>
                      <w:szCs w:val="21"/>
                    </w:rPr>
                    <w:t>使用</w:t>
                  </w:r>
                </w:p>
              </w:tc>
              <w:tc>
                <w:tcPr>
                  <w:tcW w:w="257" w:type="pct"/>
                  <w:vAlign w:val="center"/>
                </w:tcPr>
                <w:p>
                  <w:pPr>
                    <w:pStyle w:val="47"/>
                    <w:rPr>
                      <w:szCs w:val="21"/>
                    </w:rPr>
                  </w:pPr>
                  <w:r>
                    <w:rPr>
                      <w:szCs w:val="21"/>
                    </w:rPr>
                    <w:t>固态</w:t>
                  </w:r>
                </w:p>
              </w:tc>
              <w:tc>
                <w:tcPr>
                  <w:tcW w:w="540" w:type="pct"/>
                  <w:vAlign w:val="center"/>
                </w:tcPr>
                <w:p>
                  <w:pPr>
                    <w:pStyle w:val="47"/>
                    <w:rPr>
                      <w:szCs w:val="21"/>
                    </w:rPr>
                  </w:pPr>
                  <w:r>
                    <w:rPr>
                      <w:szCs w:val="21"/>
                    </w:rPr>
                    <w:t>机油</w:t>
                  </w:r>
                  <w:r>
                    <w:rPr>
                      <w:rFonts w:hint="eastAsia"/>
                      <w:szCs w:val="21"/>
                    </w:rPr>
                    <w:t>、液压油、废包装桶</w:t>
                  </w:r>
                </w:p>
              </w:tc>
              <w:tc>
                <w:tcPr>
                  <w:tcW w:w="474" w:type="pct"/>
                  <w:vAlign w:val="center"/>
                </w:tcPr>
                <w:p>
                  <w:pPr>
                    <w:pStyle w:val="47"/>
                    <w:rPr>
                      <w:szCs w:val="21"/>
                    </w:rPr>
                  </w:pPr>
                  <w:r>
                    <w:rPr>
                      <w:szCs w:val="21"/>
                    </w:rPr>
                    <w:t>机油</w:t>
                  </w:r>
                  <w:r>
                    <w:rPr>
                      <w:rFonts w:hint="eastAsia"/>
                      <w:szCs w:val="21"/>
                    </w:rPr>
                    <w:t>、液压油</w:t>
                  </w:r>
                </w:p>
              </w:tc>
              <w:tc>
                <w:tcPr>
                  <w:tcW w:w="396" w:type="pct"/>
                  <w:vAlign w:val="center"/>
                </w:tcPr>
                <w:p>
                  <w:pPr>
                    <w:pStyle w:val="47"/>
                    <w:rPr>
                      <w:szCs w:val="21"/>
                    </w:rPr>
                  </w:pPr>
                  <w:r>
                    <w:rPr>
                      <w:rFonts w:hint="eastAsia"/>
                      <w:szCs w:val="21"/>
                    </w:rPr>
                    <w:t>每年</w:t>
                  </w:r>
                </w:p>
              </w:tc>
              <w:tc>
                <w:tcPr>
                  <w:tcW w:w="386" w:type="pct"/>
                  <w:vAlign w:val="center"/>
                </w:tcPr>
                <w:p>
                  <w:pPr>
                    <w:pStyle w:val="47"/>
                    <w:rPr>
                      <w:szCs w:val="21"/>
                    </w:rPr>
                  </w:pPr>
                  <w:r>
                    <w:rPr>
                      <w:rFonts w:hint="eastAsia"/>
                      <w:szCs w:val="21"/>
                    </w:rPr>
                    <w:t>T/I</w:t>
                  </w:r>
                </w:p>
              </w:tc>
              <w:tc>
                <w:tcPr>
                  <w:tcW w:w="456" w:type="pct"/>
                  <w:vMerge w:val="continue"/>
                  <w:vAlign w:val="center"/>
                </w:tcPr>
                <w:p>
                  <w:pPr>
                    <w:pStyle w:val="47"/>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Align w:val="center"/>
                </w:tcPr>
                <w:p>
                  <w:pPr>
                    <w:pStyle w:val="47"/>
                    <w:rPr>
                      <w:szCs w:val="21"/>
                    </w:rPr>
                  </w:pPr>
                  <w:r>
                    <w:rPr>
                      <w:rFonts w:hint="eastAsia"/>
                      <w:szCs w:val="21"/>
                    </w:rPr>
                    <w:t>6</w:t>
                  </w:r>
                </w:p>
              </w:tc>
              <w:tc>
                <w:tcPr>
                  <w:tcW w:w="563" w:type="pct"/>
                  <w:vAlign w:val="center"/>
                </w:tcPr>
                <w:p>
                  <w:pPr>
                    <w:pStyle w:val="47"/>
                    <w:rPr>
                      <w:szCs w:val="21"/>
                    </w:rPr>
                  </w:pPr>
                  <w:r>
                    <w:rPr>
                      <w:szCs w:val="21"/>
                    </w:rPr>
                    <w:t>废活性炭</w:t>
                  </w:r>
                </w:p>
              </w:tc>
              <w:tc>
                <w:tcPr>
                  <w:tcW w:w="367" w:type="pct"/>
                  <w:vAlign w:val="center"/>
                </w:tcPr>
                <w:p>
                  <w:pPr>
                    <w:pStyle w:val="47"/>
                    <w:rPr>
                      <w:szCs w:val="21"/>
                    </w:rPr>
                  </w:pPr>
                  <w:r>
                    <w:rPr>
                      <w:rFonts w:hint="eastAsia"/>
                      <w:szCs w:val="21"/>
                    </w:rPr>
                    <w:t>HW49</w:t>
                  </w:r>
                </w:p>
              </w:tc>
              <w:tc>
                <w:tcPr>
                  <w:tcW w:w="483" w:type="pct"/>
                  <w:vAlign w:val="center"/>
                </w:tcPr>
                <w:p>
                  <w:pPr>
                    <w:pStyle w:val="47"/>
                    <w:rPr>
                      <w:szCs w:val="21"/>
                    </w:rPr>
                  </w:pPr>
                  <w:r>
                    <w:rPr>
                      <w:rFonts w:hint="eastAsia"/>
                      <w:szCs w:val="21"/>
                    </w:rPr>
                    <w:t>900-039-49</w:t>
                  </w:r>
                </w:p>
              </w:tc>
              <w:tc>
                <w:tcPr>
                  <w:tcW w:w="318" w:type="pct"/>
                  <w:vAlign w:val="center"/>
                </w:tcPr>
                <w:p>
                  <w:pPr>
                    <w:pStyle w:val="47"/>
                    <w:rPr>
                      <w:szCs w:val="21"/>
                    </w:rPr>
                  </w:pPr>
                  <w:r>
                    <w:rPr>
                      <w:rFonts w:hint="eastAsia"/>
                      <w:szCs w:val="21"/>
                    </w:rPr>
                    <w:t>3.173</w:t>
                  </w:r>
                </w:p>
              </w:tc>
              <w:tc>
                <w:tcPr>
                  <w:tcW w:w="516" w:type="pct"/>
                  <w:vAlign w:val="center"/>
                </w:tcPr>
                <w:p>
                  <w:pPr>
                    <w:pStyle w:val="47"/>
                    <w:rPr>
                      <w:szCs w:val="21"/>
                    </w:rPr>
                  </w:pPr>
                  <w:r>
                    <w:rPr>
                      <w:szCs w:val="21"/>
                    </w:rPr>
                    <w:t>废气处理</w:t>
                  </w:r>
                </w:p>
              </w:tc>
              <w:tc>
                <w:tcPr>
                  <w:tcW w:w="257" w:type="pct"/>
                  <w:vAlign w:val="center"/>
                </w:tcPr>
                <w:p>
                  <w:pPr>
                    <w:pStyle w:val="47"/>
                    <w:rPr>
                      <w:szCs w:val="21"/>
                    </w:rPr>
                  </w:pPr>
                  <w:r>
                    <w:rPr>
                      <w:szCs w:val="21"/>
                    </w:rPr>
                    <w:t>固态</w:t>
                  </w:r>
                </w:p>
              </w:tc>
              <w:tc>
                <w:tcPr>
                  <w:tcW w:w="540" w:type="pct"/>
                  <w:vAlign w:val="center"/>
                </w:tcPr>
                <w:p>
                  <w:pPr>
                    <w:pStyle w:val="47"/>
                    <w:rPr>
                      <w:szCs w:val="21"/>
                    </w:rPr>
                  </w:pPr>
                  <w:r>
                    <w:rPr>
                      <w:szCs w:val="21"/>
                    </w:rPr>
                    <w:t>活性炭、有机废气</w:t>
                  </w:r>
                </w:p>
              </w:tc>
              <w:tc>
                <w:tcPr>
                  <w:tcW w:w="474" w:type="pct"/>
                  <w:vAlign w:val="center"/>
                </w:tcPr>
                <w:p>
                  <w:pPr>
                    <w:pStyle w:val="47"/>
                    <w:rPr>
                      <w:szCs w:val="21"/>
                    </w:rPr>
                  </w:pPr>
                  <w:r>
                    <w:rPr>
                      <w:szCs w:val="21"/>
                    </w:rPr>
                    <w:t>有机废气</w:t>
                  </w:r>
                </w:p>
              </w:tc>
              <w:tc>
                <w:tcPr>
                  <w:tcW w:w="396" w:type="pct"/>
                  <w:vAlign w:val="center"/>
                </w:tcPr>
                <w:p>
                  <w:pPr>
                    <w:pStyle w:val="47"/>
                    <w:rPr>
                      <w:szCs w:val="21"/>
                    </w:rPr>
                  </w:pPr>
                  <w:r>
                    <w:rPr>
                      <w:rFonts w:hint="eastAsia"/>
                      <w:szCs w:val="21"/>
                    </w:rPr>
                    <w:t>每季</w:t>
                  </w:r>
                </w:p>
              </w:tc>
              <w:tc>
                <w:tcPr>
                  <w:tcW w:w="386" w:type="pct"/>
                  <w:vAlign w:val="center"/>
                </w:tcPr>
                <w:p>
                  <w:pPr>
                    <w:pStyle w:val="47"/>
                    <w:rPr>
                      <w:szCs w:val="21"/>
                    </w:rPr>
                  </w:pPr>
                  <w:r>
                    <w:rPr>
                      <w:rFonts w:hint="eastAsia"/>
                      <w:szCs w:val="21"/>
                    </w:rPr>
                    <w:t>T/In</w:t>
                  </w:r>
                </w:p>
              </w:tc>
              <w:tc>
                <w:tcPr>
                  <w:tcW w:w="456" w:type="pct"/>
                  <w:vMerge w:val="continue"/>
                  <w:vAlign w:val="center"/>
                </w:tcPr>
                <w:p>
                  <w:pPr>
                    <w:pStyle w:val="47"/>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Align w:val="center"/>
                </w:tcPr>
                <w:p>
                  <w:pPr>
                    <w:pStyle w:val="47"/>
                    <w:rPr>
                      <w:szCs w:val="21"/>
                    </w:rPr>
                  </w:pPr>
                  <w:r>
                    <w:rPr>
                      <w:rFonts w:hint="eastAsia"/>
                      <w:szCs w:val="21"/>
                    </w:rPr>
                    <w:t>7</w:t>
                  </w:r>
                </w:p>
              </w:tc>
              <w:tc>
                <w:tcPr>
                  <w:tcW w:w="563" w:type="pct"/>
                  <w:vAlign w:val="center"/>
                </w:tcPr>
                <w:p>
                  <w:pPr>
                    <w:pStyle w:val="47"/>
                    <w:rPr>
                      <w:szCs w:val="21"/>
                    </w:rPr>
                  </w:pPr>
                  <w:r>
                    <w:rPr>
                      <w:rFonts w:hint="eastAsia"/>
                      <w:szCs w:val="21"/>
                    </w:rPr>
                    <w:t>含漆废抹布和手套</w:t>
                  </w:r>
                </w:p>
              </w:tc>
              <w:tc>
                <w:tcPr>
                  <w:tcW w:w="367" w:type="pct"/>
                  <w:vAlign w:val="center"/>
                </w:tcPr>
                <w:p>
                  <w:pPr>
                    <w:pStyle w:val="47"/>
                    <w:rPr>
                      <w:szCs w:val="21"/>
                    </w:rPr>
                  </w:pPr>
                  <w:r>
                    <w:rPr>
                      <w:rFonts w:hint="eastAsia"/>
                      <w:szCs w:val="21"/>
                    </w:rPr>
                    <w:t>HW49</w:t>
                  </w:r>
                </w:p>
              </w:tc>
              <w:tc>
                <w:tcPr>
                  <w:tcW w:w="483" w:type="pct"/>
                  <w:vAlign w:val="center"/>
                </w:tcPr>
                <w:p>
                  <w:pPr>
                    <w:pStyle w:val="47"/>
                    <w:rPr>
                      <w:szCs w:val="21"/>
                    </w:rPr>
                  </w:pPr>
                  <w:r>
                    <w:rPr>
                      <w:rFonts w:hint="eastAsia"/>
                      <w:szCs w:val="21"/>
                    </w:rPr>
                    <w:t>900-041-49</w:t>
                  </w:r>
                </w:p>
              </w:tc>
              <w:tc>
                <w:tcPr>
                  <w:tcW w:w="318" w:type="pct"/>
                  <w:vAlign w:val="center"/>
                </w:tcPr>
                <w:p>
                  <w:pPr>
                    <w:pStyle w:val="47"/>
                    <w:rPr>
                      <w:szCs w:val="21"/>
                    </w:rPr>
                  </w:pPr>
                  <w:r>
                    <w:rPr>
                      <w:rFonts w:hint="eastAsia"/>
                      <w:szCs w:val="21"/>
                    </w:rPr>
                    <w:t>0.01</w:t>
                  </w:r>
                </w:p>
              </w:tc>
              <w:tc>
                <w:tcPr>
                  <w:tcW w:w="516" w:type="pct"/>
                  <w:vAlign w:val="center"/>
                </w:tcPr>
                <w:p>
                  <w:pPr>
                    <w:pStyle w:val="47"/>
                    <w:rPr>
                      <w:szCs w:val="21"/>
                    </w:rPr>
                  </w:pPr>
                  <w:r>
                    <w:rPr>
                      <w:rFonts w:hint="eastAsia"/>
                      <w:szCs w:val="21"/>
                    </w:rPr>
                    <w:t>绝缘漆使用</w:t>
                  </w:r>
                </w:p>
              </w:tc>
              <w:tc>
                <w:tcPr>
                  <w:tcW w:w="257" w:type="pct"/>
                  <w:vAlign w:val="center"/>
                </w:tcPr>
                <w:p>
                  <w:pPr>
                    <w:pStyle w:val="47"/>
                    <w:rPr>
                      <w:szCs w:val="21"/>
                    </w:rPr>
                  </w:pPr>
                  <w:r>
                    <w:rPr>
                      <w:szCs w:val="21"/>
                    </w:rPr>
                    <w:t>固态</w:t>
                  </w:r>
                </w:p>
              </w:tc>
              <w:tc>
                <w:tcPr>
                  <w:tcW w:w="540" w:type="pct"/>
                  <w:vAlign w:val="center"/>
                </w:tcPr>
                <w:p>
                  <w:pPr>
                    <w:pStyle w:val="47"/>
                    <w:rPr>
                      <w:szCs w:val="21"/>
                    </w:rPr>
                  </w:pPr>
                  <w:r>
                    <w:rPr>
                      <w:szCs w:val="21"/>
                    </w:rPr>
                    <w:t>手套、抹布、</w:t>
                  </w:r>
                  <w:r>
                    <w:rPr>
                      <w:rFonts w:hint="eastAsia"/>
                      <w:szCs w:val="21"/>
                    </w:rPr>
                    <w:t>绝缘漆</w:t>
                  </w:r>
                </w:p>
              </w:tc>
              <w:tc>
                <w:tcPr>
                  <w:tcW w:w="474" w:type="pct"/>
                  <w:vAlign w:val="center"/>
                </w:tcPr>
                <w:p>
                  <w:pPr>
                    <w:pStyle w:val="47"/>
                    <w:rPr>
                      <w:szCs w:val="21"/>
                    </w:rPr>
                  </w:pPr>
                  <w:r>
                    <w:rPr>
                      <w:rFonts w:hint="eastAsia"/>
                      <w:szCs w:val="21"/>
                    </w:rPr>
                    <w:t>绝缘漆</w:t>
                  </w:r>
                </w:p>
              </w:tc>
              <w:tc>
                <w:tcPr>
                  <w:tcW w:w="396" w:type="pct"/>
                  <w:vAlign w:val="center"/>
                </w:tcPr>
                <w:p>
                  <w:pPr>
                    <w:pStyle w:val="47"/>
                    <w:rPr>
                      <w:szCs w:val="21"/>
                    </w:rPr>
                  </w:pPr>
                  <w:r>
                    <w:rPr>
                      <w:rFonts w:hint="eastAsia"/>
                      <w:szCs w:val="21"/>
                    </w:rPr>
                    <w:t>每月</w:t>
                  </w:r>
                </w:p>
              </w:tc>
              <w:tc>
                <w:tcPr>
                  <w:tcW w:w="386" w:type="pct"/>
                  <w:vAlign w:val="center"/>
                </w:tcPr>
                <w:p>
                  <w:pPr>
                    <w:pStyle w:val="47"/>
                    <w:rPr>
                      <w:szCs w:val="21"/>
                    </w:rPr>
                  </w:pPr>
                  <w:r>
                    <w:rPr>
                      <w:rFonts w:hint="eastAsia"/>
                      <w:szCs w:val="21"/>
                    </w:rPr>
                    <w:t>T/In</w:t>
                  </w:r>
                </w:p>
              </w:tc>
              <w:tc>
                <w:tcPr>
                  <w:tcW w:w="456" w:type="pct"/>
                  <w:vMerge w:val="continue"/>
                  <w:vAlign w:val="center"/>
                </w:tcPr>
                <w:p>
                  <w:pPr>
                    <w:pStyle w:val="47"/>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Align w:val="center"/>
                </w:tcPr>
                <w:p>
                  <w:pPr>
                    <w:pStyle w:val="47"/>
                    <w:rPr>
                      <w:szCs w:val="21"/>
                    </w:rPr>
                  </w:pPr>
                  <w:r>
                    <w:rPr>
                      <w:rFonts w:hint="eastAsia"/>
                      <w:szCs w:val="21"/>
                    </w:rPr>
                    <w:t>8</w:t>
                  </w:r>
                </w:p>
              </w:tc>
              <w:tc>
                <w:tcPr>
                  <w:tcW w:w="563" w:type="pct"/>
                  <w:vAlign w:val="center"/>
                </w:tcPr>
                <w:p>
                  <w:pPr>
                    <w:pStyle w:val="47"/>
                    <w:rPr>
                      <w:szCs w:val="21"/>
                    </w:rPr>
                  </w:pPr>
                  <w:r>
                    <w:rPr>
                      <w:rFonts w:hint="eastAsia"/>
                      <w:szCs w:val="21"/>
                    </w:rPr>
                    <w:t>含油废抹布和手套</w:t>
                  </w:r>
                </w:p>
              </w:tc>
              <w:tc>
                <w:tcPr>
                  <w:tcW w:w="367" w:type="pct"/>
                  <w:vAlign w:val="center"/>
                </w:tcPr>
                <w:p>
                  <w:pPr>
                    <w:pStyle w:val="47"/>
                    <w:rPr>
                      <w:szCs w:val="21"/>
                    </w:rPr>
                  </w:pPr>
                  <w:r>
                    <w:rPr>
                      <w:rFonts w:hint="eastAsia"/>
                      <w:szCs w:val="21"/>
                    </w:rPr>
                    <w:t>HW49</w:t>
                  </w:r>
                </w:p>
              </w:tc>
              <w:tc>
                <w:tcPr>
                  <w:tcW w:w="483" w:type="pct"/>
                  <w:vAlign w:val="center"/>
                </w:tcPr>
                <w:p>
                  <w:pPr>
                    <w:pStyle w:val="47"/>
                    <w:rPr>
                      <w:szCs w:val="21"/>
                    </w:rPr>
                  </w:pPr>
                  <w:r>
                    <w:rPr>
                      <w:rFonts w:hint="eastAsia"/>
                      <w:szCs w:val="21"/>
                    </w:rPr>
                    <w:t>900-041-49</w:t>
                  </w:r>
                </w:p>
              </w:tc>
              <w:tc>
                <w:tcPr>
                  <w:tcW w:w="318" w:type="pct"/>
                  <w:vAlign w:val="center"/>
                </w:tcPr>
                <w:p>
                  <w:pPr>
                    <w:pStyle w:val="47"/>
                    <w:rPr>
                      <w:szCs w:val="21"/>
                    </w:rPr>
                  </w:pPr>
                  <w:r>
                    <w:rPr>
                      <w:szCs w:val="21"/>
                    </w:rPr>
                    <w:t>0.</w:t>
                  </w:r>
                  <w:r>
                    <w:rPr>
                      <w:rFonts w:hint="eastAsia"/>
                      <w:szCs w:val="21"/>
                    </w:rPr>
                    <w:t>002</w:t>
                  </w:r>
                </w:p>
              </w:tc>
              <w:tc>
                <w:tcPr>
                  <w:tcW w:w="516" w:type="pct"/>
                  <w:vAlign w:val="center"/>
                </w:tcPr>
                <w:p>
                  <w:pPr>
                    <w:pStyle w:val="47"/>
                    <w:rPr>
                      <w:szCs w:val="21"/>
                    </w:rPr>
                  </w:pPr>
                  <w:r>
                    <w:rPr>
                      <w:rFonts w:hint="eastAsia"/>
                      <w:szCs w:val="21"/>
                    </w:rPr>
                    <w:t>设备保养</w:t>
                  </w:r>
                </w:p>
              </w:tc>
              <w:tc>
                <w:tcPr>
                  <w:tcW w:w="257" w:type="pct"/>
                  <w:vAlign w:val="center"/>
                </w:tcPr>
                <w:p>
                  <w:pPr>
                    <w:pStyle w:val="47"/>
                    <w:rPr>
                      <w:szCs w:val="21"/>
                    </w:rPr>
                  </w:pPr>
                  <w:r>
                    <w:rPr>
                      <w:szCs w:val="21"/>
                    </w:rPr>
                    <w:t>固态</w:t>
                  </w:r>
                </w:p>
              </w:tc>
              <w:tc>
                <w:tcPr>
                  <w:tcW w:w="540" w:type="pct"/>
                  <w:vAlign w:val="center"/>
                </w:tcPr>
                <w:p>
                  <w:pPr>
                    <w:pStyle w:val="47"/>
                    <w:rPr>
                      <w:szCs w:val="21"/>
                    </w:rPr>
                  </w:pPr>
                  <w:r>
                    <w:rPr>
                      <w:szCs w:val="21"/>
                    </w:rPr>
                    <w:t>手套、抹布、机油</w:t>
                  </w:r>
                  <w:r>
                    <w:rPr>
                      <w:rFonts w:hint="eastAsia"/>
                      <w:szCs w:val="21"/>
                    </w:rPr>
                    <w:t>、液压油</w:t>
                  </w:r>
                </w:p>
              </w:tc>
              <w:tc>
                <w:tcPr>
                  <w:tcW w:w="474" w:type="pct"/>
                  <w:vAlign w:val="center"/>
                </w:tcPr>
                <w:p>
                  <w:pPr>
                    <w:pStyle w:val="47"/>
                    <w:rPr>
                      <w:szCs w:val="21"/>
                    </w:rPr>
                  </w:pPr>
                  <w:r>
                    <w:rPr>
                      <w:szCs w:val="21"/>
                    </w:rPr>
                    <w:t>机油</w:t>
                  </w:r>
                  <w:r>
                    <w:rPr>
                      <w:rFonts w:hint="eastAsia"/>
                      <w:szCs w:val="21"/>
                    </w:rPr>
                    <w:t>、液压油</w:t>
                  </w:r>
                </w:p>
              </w:tc>
              <w:tc>
                <w:tcPr>
                  <w:tcW w:w="396" w:type="pct"/>
                  <w:vAlign w:val="center"/>
                </w:tcPr>
                <w:p>
                  <w:pPr>
                    <w:pStyle w:val="47"/>
                    <w:rPr>
                      <w:szCs w:val="21"/>
                    </w:rPr>
                  </w:pPr>
                  <w:r>
                    <w:rPr>
                      <w:rFonts w:hint="eastAsia"/>
                      <w:szCs w:val="21"/>
                    </w:rPr>
                    <w:t>每年</w:t>
                  </w:r>
                </w:p>
              </w:tc>
              <w:tc>
                <w:tcPr>
                  <w:tcW w:w="386" w:type="pct"/>
                  <w:vAlign w:val="center"/>
                </w:tcPr>
                <w:p>
                  <w:pPr>
                    <w:pStyle w:val="47"/>
                    <w:rPr>
                      <w:szCs w:val="21"/>
                    </w:rPr>
                  </w:pPr>
                  <w:r>
                    <w:rPr>
                      <w:rFonts w:hint="eastAsia"/>
                      <w:szCs w:val="21"/>
                    </w:rPr>
                    <w:t>T/In</w:t>
                  </w:r>
                </w:p>
              </w:tc>
              <w:tc>
                <w:tcPr>
                  <w:tcW w:w="456" w:type="pct"/>
                  <w:vAlign w:val="center"/>
                </w:tcPr>
                <w:p>
                  <w:pPr>
                    <w:pStyle w:val="47"/>
                    <w:rPr>
                      <w:szCs w:val="21"/>
                    </w:rPr>
                  </w:pPr>
                  <w:r>
                    <w:rPr>
                      <w:szCs w:val="21"/>
                    </w:rPr>
                    <w:t>环卫部门清运</w:t>
                  </w:r>
                </w:p>
              </w:tc>
            </w:tr>
          </w:tbl>
          <w:p>
            <w:pPr>
              <w:pStyle w:val="46"/>
            </w:pPr>
            <w:r>
              <w:rPr>
                <w:rFonts w:hint="eastAsia"/>
              </w:rPr>
              <w:t>表7-20  建设项目危险废物贮存场所（设施）基本情况表</w:t>
            </w:r>
          </w:p>
          <w:tbl>
            <w:tblPr>
              <w:tblStyle w:val="34"/>
              <w:tblW w:w="86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
              <w:gridCol w:w="918"/>
              <w:gridCol w:w="1552"/>
              <w:gridCol w:w="851"/>
              <w:gridCol w:w="1276"/>
              <w:gridCol w:w="425"/>
              <w:gridCol w:w="709"/>
              <w:gridCol w:w="850"/>
              <w:gridCol w:w="992"/>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6" w:type="dxa"/>
                  <w:vAlign w:val="center"/>
                </w:tcPr>
                <w:p>
                  <w:pPr>
                    <w:pStyle w:val="46"/>
                  </w:pPr>
                  <w:r>
                    <w:t>序号</w:t>
                  </w:r>
                </w:p>
              </w:tc>
              <w:tc>
                <w:tcPr>
                  <w:tcW w:w="918" w:type="dxa"/>
                  <w:vAlign w:val="center"/>
                </w:tcPr>
                <w:p>
                  <w:pPr>
                    <w:pStyle w:val="46"/>
                  </w:pPr>
                  <w:r>
                    <w:t>贮存场所名称</w:t>
                  </w:r>
                </w:p>
              </w:tc>
              <w:tc>
                <w:tcPr>
                  <w:tcW w:w="1552" w:type="dxa"/>
                  <w:vAlign w:val="center"/>
                </w:tcPr>
                <w:p>
                  <w:pPr>
                    <w:pStyle w:val="46"/>
                  </w:pPr>
                  <w:r>
                    <w:t>危险废物名称</w:t>
                  </w:r>
                </w:p>
              </w:tc>
              <w:tc>
                <w:tcPr>
                  <w:tcW w:w="851" w:type="dxa"/>
                  <w:vAlign w:val="center"/>
                </w:tcPr>
                <w:p>
                  <w:pPr>
                    <w:pStyle w:val="46"/>
                  </w:pPr>
                  <w:r>
                    <w:t>危险废物类别</w:t>
                  </w:r>
                </w:p>
              </w:tc>
              <w:tc>
                <w:tcPr>
                  <w:tcW w:w="1276" w:type="dxa"/>
                  <w:vAlign w:val="center"/>
                </w:tcPr>
                <w:p>
                  <w:pPr>
                    <w:pStyle w:val="46"/>
                  </w:pPr>
                  <w:r>
                    <w:t>危险废物代码</w:t>
                  </w:r>
                </w:p>
              </w:tc>
              <w:tc>
                <w:tcPr>
                  <w:tcW w:w="425" w:type="dxa"/>
                  <w:vAlign w:val="center"/>
                </w:tcPr>
                <w:p>
                  <w:pPr>
                    <w:pStyle w:val="46"/>
                  </w:pPr>
                  <w:r>
                    <w:t>位置</w:t>
                  </w:r>
                </w:p>
              </w:tc>
              <w:tc>
                <w:tcPr>
                  <w:tcW w:w="709" w:type="dxa"/>
                  <w:vAlign w:val="center"/>
                </w:tcPr>
                <w:p>
                  <w:pPr>
                    <w:pStyle w:val="46"/>
                  </w:pPr>
                  <w:r>
                    <w:t>占地</w:t>
                  </w:r>
                </w:p>
                <w:p>
                  <w:pPr>
                    <w:pStyle w:val="46"/>
                  </w:pPr>
                  <w:r>
                    <w:t>面积</w:t>
                  </w:r>
                </w:p>
              </w:tc>
              <w:tc>
                <w:tcPr>
                  <w:tcW w:w="850" w:type="dxa"/>
                  <w:vAlign w:val="center"/>
                </w:tcPr>
                <w:p>
                  <w:pPr>
                    <w:pStyle w:val="46"/>
                  </w:pPr>
                  <w:r>
                    <w:t>贮存</w:t>
                  </w:r>
                </w:p>
                <w:p>
                  <w:pPr>
                    <w:pStyle w:val="46"/>
                  </w:pPr>
                  <w:r>
                    <w:t>方式</w:t>
                  </w:r>
                </w:p>
              </w:tc>
              <w:tc>
                <w:tcPr>
                  <w:tcW w:w="992" w:type="dxa"/>
                  <w:vAlign w:val="center"/>
                </w:tcPr>
                <w:p>
                  <w:pPr>
                    <w:pStyle w:val="46"/>
                  </w:pPr>
                  <w:r>
                    <w:t>贮存</w:t>
                  </w:r>
                </w:p>
                <w:p>
                  <w:pPr>
                    <w:pStyle w:val="46"/>
                  </w:pPr>
                  <w:r>
                    <w:t>能力</w:t>
                  </w:r>
                </w:p>
              </w:tc>
              <w:tc>
                <w:tcPr>
                  <w:tcW w:w="762" w:type="dxa"/>
                  <w:vAlign w:val="center"/>
                </w:tcPr>
                <w:p>
                  <w:pPr>
                    <w:pStyle w:val="46"/>
                  </w:pPr>
                  <w:r>
                    <w:t>贮存</w:t>
                  </w:r>
                </w:p>
                <w:p>
                  <w:pPr>
                    <w:pStyle w:val="46"/>
                  </w:pPr>
                  <w: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6" w:type="dxa"/>
                  <w:vAlign w:val="center"/>
                </w:tcPr>
                <w:p>
                  <w:pPr>
                    <w:pStyle w:val="47"/>
                  </w:pPr>
                  <w:r>
                    <w:t>1</w:t>
                  </w:r>
                </w:p>
              </w:tc>
              <w:tc>
                <w:tcPr>
                  <w:tcW w:w="918" w:type="dxa"/>
                  <w:vMerge w:val="restart"/>
                  <w:vAlign w:val="center"/>
                </w:tcPr>
                <w:p>
                  <w:pPr>
                    <w:pStyle w:val="47"/>
                  </w:pPr>
                  <w:r>
                    <w:rPr>
                      <w:rFonts w:hint="eastAsia"/>
                    </w:rPr>
                    <w:t>危废暂存间</w:t>
                  </w:r>
                </w:p>
              </w:tc>
              <w:tc>
                <w:tcPr>
                  <w:tcW w:w="1552" w:type="dxa"/>
                  <w:vAlign w:val="center"/>
                </w:tcPr>
                <w:p>
                  <w:pPr>
                    <w:pStyle w:val="47"/>
                  </w:pPr>
                  <w:r>
                    <w:t>废乳化液</w:t>
                  </w:r>
                </w:p>
              </w:tc>
              <w:tc>
                <w:tcPr>
                  <w:tcW w:w="851" w:type="dxa"/>
                  <w:vAlign w:val="center"/>
                </w:tcPr>
                <w:p>
                  <w:pPr>
                    <w:pStyle w:val="47"/>
                  </w:pPr>
                  <w:r>
                    <w:rPr>
                      <w:rFonts w:hint="eastAsia"/>
                      <w:szCs w:val="21"/>
                    </w:rPr>
                    <w:t>HW09</w:t>
                  </w:r>
                </w:p>
              </w:tc>
              <w:tc>
                <w:tcPr>
                  <w:tcW w:w="1276" w:type="dxa"/>
                  <w:vAlign w:val="center"/>
                </w:tcPr>
                <w:p>
                  <w:pPr>
                    <w:pStyle w:val="47"/>
                  </w:pPr>
                  <w:r>
                    <w:rPr>
                      <w:rFonts w:hint="eastAsia"/>
                      <w:szCs w:val="21"/>
                    </w:rPr>
                    <w:t>900-006-09</w:t>
                  </w:r>
                </w:p>
              </w:tc>
              <w:tc>
                <w:tcPr>
                  <w:tcW w:w="425" w:type="dxa"/>
                  <w:vMerge w:val="restart"/>
                  <w:vAlign w:val="center"/>
                </w:tcPr>
                <w:p>
                  <w:pPr>
                    <w:pStyle w:val="47"/>
                  </w:pPr>
                  <w:r>
                    <w:rPr>
                      <w:rFonts w:hint="eastAsia"/>
                    </w:rPr>
                    <w:t>2层</w:t>
                  </w:r>
                  <w:r>
                    <w:t>生产车间</w:t>
                  </w:r>
                </w:p>
              </w:tc>
              <w:tc>
                <w:tcPr>
                  <w:tcW w:w="709" w:type="dxa"/>
                  <w:vMerge w:val="restart"/>
                  <w:vAlign w:val="center"/>
                </w:tcPr>
                <w:p>
                  <w:pPr>
                    <w:pStyle w:val="47"/>
                  </w:pPr>
                  <w:r>
                    <w:rPr>
                      <w:rFonts w:hint="eastAsia"/>
                    </w:rPr>
                    <w:t>15</w:t>
                  </w:r>
                  <w:r>
                    <w:t>m</w:t>
                  </w:r>
                  <w:r>
                    <w:rPr>
                      <w:vertAlign w:val="superscript"/>
                    </w:rPr>
                    <w:t>2</w:t>
                  </w:r>
                </w:p>
              </w:tc>
              <w:tc>
                <w:tcPr>
                  <w:tcW w:w="850" w:type="dxa"/>
                  <w:vAlign w:val="center"/>
                </w:tcPr>
                <w:p>
                  <w:pPr>
                    <w:pStyle w:val="47"/>
                  </w:pPr>
                  <w:r>
                    <w:t>桶装</w:t>
                  </w:r>
                </w:p>
              </w:tc>
              <w:tc>
                <w:tcPr>
                  <w:tcW w:w="992" w:type="dxa"/>
                  <w:vAlign w:val="center"/>
                </w:tcPr>
                <w:p>
                  <w:pPr>
                    <w:pStyle w:val="47"/>
                  </w:pPr>
                  <w:r>
                    <w:rPr>
                      <w:rFonts w:hint="eastAsia"/>
                    </w:rPr>
                    <w:t>1</w:t>
                  </w:r>
                  <w:r>
                    <w:t>.0</w:t>
                  </w:r>
                  <w:r>
                    <w:rPr>
                      <w:rFonts w:hint="eastAsia"/>
                    </w:rPr>
                    <w:t>t</w:t>
                  </w:r>
                </w:p>
              </w:tc>
              <w:tc>
                <w:tcPr>
                  <w:tcW w:w="762" w:type="dxa"/>
                  <w:vAlign w:val="center"/>
                </w:tcPr>
                <w:p>
                  <w:pPr>
                    <w:pStyle w:val="47"/>
                  </w:pPr>
                  <w:r>
                    <w:rPr>
                      <w:rFonts w:hint="eastAsia"/>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6" w:type="dxa"/>
                  <w:vAlign w:val="center"/>
                </w:tcPr>
                <w:p>
                  <w:pPr>
                    <w:pStyle w:val="47"/>
                  </w:pPr>
                  <w:r>
                    <w:rPr>
                      <w:rFonts w:hint="eastAsia"/>
                    </w:rPr>
                    <w:t>2</w:t>
                  </w:r>
                </w:p>
              </w:tc>
              <w:tc>
                <w:tcPr>
                  <w:tcW w:w="918" w:type="dxa"/>
                  <w:vMerge w:val="continue"/>
                  <w:vAlign w:val="center"/>
                </w:tcPr>
                <w:p>
                  <w:pPr>
                    <w:pStyle w:val="47"/>
                  </w:pPr>
                </w:p>
              </w:tc>
              <w:tc>
                <w:tcPr>
                  <w:tcW w:w="1552" w:type="dxa"/>
                  <w:vAlign w:val="center"/>
                </w:tcPr>
                <w:p>
                  <w:pPr>
                    <w:pStyle w:val="47"/>
                  </w:pPr>
                  <w:r>
                    <w:rPr>
                      <w:rFonts w:hint="eastAsia"/>
                    </w:rPr>
                    <w:t>废漆料</w:t>
                  </w:r>
                </w:p>
              </w:tc>
              <w:tc>
                <w:tcPr>
                  <w:tcW w:w="851" w:type="dxa"/>
                  <w:vAlign w:val="center"/>
                </w:tcPr>
                <w:p>
                  <w:pPr>
                    <w:pStyle w:val="47"/>
                  </w:pPr>
                  <w:r>
                    <w:rPr>
                      <w:rFonts w:hint="eastAsia"/>
                    </w:rPr>
                    <w:t>HW12</w:t>
                  </w:r>
                </w:p>
              </w:tc>
              <w:tc>
                <w:tcPr>
                  <w:tcW w:w="1276" w:type="dxa"/>
                  <w:vAlign w:val="center"/>
                </w:tcPr>
                <w:p>
                  <w:pPr>
                    <w:pStyle w:val="47"/>
                  </w:pPr>
                  <w:r>
                    <w:rPr>
                      <w:rFonts w:hint="eastAsia"/>
                    </w:rPr>
                    <w:t>900-252-12</w:t>
                  </w:r>
                </w:p>
              </w:tc>
              <w:tc>
                <w:tcPr>
                  <w:tcW w:w="425" w:type="dxa"/>
                  <w:vMerge w:val="continue"/>
                  <w:vAlign w:val="center"/>
                </w:tcPr>
                <w:p>
                  <w:pPr>
                    <w:pStyle w:val="47"/>
                  </w:pPr>
                </w:p>
              </w:tc>
              <w:tc>
                <w:tcPr>
                  <w:tcW w:w="709" w:type="dxa"/>
                  <w:vMerge w:val="continue"/>
                  <w:vAlign w:val="center"/>
                </w:tcPr>
                <w:p>
                  <w:pPr>
                    <w:pStyle w:val="47"/>
                  </w:pPr>
                </w:p>
              </w:tc>
              <w:tc>
                <w:tcPr>
                  <w:tcW w:w="850" w:type="dxa"/>
                  <w:vAlign w:val="center"/>
                </w:tcPr>
                <w:p>
                  <w:pPr>
                    <w:pStyle w:val="47"/>
                  </w:pPr>
                  <w:r>
                    <w:t>桶装</w:t>
                  </w:r>
                </w:p>
              </w:tc>
              <w:tc>
                <w:tcPr>
                  <w:tcW w:w="992" w:type="dxa"/>
                  <w:vAlign w:val="center"/>
                </w:tcPr>
                <w:p>
                  <w:pPr>
                    <w:pStyle w:val="47"/>
                  </w:pPr>
                  <w:r>
                    <w:rPr>
                      <w:rFonts w:hint="eastAsia"/>
                    </w:rPr>
                    <w:t>0.5</w:t>
                  </w:r>
                  <w:r>
                    <w:t>t</w:t>
                  </w:r>
                </w:p>
              </w:tc>
              <w:tc>
                <w:tcPr>
                  <w:tcW w:w="762" w:type="dxa"/>
                  <w:vAlign w:val="center"/>
                </w:tcPr>
                <w:p>
                  <w:pPr>
                    <w:pStyle w:val="47"/>
                  </w:pPr>
                  <w:r>
                    <w:rPr>
                      <w:rFonts w:hint="eastAsia"/>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6" w:type="dxa"/>
                  <w:vAlign w:val="center"/>
                </w:tcPr>
                <w:p>
                  <w:pPr>
                    <w:pStyle w:val="47"/>
                  </w:pPr>
                  <w:r>
                    <w:rPr>
                      <w:rFonts w:hint="eastAsia"/>
                    </w:rPr>
                    <w:t>3</w:t>
                  </w:r>
                </w:p>
              </w:tc>
              <w:tc>
                <w:tcPr>
                  <w:tcW w:w="918" w:type="dxa"/>
                  <w:vMerge w:val="continue"/>
                  <w:vAlign w:val="center"/>
                </w:tcPr>
                <w:p>
                  <w:pPr>
                    <w:pStyle w:val="47"/>
                  </w:pPr>
                </w:p>
              </w:tc>
              <w:tc>
                <w:tcPr>
                  <w:tcW w:w="1552" w:type="dxa"/>
                  <w:vAlign w:val="center"/>
                </w:tcPr>
                <w:p>
                  <w:pPr>
                    <w:pStyle w:val="47"/>
                  </w:pPr>
                  <w:r>
                    <w:t>废包装桶</w:t>
                  </w:r>
                </w:p>
              </w:tc>
              <w:tc>
                <w:tcPr>
                  <w:tcW w:w="851" w:type="dxa"/>
                  <w:vAlign w:val="center"/>
                </w:tcPr>
                <w:p>
                  <w:pPr>
                    <w:pStyle w:val="47"/>
                  </w:pPr>
                  <w:r>
                    <w:rPr>
                      <w:rFonts w:hint="eastAsia"/>
                      <w:szCs w:val="21"/>
                    </w:rPr>
                    <w:t>HW49</w:t>
                  </w:r>
                </w:p>
              </w:tc>
              <w:tc>
                <w:tcPr>
                  <w:tcW w:w="1276" w:type="dxa"/>
                  <w:vAlign w:val="center"/>
                </w:tcPr>
                <w:p>
                  <w:pPr>
                    <w:pStyle w:val="47"/>
                  </w:pPr>
                  <w:r>
                    <w:rPr>
                      <w:rFonts w:hint="eastAsia"/>
                      <w:szCs w:val="21"/>
                    </w:rPr>
                    <w:t>900-041-49</w:t>
                  </w:r>
                </w:p>
              </w:tc>
              <w:tc>
                <w:tcPr>
                  <w:tcW w:w="425" w:type="dxa"/>
                  <w:vMerge w:val="continue"/>
                  <w:vAlign w:val="center"/>
                </w:tcPr>
                <w:p>
                  <w:pPr>
                    <w:pStyle w:val="47"/>
                  </w:pPr>
                </w:p>
              </w:tc>
              <w:tc>
                <w:tcPr>
                  <w:tcW w:w="709" w:type="dxa"/>
                  <w:vMerge w:val="continue"/>
                  <w:vAlign w:val="center"/>
                </w:tcPr>
                <w:p>
                  <w:pPr>
                    <w:pStyle w:val="47"/>
                  </w:pPr>
                </w:p>
              </w:tc>
              <w:tc>
                <w:tcPr>
                  <w:tcW w:w="850" w:type="dxa"/>
                  <w:vAlign w:val="center"/>
                </w:tcPr>
                <w:p>
                  <w:pPr>
                    <w:pStyle w:val="47"/>
                  </w:pPr>
                  <w:r>
                    <w:t>桶装</w:t>
                  </w:r>
                </w:p>
              </w:tc>
              <w:tc>
                <w:tcPr>
                  <w:tcW w:w="992" w:type="dxa"/>
                  <w:vAlign w:val="center"/>
                </w:tcPr>
                <w:p>
                  <w:pPr>
                    <w:pStyle w:val="47"/>
                  </w:pPr>
                  <w:r>
                    <w:rPr>
                      <w:rFonts w:hint="eastAsia"/>
                    </w:rPr>
                    <w:t>0.5</w:t>
                  </w:r>
                  <w:r>
                    <w:t>t</w:t>
                  </w:r>
                </w:p>
              </w:tc>
              <w:tc>
                <w:tcPr>
                  <w:tcW w:w="762" w:type="dxa"/>
                  <w:vAlign w:val="center"/>
                </w:tcPr>
                <w:p>
                  <w:pPr>
                    <w:pStyle w:val="47"/>
                  </w:pPr>
                  <w:r>
                    <w:rPr>
                      <w:rFonts w:hint="eastAsia"/>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6" w:type="dxa"/>
                  <w:vAlign w:val="center"/>
                </w:tcPr>
                <w:p>
                  <w:pPr>
                    <w:pStyle w:val="47"/>
                  </w:pPr>
                  <w:r>
                    <w:rPr>
                      <w:rFonts w:hint="eastAsia"/>
                    </w:rPr>
                    <w:t>4</w:t>
                  </w:r>
                </w:p>
              </w:tc>
              <w:tc>
                <w:tcPr>
                  <w:tcW w:w="918" w:type="dxa"/>
                  <w:vMerge w:val="continue"/>
                  <w:vAlign w:val="center"/>
                </w:tcPr>
                <w:p>
                  <w:pPr>
                    <w:pStyle w:val="47"/>
                  </w:pPr>
                </w:p>
              </w:tc>
              <w:tc>
                <w:tcPr>
                  <w:tcW w:w="1552" w:type="dxa"/>
                  <w:vAlign w:val="center"/>
                </w:tcPr>
                <w:p>
                  <w:pPr>
                    <w:pStyle w:val="47"/>
                  </w:pPr>
                  <w:r>
                    <w:rPr>
                      <w:rFonts w:hint="eastAsia"/>
                    </w:rPr>
                    <w:t>废机油</w:t>
                  </w:r>
                </w:p>
              </w:tc>
              <w:tc>
                <w:tcPr>
                  <w:tcW w:w="851" w:type="dxa"/>
                  <w:vAlign w:val="center"/>
                </w:tcPr>
                <w:p>
                  <w:pPr>
                    <w:pStyle w:val="47"/>
                  </w:pPr>
                  <w:r>
                    <w:rPr>
                      <w:rFonts w:hint="eastAsia"/>
                      <w:szCs w:val="21"/>
                    </w:rPr>
                    <w:t>HW08</w:t>
                  </w:r>
                </w:p>
              </w:tc>
              <w:tc>
                <w:tcPr>
                  <w:tcW w:w="1276" w:type="dxa"/>
                  <w:vAlign w:val="center"/>
                </w:tcPr>
                <w:p>
                  <w:pPr>
                    <w:pStyle w:val="47"/>
                  </w:pPr>
                  <w:r>
                    <w:rPr>
                      <w:rFonts w:hint="eastAsia"/>
                      <w:szCs w:val="21"/>
                    </w:rPr>
                    <w:t>900-214-08</w:t>
                  </w:r>
                </w:p>
              </w:tc>
              <w:tc>
                <w:tcPr>
                  <w:tcW w:w="425" w:type="dxa"/>
                  <w:vMerge w:val="continue"/>
                  <w:vAlign w:val="center"/>
                </w:tcPr>
                <w:p>
                  <w:pPr>
                    <w:pStyle w:val="47"/>
                  </w:pPr>
                </w:p>
              </w:tc>
              <w:tc>
                <w:tcPr>
                  <w:tcW w:w="709" w:type="dxa"/>
                  <w:vMerge w:val="continue"/>
                  <w:vAlign w:val="center"/>
                </w:tcPr>
                <w:p>
                  <w:pPr>
                    <w:pStyle w:val="47"/>
                  </w:pPr>
                </w:p>
              </w:tc>
              <w:tc>
                <w:tcPr>
                  <w:tcW w:w="850" w:type="dxa"/>
                  <w:vAlign w:val="center"/>
                </w:tcPr>
                <w:p>
                  <w:pPr>
                    <w:pStyle w:val="47"/>
                  </w:pPr>
                  <w:r>
                    <w:t>桶装</w:t>
                  </w:r>
                </w:p>
              </w:tc>
              <w:tc>
                <w:tcPr>
                  <w:tcW w:w="992" w:type="dxa"/>
                  <w:vAlign w:val="center"/>
                </w:tcPr>
                <w:p>
                  <w:pPr>
                    <w:pStyle w:val="47"/>
                  </w:pPr>
                  <w:r>
                    <w:rPr>
                      <w:rFonts w:hint="eastAsia"/>
                    </w:rPr>
                    <w:t>0.1t</w:t>
                  </w:r>
                </w:p>
              </w:tc>
              <w:tc>
                <w:tcPr>
                  <w:tcW w:w="762" w:type="dxa"/>
                  <w:vAlign w:val="center"/>
                </w:tcPr>
                <w:p>
                  <w:pPr>
                    <w:pStyle w:val="47"/>
                  </w:pPr>
                  <w:r>
                    <w:rPr>
                      <w:rFonts w:hint="eastAsia"/>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6" w:type="dxa"/>
                  <w:vAlign w:val="center"/>
                </w:tcPr>
                <w:p>
                  <w:pPr>
                    <w:pStyle w:val="47"/>
                  </w:pPr>
                  <w:r>
                    <w:rPr>
                      <w:rFonts w:hint="eastAsia"/>
                    </w:rPr>
                    <w:t>5</w:t>
                  </w:r>
                </w:p>
              </w:tc>
              <w:tc>
                <w:tcPr>
                  <w:tcW w:w="918" w:type="dxa"/>
                  <w:vMerge w:val="continue"/>
                  <w:vAlign w:val="center"/>
                </w:tcPr>
                <w:p>
                  <w:pPr>
                    <w:pStyle w:val="47"/>
                  </w:pPr>
                </w:p>
              </w:tc>
              <w:tc>
                <w:tcPr>
                  <w:tcW w:w="1552" w:type="dxa"/>
                  <w:vAlign w:val="center"/>
                </w:tcPr>
                <w:p>
                  <w:pPr>
                    <w:pStyle w:val="47"/>
                  </w:pPr>
                  <w:r>
                    <w:rPr>
                      <w:rFonts w:hint="eastAsia"/>
                    </w:rPr>
                    <w:t>废油桶</w:t>
                  </w:r>
                </w:p>
              </w:tc>
              <w:tc>
                <w:tcPr>
                  <w:tcW w:w="851" w:type="dxa"/>
                  <w:vAlign w:val="center"/>
                </w:tcPr>
                <w:p>
                  <w:pPr>
                    <w:pStyle w:val="47"/>
                  </w:pPr>
                  <w:r>
                    <w:rPr>
                      <w:rFonts w:hint="eastAsia"/>
                      <w:szCs w:val="21"/>
                    </w:rPr>
                    <w:t>HW08</w:t>
                  </w:r>
                </w:p>
              </w:tc>
              <w:tc>
                <w:tcPr>
                  <w:tcW w:w="1276" w:type="dxa"/>
                  <w:vAlign w:val="center"/>
                </w:tcPr>
                <w:p>
                  <w:pPr>
                    <w:pStyle w:val="47"/>
                  </w:pPr>
                  <w:r>
                    <w:rPr>
                      <w:rFonts w:hint="eastAsia"/>
                      <w:szCs w:val="21"/>
                    </w:rPr>
                    <w:t>900-249-08</w:t>
                  </w:r>
                </w:p>
              </w:tc>
              <w:tc>
                <w:tcPr>
                  <w:tcW w:w="425" w:type="dxa"/>
                  <w:vMerge w:val="continue"/>
                  <w:vAlign w:val="center"/>
                </w:tcPr>
                <w:p>
                  <w:pPr>
                    <w:pStyle w:val="47"/>
                  </w:pPr>
                </w:p>
              </w:tc>
              <w:tc>
                <w:tcPr>
                  <w:tcW w:w="709" w:type="dxa"/>
                  <w:vMerge w:val="continue"/>
                  <w:vAlign w:val="center"/>
                </w:tcPr>
                <w:p>
                  <w:pPr>
                    <w:pStyle w:val="47"/>
                  </w:pPr>
                </w:p>
              </w:tc>
              <w:tc>
                <w:tcPr>
                  <w:tcW w:w="850" w:type="dxa"/>
                  <w:vAlign w:val="center"/>
                </w:tcPr>
                <w:p>
                  <w:pPr>
                    <w:pStyle w:val="47"/>
                  </w:pPr>
                  <w:r>
                    <w:t>桶装</w:t>
                  </w:r>
                </w:p>
              </w:tc>
              <w:tc>
                <w:tcPr>
                  <w:tcW w:w="992" w:type="dxa"/>
                  <w:vAlign w:val="center"/>
                </w:tcPr>
                <w:p>
                  <w:pPr>
                    <w:pStyle w:val="47"/>
                  </w:pPr>
                  <w:r>
                    <w:rPr>
                      <w:rFonts w:hint="eastAsia"/>
                    </w:rPr>
                    <w:t>0.1t</w:t>
                  </w:r>
                </w:p>
              </w:tc>
              <w:tc>
                <w:tcPr>
                  <w:tcW w:w="762" w:type="dxa"/>
                  <w:vAlign w:val="center"/>
                </w:tcPr>
                <w:p>
                  <w:pPr>
                    <w:pStyle w:val="47"/>
                  </w:pPr>
                  <w:r>
                    <w:rPr>
                      <w:rFonts w:hint="eastAsia"/>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6" w:type="dxa"/>
                  <w:vAlign w:val="center"/>
                </w:tcPr>
                <w:p>
                  <w:pPr>
                    <w:pStyle w:val="47"/>
                  </w:pPr>
                  <w:r>
                    <w:rPr>
                      <w:rFonts w:hint="eastAsia"/>
                    </w:rPr>
                    <w:t>6</w:t>
                  </w:r>
                </w:p>
              </w:tc>
              <w:tc>
                <w:tcPr>
                  <w:tcW w:w="918" w:type="dxa"/>
                  <w:vMerge w:val="continue"/>
                  <w:vAlign w:val="center"/>
                </w:tcPr>
                <w:p>
                  <w:pPr>
                    <w:pStyle w:val="47"/>
                  </w:pPr>
                </w:p>
              </w:tc>
              <w:tc>
                <w:tcPr>
                  <w:tcW w:w="1552" w:type="dxa"/>
                  <w:vAlign w:val="center"/>
                </w:tcPr>
                <w:p>
                  <w:pPr>
                    <w:pStyle w:val="47"/>
                  </w:pPr>
                  <w:r>
                    <w:t>废活性炭</w:t>
                  </w:r>
                </w:p>
              </w:tc>
              <w:tc>
                <w:tcPr>
                  <w:tcW w:w="851" w:type="dxa"/>
                  <w:vAlign w:val="center"/>
                </w:tcPr>
                <w:p>
                  <w:pPr>
                    <w:pStyle w:val="47"/>
                  </w:pPr>
                  <w:r>
                    <w:rPr>
                      <w:rFonts w:hint="eastAsia"/>
                      <w:szCs w:val="21"/>
                    </w:rPr>
                    <w:t>HW49</w:t>
                  </w:r>
                </w:p>
              </w:tc>
              <w:tc>
                <w:tcPr>
                  <w:tcW w:w="1276" w:type="dxa"/>
                  <w:vAlign w:val="center"/>
                </w:tcPr>
                <w:p>
                  <w:pPr>
                    <w:pStyle w:val="47"/>
                  </w:pPr>
                  <w:r>
                    <w:rPr>
                      <w:rFonts w:hint="eastAsia"/>
                      <w:szCs w:val="21"/>
                    </w:rPr>
                    <w:t>900-039-49</w:t>
                  </w:r>
                </w:p>
              </w:tc>
              <w:tc>
                <w:tcPr>
                  <w:tcW w:w="425" w:type="dxa"/>
                  <w:vMerge w:val="continue"/>
                  <w:vAlign w:val="center"/>
                </w:tcPr>
                <w:p>
                  <w:pPr>
                    <w:pStyle w:val="47"/>
                  </w:pPr>
                </w:p>
              </w:tc>
              <w:tc>
                <w:tcPr>
                  <w:tcW w:w="709" w:type="dxa"/>
                  <w:vMerge w:val="continue"/>
                  <w:vAlign w:val="center"/>
                </w:tcPr>
                <w:p>
                  <w:pPr>
                    <w:pStyle w:val="47"/>
                  </w:pPr>
                </w:p>
              </w:tc>
              <w:tc>
                <w:tcPr>
                  <w:tcW w:w="850" w:type="dxa"/>
                  <w:vAlign w:val="center"/>
                </w:tcPr>
                <w:p>
                  <w:pPr>
                    <w:pStyle w:val="47"/>
                  </w:pPr>
                  <w:r>
                    <w:rPr>
                      <w:rFonts w:hint="eastAsia"/>
                    </w:rPr>
                    <w:t>袋装</w:t>
                  </w:r>
                </w:p>
              </w:tc>
              <w:tc>
                <w:tcPr>
                  <w:tcW w:w="992" w:type="dxa"/>
                  <w:vAlign w:val="center"/>
                </w:tcPr>
                <w:p>
                  <w:pPr>
                    <w:pStyle w:val="47"/>
                  </w:pPr>
                  <w:r>
                    <w:rPr>
                      <w:rFonts w:hint="eastAsia"/>
                    </w:rPr>
                    <w:t>5.0t</w:t>
                  </w:r>
                </w:p>
              </w:tc>
              <w:tc>
                <w:tcPr>
                  <w:tcW w:w="762" w:type="dxa"/>
                  <w:vAlign w:val="center"/>
                </w:tcPr>
                <w:p>
                  <w:pPr>
                    <w:pStyle w:val="47"/>
                  </w:pPr>
                  <w:r>
                    <w:rPr>
                      <w:rFonts w:hint="eastAsia"/>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6" w:type="dxa"/>
                  <w:vAlign w:val="center"/>
                </w:tcPr>
                <w:p>
                  <w:pPr>
                    <w:pStyle w:val="47"/>
                  </w:pPr>
                  <w:r>
                    <w:rPr>
                      <w:rFonts w:hint="eastAsia"/>
                    </w:rPr>
                    <w:t>7</w:t>
                  </w:r>
                </w:p>
              </w:tc>
              <w:tc>
                <w:tcPr>
                  <w:tcW w:w="918" w:type="dxa"/>
                  <w:vMerge w:val="continue"/>
                  <w:vAlign w:val="center"/>
                </w:tcPr>
                <w:p>
                  <w:pPr>
                    <w:pStyle w:val="47"/>
                  </w:pPr>
                </w:p>
              </w:tc>
              <w:tc>
                <w:tcPr>
                  <w:tcW w:w="1552" w:type="dxa"/>
                  <w:vAlign w:val="center"/>
                </w:tcPr>
                <w:p>
                  <w:pPr>
                    <w:pStyle w:val="47"/>
                  </w:pPr>
                  <w:r>
                    <w:rPr>
                      <w:rFonts w:hint="eastAsia"/>
                    </w:rPr>
                    <w:t>含漆废抹布和手套</w:t>
                  </w:r>
                </w:p>
              </w:tc>
              <w:tc>
                <w:tcPr>
                  <w:tcW w:w="851" w:type="dxa"/>
                  <w:vAlign w:val="center"/>
                </w:tcPr>
                <w:p>
                  <w:pPr>
                    <w:pStyle w:val="47"/>
                  </w:pPr>
                  <w:r>
                    <w:rPr>
                      <w:rFonts w:hint="eastAsia"/>
                      <w:szCs w:val="21"/>
                    </w:rPr>
                    <w:t>HW49</w:t>
                  </w:r>
                </w:p>
              </w:tc>
              <w:tc>
                <w:tcPr>
                  <w:tcW w:w="1276" w:type="dxa"/>
                  <w:vAlign w:val="center"/>
                </w:tcPr>
                <w:p>
                  <w:pPr>
                    <w:pStyle w:val="47"/>
                  </w:pPr>
                  <w:r>
                    <w:rPr>
                      <w:rFonts w:hint="eastAsia"/>
                      <w:szCs w:val="21"/>
                    </w:rPr>
                    <w:t>900-041-49</w:t>
                  </w:r>
                </w:p>
              </w:tc>
              <w:tc>
                <w:tcPr>
                  <w:tcW w:w="425" w:type="dxa"/>
                  <w:vMerge w:val="continue"/>
                  <w:vAlign w:val="center"/>
                </w:tcPr>
                <w:p>
                  <w:pPr>
                    <w:pStyle w:val="47"/>
                  </w:pPr>
                </w:p>
              </w:tc>
              <w:tc>
                <w:tcPr>
                  <w:tcW w:w="709" w:type="dxa"/>
                  <w:vMerge w:val="continue"/>
                  <w:vAlign w:val="center"/>
                </w:tcPr>
                <w:p>
                  <w:pPr>
                    <w:pStyle w:val="47"/>
                  </w:pPr>
                </w:p>
              </w:tc>
              <w:tc>
                <w:tcPr>
                  <w:tcW w:w="850" w:type="dxa"/>
                  <w:vAlign w:val="center"/>
                </w:tcPr>
                <w:p>
                  <w:pPr>
                    <w:pStyle w:val="47"/>
                  </w:pPr>
                  <w:r>
                    <w:rPr>
                      <w:rFonts w:hint="eastAsia"/>
                    </w:rPr>
                    <w:t>袋装</w:t>
                  </w:r>
                </w:p>
              </w:tc>
              <w:tc>
                <w:tcPr>
                  <w:tcW w:w="992" w:type="dxa"/>
                  <w:vAlign w:val="center"/>
                </w:tcPr>
                <w:p>
                  <w:pPr>
                    <w:pStyle w:val="47"/>
                  </w:pPr>
                  <w:r>
                    <w:rPr>
                      <w:rFonts w:hint="eastAsia"/>
                    </w:rPr>
                    <w:t>0.05t</w:t>
                  </w:r>
                </w:p>
              </w:tc>
              <w:tc>
                <w:tcPr>
                  <w:tcW w:w="762" w:type="dxa"/>
                  <w:vAlign w:val="center"/>
                </w:tcPr>
                <w:p>
                  <w:pPr>
                    <w:pStyle w:val="47"/>
                  </w:pPr>
                  <w:r>
                    <w:rPr>
                      <w:rFonts w:hint="eastAsia"/>
                    </w:rPr>
                    <w:t>1年</w:t>
                  </w:r>
                </w:p>
              </w:tc>
            </w:tr>
          </w:tbl>
          <w:p>
            <w:pPr>
              <w:pStyle w:val="6"/>
            </w:pPr>
            <w:r>
              <w:t>7.2.</w:t>
            </w:r>
            <w:r>
              <w:rPr>
                <w:rFonts w:hint="eastAsia"/>
              </w:rPr>
              <w:t>5.3</w:t>
            </w:r>
            <w:r>
              <w:t xml:space="preserve"> 危废贮存场所环境影响分析</w:t>
            </w:r>
          </w:p>
          <w:p>
            <w:pPr>
              <w:autoSpaceDE w:val="0"/>
              <w:autoSpaceDN w:val="0"/>
              <w:adjustRightInd w:val="0"/>
              <w:ind w:firstLine="480"/>
              <w:jc w:val="left"/>
              <w:textAlignment w:val="auto"/>
            </w:pPr>
            <w:r>
              <w:t>本项目</w:t>
            </w:r>
            <w:r>
              <w:rPr>
                <w:rFonts w:hint="eastAsia"/>
              </w:rPr>
              <w:t>所在厂房按照国家《危险废物贮存污染控制标准》（2013年修订）的要求设有危废仓库，位于2层生产车间，占地面积约15m</w:t>
            </w:r>
            <w:r>
              <w:rPr>
                <w:rFonts w:hint="eastAsia"/>
                <w:vertAlign w:val="superscript"/>
              </w:rPr>
              <w:t>2</w:t>
            </w:r>
            <w:r>
              <w:rPr>
                <w:rFonts w:hint="eastAsia"/>
              </w:rPr>
              <w:t>，贮存场所和设施选址与设计、运行与管理、安全防护、环境监测及应急措施以及关闭等措施均遵循《危险废物贮存污染控制标准》的规定。本项目危废产生量较小，危废仓库可以满足贮存需要，不会对周边地表水、地下水以及土壤环境产生影响。</w:t>
            </w:r>
          </w:p>
          <w:p>
            <w:pPr>
              <w:pStyle w:val="6"/>
            </w:pPr>
            <w:r>
              <w:t>7.2.</w:t>
            </w:r>
            <w:r>
              <w:rPr>
                <w:rFonts w:hint="eastAsia"/>
              </w:rPr>
              <w:t>5.4</w:t>
            </w:r>
            <w:r>
              <w:t xml:space="preserve"> 危废运输过程环境影响分析</w:t>
            </w:r>
          </w:p>
          <w:p>
            <w:pPr>
              <w:ind w:firstLine="480"/>
              <w:textAlignment w:val="auto"/>
            </w:pPr>
            <w:r>
              <w:t>本项目产生的危险废物委托有资质的单位进行处置，按照《危险废物收集贮存运输技术规范》（HJ2025），本报告对于危险废物的收集和转运过程中提出以下要求：</w:t>
            </w:r>
          </w:p>
          <w:p>
            <w:pPr>
              <w:autoSpaceDE w:val="0"/>
              <w:autoSpaceDN w:val="0"/>
              <w:adjustRightInd w:val="0"/>
              <w:snapToGrid w:val="0"/>
              <w:ind w:firstLine="480"/>
              <w:jc w:val="left"/>
              <w:textAlignment w:val="auto"/>
            </w:pPr>
            <w:r>
              <w:t>1、危险废物的收集应执行操作规程，内容包括使用范围、操作程序和方法、专用设备和工具、转移和交接、安全保障和应急防护等；</w:t>
            </w:r>
          </w:p>
          <w:p>
            <w:pPr>
              <w:autoSpaceDE w:val="0"/>
              <w:autoSpaceDN w:val="0"/>
              <w:adjustRightInd w:val="0"/>
              <w:snapToGrid w:val="0"/>
              <w:ind w:firstLine="480"/>
              <w:jc w:val="left"/>
              <w:textAlignment w:val="auto"/>
            </w:pPr>
            <w:r>
              <w:t>2、危险废物收集作业人员应根据工作需要配置必须要的个人防护装备；</w:t>
            </w:r>
          </w:p>
          <w:p>
            <w:pPr>
              <w:autoSpaceDE w:val="0"/>
              <w:autoSpaceDN w:val="0"/>
              <w:adjustRightInd w:val="0"/>
              <w:snapToGrid w:val="0"/>
              <w:ind w:firstLine="480"/>
              <w:jc w:val="left"/>
              <w:textAlignment w:val="auto"/>
            </w:pPr>
            <w:r>
              <w:t>3、在危险废物的收集和转运过程中，应采取相应的安全防护和污染防治措施，包括防爆、防火、防中毒、防泄漏等其他防治污染环境的措施；</w:t>
            </w:r>
          </w:p>
          <w:p>
            <w:pPr>
              <w:autoSpaceDE w:val="0"/>
              <w:autoSpaceDN w:val="0"/>
              <w:adjustRightInd w:val="0"/>
              <w:snapToGrid w:val="0"/>
              <w:ind w:firstLine="480"/>
              <w:jc w:val="left"/>
              <w:textAlignment w:val="auto"/>
            </w:pPr>
            <w:r>
              <w:t>4、危险废物的收集应根据危险废物的种类、数量、危险特性、物理形态、运输要求等因素确认包装形式，具体包装应符合如下要求：</w:t>
            </w:r>
          </w:p>
          <w:p>
            <w:pPr>
              <w:autoSpaceDE w:val="0"/>
              <w:autoSpaceDN w:val="0"/>
              <w:adjustRightInd w:val="0"/>
              <w:snapToGrid w:val="0"/>
              <w:ind w:firstLine="480"/>
              <w:jc w:val="left"/>
              <w:textAlignment w:val="auto"/>
            </w:pPr>
            <w:r>
              <w:t>(1)包装材质要与危险废物相容；</w:t>
            </w:r>
          </w:p>
          <w:p>
            <w:pPr>
              <w:autoSpaceDE w:val="0"/>
              <w:autoSpaceDN w:val="0"/>
              <w:adjustRightInd w:val="0"/>
              <w:snapToGrid w:val="0"/>
              <w:ind w:firstLine="480"/>
              <w:jc w:val="left"/>
              <w:textAlignment w:val="auto"/>
            </w:pPr>
            <w:r>
              <w:t>(2)性质不相容的危险废物不应混合包装；</w:t>
            </w:r>
          </w:p>
          <w:p>
            <w:pPr>
              <w:autoSpaceDE w:val="0"/>
              <w:autoSpaceDN w:val="0"/>
              <w:adjustRightInd w:val="0"/>
              <w:snapToGrid w:val="0"/>
              <w:ind w:firstLine="480"/>
              <w:jc w:val="left"/>
              <w:textAlignment w:val="auto"/>
            </w:pPr>
            <w:r>
              <w:t>(3)危险废物包装应能有效隔断危险废物迁移扩散途径，并达到防渗防漏要求；</w:t>
            </w:r>
          </w:p>
          <w:p>
            <w:pPr>
              <w:autoSpaceDE w:val="0"/>
              <w:autoSpaceDN w:val="0"/>
              <w:adjustRightInd w:val="0"/>
              <w:snapToGrid w:val="0"/>
              <w:ind w:firstLine="480"/>
              <w:jc w:val="left"/>
              <w:textAlignment w:val="auto"/>
            </w:pPr>
            <w:r>
              <w:t>(4)包装好的危险废物应设置相应的标签，标签信息应填写完整；</w:t>
            </w:r>
          </w:p>
          <w:p>
            <w:pPr>
              <w:autoSpaceDE w:val="0"/>
              <w:autoSpaceDN w:val="0"/>
              <w:adjustRightInd w:val="0"/>
              <w:snapToGrid w:val="0"/>
              <w:ind w:firstLine="480"/>
              <w:jc w:val="left"/>
              <w:textAlignment w:val="auto"/>
            </w:pPr>
            <w:r>
              <w:t>5、危险废物运输应由持有危险废物经营许可证的单位按照其许可证的经营范围组织实施，承担危险废物的单位应获得交通运输部门颁发的危险货物运输资质。</w:t>
            </w:r>
          </w:p>
          <w:p>
            <w:pPr>
              <w:pStyle w:val="6"/>
            </w:pPr>
            <w:r>
              <w:t>7.2.</w:t>
            </w:r>
            <w:r>
              <w:rPr>
                <w:rFonts w:hint="eastAsia"/>
              </w:rPr>
              <w:t>5.5</w:t>
            </w:r>
            <w:r>
              <w:t xml:space="preserve"> 危废委托处置环境影响分析</w:t>
            </w:r>
          </w:p>
          <w:p>
            <w:pPr>
              <w:autoSpaceDE w:val="0"/>
              <w:autoSpaceDN w:val="0"/>
              <w:adjustRightInd w:val="0"/>
              <w:ind w:firstLine="480"/>
              <w:textAlignment w:val="auto"/>
            </w:pPr>
            <w:r>
              <w:rPr>
                <w:rFonts w:hint="eastAsia"/>
              </w:rPr>
              <w:t>嘉兴区域周边有嘉兴市固体废物处置有限责任公司、浙江金泰莱环保科技有限公司等危险废物处置单位，</w:t>
            </w:r>
            <w:r>
              <w:t>因此，</w:t>
            </w:r>
            <w:r>
              <w:rPr>
                <w:rFonts w:hint="eastAsia"/>
              </w:rPr>
              <w:t>本</w:t>
            </w:r>
            <w:r>
              <w:t>项目危废委托处置具有环境可行性。</w:t>
            </w:r>
          </w:p>
          <w:p>
            <w:pPr>
              <w:ind w:firstLine="480"/>
            </w:pPr>
            <w:r>
              <w:t>综上，只要企业严格对固体废物进行分类收集，储存场所严格按照有关规定设计、建造，采取防风、防雨、防晒、防渗漏等措施，以“减量化、资源化、无害化”为基本原则，在自身加强利用的基础上，并合理处置，本项目的固体废物不会对周围环境产生不利影响。</w:t>
            </w:r>
          </w:p>
          <w:p>
            <w:pPr>
              <w:pStyle w:val="6"/>
            </w:pPr>
            <w:r>
              <w:t>7.2.6土壤环境影响分析</w:t>
            </w:r>
            <w:bookmarkEnd w:id="165"/>
            <w:bookmarkEnd w:id="166"/>
          </w:p>
          <w:p>
            <w:pPr>
              <w:ind w:firstLine="480"/>
            </w:pPr>
            <w:r>
              <w:t>根据《环境影响评价技术导则 土壤环境（试行）》（HJ964-2018）附录 A.1-土壤环境影响评价项目类别（详见</w:t>
            </w:r>
            <w:r>
              <w:rPr>
                <w:rFonts w:hint="eastAsia"/>
              </w:rPr>
              <w:t>下表</w:t>
            </w:r>
            <w:r>
              <w:t>），确定本项目土壤环境影响评价项目类别。</w:t>
            </w:r>
          </w:p>
          <w:p>
            <w:pPr>
              <w:pStyle w:val="46"/>
            </w:pPr>
          </w:p>
          <w:p>
            <w:pPr>
              <w:pStyle w:val="46"/>
            </w:pPr>
            <w:r>
              <w:t>表7-</w:t>
            </w:r>
            <w:r>
              <w:rPr>
                <w:rFonts w:hint="eastAsia"/>
              </w:rPr>
              <w:t>21</w:t>
            </w:r>
            <w:r>
              <w:t xml:space="preserve">  土壤环境影响评价项目类别</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
              <w:gridCol w:w="1457"/>
              <w:gridCol w:w="3302"/>
              <w:gridCol w:w="1933"/>
              <w:gridCol w:w="764"/>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2" w:type="pct"/>
                  <w:gridSpan w:val="2"/>
                  <w:tcBorders>
                    <w:top w:val="single" w:color="auto" w:sz="4" w:space="0"/>
                    <w:left w:val="single" w:color="auto" w:sz="4" w:space="0"/>
                    <w:bottom w:val="single" w:color="auto" w:sz="4" w:space="0"/>
                    <w:right w:val="single" w:color="auto" w:sz="4" w:space="0"/>
                  </w:tcBorders>
                  <w:vAlign w:val="center"/>
                </w:tcPr>
                <w:p>
                  <w:pPr>
                    <w:pStyle w:val="46"/>
                  </w:pPr>
                  <w:r>
                    <w:t>行业类别</w:t>
                  </w:r>
                </w:p>
              </w:tc>
              <w:tc>
                <w:tcPr>
                  <w:tcW w:w="1894" w:type="pct"/>
                  <w:tcBorders>
                    <w:top w:val="single" w:color="auto" w:sz="4" w:space="0"/>
                    <w:left w:val="single" w:color="auto" w:sz="4" w:space="0"/>
                    <w:bottom w:val="single" w:color="auto" w:sz="4" w:space="0"/>
                    <w:right w:val="single" w:color="auto" w:sz="4" w:space="0"/>
                  </w:tcBorders>
                  <w:vAlign w:val="center"/>
                </w:tcPr>
                <w:p>
                  <w:pPr>
                    <w:pStyle w:val="46"/>
                  </w:pPr>
                  <w:r>
                    <w:fldChar w:fldCharType="begin"/>
                  </w:r>
                  <w:r>
                    <w:instrText xml:space="preserve"> = 1 \* ROMAN </w:instrText>
                  </w:r>
                  <w:r>
                    <w:fldChar w:fldCharType="separate"/>
                  </w:r>
                  <w:r>
                    <w:t>I</w:t>
                  </w:r>
                  <w:r>
                    <w:fldChar w:fldCharType="end"/>
                  </w:r>
                  <w:r>
                    <w:t>类</w:t>
                  </w:r>
                </w:p>
              </w:tc>
              <w:tc>
                <w:tcPr>
                  <w:tcW w:w="1109" w:type="pct"/>
                  <w:tcBorders>
                    <w:top w:val="single" w:color="auto" w:sz="4" w:space="0"/>
                    <w:left w:val="single" w:color="auto" w:sz="4" w:space="0"/>
                    <w:bottom w:val="single" w:color="auto" w:sz="4" w:space="0"/>
                    <w:right w:val="single" w:color="auto" w:sz="4" w:space="0"/>
                  </w:tcBorders>
                  <w:vAlign w:val="center"/>
                </w:tcPr>
                <w:p>
                  <w:pPr>
                    <w:pStyle w:val="46"/>
                  </w:pPr>
                  <w:r>
                    <w:fldChar w:fldCharType="begin"/>
                  </w:r>
                  <w:r>
                    <w:instrText xml:space="preserve"> = 2 \* ROMAN </w:instrText>
                  </w:r>
                  <w:r>
                    <w:fldChar w:fldCharType="separate"/>
                  </w:r>
                  <w:r>
                    <w:t>II</w:t>
                  </w:r>
                  <w:r>
                    <w:fldChar w:fldCharType="end"/>
                  </w:r>
                  <w:r>
                    <w:t>类</w:t>
                  </w:r>
                </w:p>
              </w:tc>
              <w:tc>
                <w:tcPr>
                  <w:tcW w:w="438" w:type="pct"/>
                  <w:tcBorders>
                    <w:top w:val="single" w:color="auto" w:sz="4" w:space="0"/>
                    <w:left w:val="single" w:color="auto" w:sz="4" w:space="0"/>
                    <w:bottom w:val="single" w:color="auto" w:sz="4" w:space="0"/>
                    <w:right w:val="single" w:color="auto" w:sz="4" w:space="0"/>
                  </w:tcBorders>
                  <w:vAlign w:val="center"/>
                </w:tcPr>
                <w:p>
                  <w:pPr>
                    <w:pStyle w:val="46"/>
                  </w:pPr>
                  <w:r>
                    <w:fldChar w:fldCharType="begin"/>
                  </w:r>
                  <w:r>
                    <w:instrText xml:space="preserve"> = 3 \* ROMAN </w:instrText>
                  </w:r>
                  <w:r>
                    <w:fldChar w:fldCharType="separate"/>
                  </w:r>
                  <w:r>
                    <w:t>III</w:t>
                  </w:r>
                  <w:r>
                    <w:fldChar w:fldCharType="end"/>
                  </w:r>
                  <w:r>
                    <w:t>类</w:t>
                  </w:r>
                </w:p>
              </w:tc>
              <w:tc>
                <w:tcPr>
                  <w:tcW w:w="465" w:type="pct"/>
                  <w:tcBorders>
                    <w:top w:val="single" w:color="auto" w:sz="4" w:space="0"/>
                    <w:left w:val="single" w:color="auto" w:sz="4" w:space="0"/>
                    <w:bottom w:val="single" w:color="auto" w:sz="4" w:space="0"/>
                    <w:right w:val="single" w:color="auto" w:sz="4" w:space="0"/>
                  </w:tcBorders>
                  <w:vAlign w:val="center"/>
                </w:tcPr>
                <w:p>
                  <w:pPr>
                    <w:pStyle w:val="46"/>
                  </w:pPr>
                  <w:r>
                    <w:fldChar w:fldCharType="begin"/>
                  </w:r>
                  <w:r>
                    <w:instrText xml:space="preserve"> = 4 \* ROMAN </w:instrText>
                  </w:r>
                  <w:r>
                    <w:fldChar w:fldCharType="separate"/>
                  </w:r>
                  <w:r>
                    <w:t>IV</w:t>
                  </w:r>
                  <w:r>
                    <w:fldChar w:fldCharType="end"/>
                  </w:r>
                  <w: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tcBorders>
                    <w:top w:val="single" w:color="auto" w:sz="4" w:space="0"/>
                    <w:left w:val="single" w:color="auto" w:sz="4" w:space="0"/>
                    <w:bottom w:val="single" w:color="auto" w:sz="4" w:space="0"/>
                    <w:right w:val="single" w:color="auto" w:sz="4" w:space="0"/>
                  </w:tcBorders>
                  <w:vAlign w:val="center"/>
                </w:tcPr>
                <w:p>
                  <w:pPr>
                    <w:pStyle w:val="47"/>
                  </w:pPr>
                  <w:r>
                    <w:t>制造业</w:t>
                  </w:r>
                </w:p>
              </w:tc>
              <w:tc>
                <w:tcPr>
                  <w:tcW w:w="835"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设备制造、金属制品、汽车制造及其他用品制造*</w:t>
                  </w:r>
                </w:p>
              </w:tc>
              <w:tc>
                <w:tcPr>
                  <w:tcW w:w="1894"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有电镀工艺的；金属制品表面处理及热处理加工的；使用有机涂层的（喷粉、喷塑和电泳的除外）；有钝化工艺的热镀锌</w:t>
                  </w:r>
                </w:p>
              </w:tc>
              <w:tc>
                <w:tcPr>
                  <w:tcW w:w="1109"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有化学处理工艺的</w:t>
                  </w:r>
                </w:p>
              </w:tc>
              <w:tc>
                <w:tcPr>
                  <w:tcW w:w="438" w:type="pct"/>
                  <w:tcBorders>
                    <w:top w:val="single" w:color="auto" w:sz="4" w:space="0"/>
                    <w:left w:val="single" w:color="auto" w:sz="4" w:space="0"/>
                    <w:bottom w:val="single" w:color="auto" w:sz="4" w:space="0"/>
                    <w:right w:val="single" w:color="auto" w:sz="4" w:space="0"/>
                  </w:tcBorders>
                  <w:vAlign w:val="center"/>
                </w:tcPr>
                <w:p>
                  <w:pPr>
                    <w:pStyle w:val="47"/>
                  </w:pPr>
                  <w:r>
                    <w:t>其他</w:t>
                  </w:r>
                </w:p>
              </w:tc>
              <w:tc>
                <w:tcPr>
                  <w:tcW w:w="465" w:type="pct"/>
                  <w:tcBorders>
                    <w:top w:val="single" w:color="auto" w:sz="4" w:space="0"/>
                    <w:left w:val="single" w:color="auto" w:sz="4" w:space="0"/>
                    <w:bottom w:val="single" w:color="auto" w:sz="4" w:space="0"/>
                    <w:right w:val="single" w:color="auto" w:sz="4" w:space="0"/>
                  </w:tcBorders>
                  <w:vAlign w:val="center"/>
                </w:tcPr>
                <w:p>
                  <w:pPr>
                    <w:pStyle w:val="4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tcBorders>
                    <w:top w:val="single" w:color="auto" w:sz="4" w:space="0"/>
                    <w:left w:val="single" w:color="auto" w:sz="4" w:space="0"/>
                    <w:bottom w:val="single" w:color="auto" w:sz="4" w:space="0"/>
                    <w:right w:val="single" w:color="auto" w:sz="4" w:space="0"/>
                  </w:tcBorders>
                  <w:vAlign w:val="center"/>
                </w:tcPr>
                <w:p>
                  <w:pPr>
                    <w:pStyle w:val="49"/>
                    <w:jc w:val="both"/>
                  </w:pPr>
                  <w:r>
                    <w:rPr>
                      <w:rFonts w:hint="eastAsia"/>
                    </w:rPr>
                    <w:t>*注：其他制品制造包括①木材加工和木、竹、藤、棕、草制品业；②家具制造业；③文教、工美、体育和娱乐用品制造业；④仪器仪表制造业等制造业。</w:t>
                  </w:r>
                </w:p>
              </w:tc>
            </w:tr>
          </w:tbl>
          <w:p>
            <w:pPr>
              <w:ind w:firstLine="480"/>
            </w:pPr>
            <w:r>
              <w:t>本项目主要</w:t>
            </w:r>
            <w:r>
              <w:rPr>
                <w:rFonts w:hint="eastAsia"/>
              </w:rPr>
              <w:t>从事精密配件、后倾离心风机的生产</w:t>
            </w:r>
            <w:r>
              <w:t>，</w:t>
            </w:r>
            <w:r>
              <w:rPr>
                <w:rFonts w:hint="eastAsia"/>
              </w:rPr>
              <w:t>生产过程使用环保型绝缘漆进行真空浸漆</w:t>
            </w:r>
            <w:r>
              <w:t>，</w:t>
            </w:r>
            <w:r>
              <w:rPr>
                <w:rFonts w:hint="eastAsia"/>
              </w:rPr>
              <w:t>属于“制造业”中“设备制造、金属制品、汽车制造及其他用品制造-使用有机涂层的”，</w:t>
            </w:r>
            <w:r>
              <w:t>因此属于</w:t>
            </w:r>
            <w:r>
              <w:fldChar w:fldCharType="begin"/>
            </w:r>
            <w:r>
              <w:instrText xml:space="preserve"> = 1 \* ROMAN </w:instrText>
            </w:r>
            <w:r>
              <w:fldChar w:fldCharType="separate"/>
            </w:r>
            <w:r>
              <w:t>I</w:t>
            </w:r>
            <w:r>
              <w:fldChar w:fldCharType="end"/>
            </w:r>
            <w:r>
              <w:t>类项目。根据表7-</w:t>
            </w:r>
            <w:r>
              <w:rPr>
                <w:rFonts w:hint="eastAsia"/>
              </w:rPr>
              <w:t>22</w:t>
            </w:r>
            <w:r>
              <w:t>判定项目土壤工作等级。</w:t>
            </w:r>
          </w:p>
          <w:p>
            <w:pPr>
              <w:pStyle w:val="46"/>
              <w:spacing w:after="24"/>
            </w:pPr>
            <w:r>
              <w:t>表7-</w:t>
            </w:r>
            <w:r>
              <w:rPr>
                <w:rFonts w:hint="eastAsia"/>
              </w:rPr>
              <w:t xml:space="preserve">22 </w:t>
            </w:r>
            <w:r>
              <w:t xml:space="preserve"> 污染影响型评价工作等级划分表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032"/>
              <w:gridCol w:w="751"/>
              <w:gridCol w:w="752"/>
              <w:gridCol w:w="642"/>
              <w:gridCol w:w="755"/>
              <w:gridCol w:w="755"/>
              <w:gridCol w:w="758"/>
              <w:gridCol w:w="755"/>
              <w:gridCol w:w="755"/>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165" w:type="pct"/>
                  <w:vMerge w:val="restart"/>
                  <w:tcBorders>
                    <w:top w:val="single" w:color="auto" w:sz="4" w:space="0"/>
                    <w:left w:val="single" w:color="auto" w:sz="4" w:space="0"/>
                    <w:bottom w:val="single" w:color="auto" w:sz="4" w:space="0"/>
                    <w:right w:val="single" w:color="auto" w:sz="4" w:space="0"/>
                  </w:tcBorders>
                  <w:vAlign w:val="center"/>
                </w:tcPr>
                <w:p>
                  <w:pPr>
                    <w:pStyle w:val="46"/>
                    <w:jc w:val="right"/>
                  </w:pPr>
                  <w:r>
                    <mc:AlternateContent>
                      <mc:Choice Requires="wpg">
                        <w:drawing>
                          <wp:anchor distT="0" distB="0" distL="114300" distR="114300" simplePos="0" relativeHeight="251597824" behindDoc="0" locked="0" layoutInCell="1" allowOverlap="1">
                            <wp:simplePos x="0" y="0"/>
                            <wp:positionH relativeFrom="column">
                              <wp:posOffset>-29845</wp:posOffset>
                            </wp:positionH>
                            <wp:positionV relativeFrom="paragraph">
                              <wp:posOffset>35560</wp:posOffset>
                            </wp:positionV>
                            <wp:extent cx="1260475" cy="628650"/>
                            <wp:effectExtent l="0" t="0" r="0" b="19050"/>
                            <wp:wrapNone/>
                            <wp:docPr id="508" name="__TH_G22五号103"/>
                            <wp:cNvGraphicFramePr/>
                            <a:graphic xmlns:a="http://schemas.openxmlformats.org/drawingml/2006/main">
                              <a:graphicData uri="http://schemas.microsoft.com/office/word/2010/wordprocessingGroup">
                                <wpg:wgp>
                                  <wpg:cNvGrpSpPr/>
                                  <wpg:grpSpPr>
                                    <a:xfrm>
                                      <a:off x="0" y="0"/>
                                      <a:ext cx="1260475" cy="628650"/>
                                      <a:chOff x="2083" y="9419"/>
                                      <a:chExt cx="1790" cy="578"/>
                                    </a:xfrm>
                                  </wpg:grpSpPr>
                                  <wps:wsp>
                                    <wps:cNvPr id="509" name="__TH_L101"/>
                                    <wps:cNvCnPr>
                                      <a:cxnSpLocks noChangeShapeType="1"/>
                                    </wps:cNvCnPr>
                                    <wps:spPr bwMode="auto">
                                      <a:xfrm>
                                        <a:off x="2978" y="9419"/>
                                        <a:ext cx="895" cy="578"/>
                                      </a:xfrm>
                                      <a:prstGeom prst="line">
                                        <a:avLst/>
                                      </a:prstGeom>
                                      <a:noFill/>
                                      <a:ln w="6350">
                                        <a:solidFill>
                                          <a:srgbClr val="000000"/>
                                        </a:solidFill>
                                        <a:round/>
                                      </a:ln>
                                    </wps:spPr>
                                    <wps:bodyPr/>
                                  </wps:wsp>
                                  <wps:wsp>
                                    <wps:cNvPr id="510" name="__TH_L102"/>
                                    <wps:cNvCnPr>
                                      <a:cxnSpLocks noChangeShapeType="1"/>
                                    </wps:cNvCnPr>
                                    <wps:spPr bwMode="auto">
                                      <a:xfrm>
                                        <a:off x="2083" y="9708"/>
                                        <a:ext cx="1790" cy="289"/>
                                      </a:xfrm>
                                      <a:prstGeom prst="line">
                                        <a:avLst/>
                                      </a:prstGeom>
                                      <a:noFill/>
                                      <a:ln w="6350">
                                        <a:solidFill>
                                          <a:srgbClr val="000000"/>
                                        </a:solidFill>
                                        <a:round/>
                                      </a:ln>
                                    </wps:spPr>
                                    <wps:bodyPr/>
                                  </wps:wsp>
                                </wpg:wgp>
                              </a:graphicData>
                            </a:graphic>
                          </wp:anchor>
                        </w:drawing>
                      </mc:Choice>
                      <mc:Fallback>
                        <w:pict>
                          <v:group id="__TH_G22五号103" o:spid="_x0000_s1026" o:spt="203" style="position:absolute;left:0pt;margin-left:-2.35pt;margin-top:2.8pt;height:49.5pt;width:99.25pt;z-index:251597824;mso-width-relative:page;mso-height-relative:page;" coordorigin="2083,9419" coordsize="1790,578" o:gfxdata="UEsDBAoAAAAAAIdO4kAAAAAAAAAAAAAAAAAEAAAAZHJzL1BLAwQUAAAACACHTuJAe1S+FNkAAAAI&#10;AQAADwAAAGRycy9kb3ducmV2LnhtbE2PwU7DMBBE70j8g7VI3Fo7tA0Q4lSoAk5VJVokxM2Nt0nU&#10;eB3FbtL+PdsT3HY0o9k3+fLsWjFgHxpPGpKpAoFUettQpeFr9z55AhGiIWtaT6jhggGWxe1NbjLr&#10;R/rEYRsrwSUUMqOhjrHLpAxljc6Eqe+Q2Dv43pnIsq+k7c3I5a6VD0ql0pmG+ENtOlzVWB63J6fh&#10;YzTj6yx5G9bHw+rys1tsvtcJan1/l6gXEBHP8S8MV3xGh4KZ9v5ENohWw2T+yEkNixTE1X6e8ZI9&#10;H2qegixy+X9A8QtQSwMEFAAAAAgAh07iQA8Mw+J5AgAArQYAAA4AAABkcnMvZTJvRG9jLnhtbNWV&#10;zY7TMBDH70i8g+U7zcduv6Kme9iy5bBApS7nles4H8KxLdtt2qfgwrsg7fPAezB20mxbLisQSPSQ&#10;Zsb2eOb3Hzuzm33N0Y5pU0mR4mgQYsQElVklihR/erh7M8HIWCIywqVgKT4wg2/mr1/NGpWwWJaS&#10;Z0wjCCJM0qgUl9aqJAgMLVlNzEAqJmAwl7omFkxdBJkmDUSveRCH4ShopM6UlpQZA95FO4i7iPol&#10;AWWeV5QtJN3WTNg2qmacWCjJlJUyeO6zzXNG7cc8N8winmKo1PonbALvG/cM5jOSFJqosqJdCuQl&#10;KVzUVJNKwKZ9qAWxBG119UuouqJaGpnbAZV10BbiiUAVUXjBZqnlVvlaiqQpVA8dhLqg/tth6Yfd&#10;SqMqS/EwBOEFqUHyx8eHd4/LOP7+9PXHl29ReOUwNapIYPZSq7Va6c5RtJarfJ/r2v1DTWjvAR96&#10;wGxvEQVnFI/C6/EQIwpjo3gyGnYK0BJkcsvicHKFEYxOr6Npqw4t3x6Xj6egm1s7HE/cYHDcNnDZ&#10;9ck0ClrTPPMyf8ZrXRLFvAzGEeh5Tc943Udh1HLys27FSjscdC/W6l7SzwYJeVsSUTAf7+GggLRf&#10;AcmfLHGGAcJo07yXGcwhWyt9b10QjqcA4RzVkfNk2jG+5EQSpY1dMlkj95JiXglXGknI7t7YFulx&#10;inMLeVdxDn6ScIEaUO0KNHOmkbzK3KA3dLG55RrtiDtn/tfpczYN+llk7SZcgHzHWl13mWQjs4Pv&#10;LO8HAVv331cygq466XxQMv63SvZNP4ZD6GEflYz6lo8n/jz0Lf+/SemPKNxi/tR2N667Jk9t3xLP&#10;X5n5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HtUvhTZAAAACAEAAA8AAAAAAAAAAQAgAAAAIgAA&#10;AGRycy9kb3ducmV2LnhtbFBLAQIUABQAAAAIAIdO4kAPDMPieQIAAK0GAAAOAAAAAAAAAAEAIAAA&#10;ACgBAABkcnMvZTJvRG9jLnhtbFBLBQYAAAAABgAGAFkBAAATBgAAAAA=&#10;">
                            <o:lock v:ext="edit" aspectratio="f"/>
                            <v:line id="__TH_L101" o:spid="_x0000_s1026" o:spt="20" style="position:absolute;left:2978;top:9419;height:578;width:895;" filled="f" stroked="t" coordsize="21600,21600" o:gfxdata="UEsDBAoAAAAAAIdO4kAAAAAAAAAAAAAAAAAEAAAAZHJzL1BLAwQUAAAACACHTuJA6AB8qLwAAADc&#10;AAAADwAAAGRycy9kb3ducmV2LnhtbEWPQUvEMBSE78L+h/AWvLlJhYrWze5B6LIXD67i+dE822Lz&#10;UpK3zeqvN4LgcZiZb5jt/uIntVBMY2AL1caAIu6CG7m38Pba3tyDSoLscApMFr4owX63utpi40Lm&#10;F1pO0qsC4dSghUFkbrRO3UAe0ybMxMX7CNGjFBl77SLmAveTvjXmTnscuSwMONPTQN3n6ewtcCXv&#10;U86Sl/hdH+qqbo/mubX2el2ZR1BCF/kP/7WPzkJtHuD3TDkCevc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AfKi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__TH_L102" o:spid="_x0000_s1026" o:spt="20" style="position:absolute;left:2083;top:9708;height:289;width:1790;" filled="f" stroked="t" coordsize="21600,21600" o:gfxdata="UEsDBAoAAAAAAIdO4kAAAAAAAAAAAAAAAAAEAAAAZHJzL1BLAwQUAAAACACHTuJA/OND6LgAAADc&#10;AAAADwAAAGRycy9kb3ducmV2LnhtbEVPTUvEMBC9C/6HMII3N4lQkbrZPSxU9uLBVTwPzdiWbSYl&#10;GZvVX28OgsfH+97uL2FWK6U8RXZgNwYUcR/9xIOD97fu7hFUFmSPc2Ry8E0Z9rvrqy22PhZ+pfUk&#10;g6ohnFt0MIosrda5Hylg3sSFuHKfMQWUCtOgfcJSw8Os74150AEnrg0jLnQYqT+fvoIDtvIxlyJl&#10;TT/Nc2Ob7mheOudub6x5AiV0kX/xn/voHTS2zq9n6hHQu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ND6LgAAADc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group>
                        </w:pict>
                      </mc:Fallback>
                    </mc:AlternateContent>
                  </w:r>
                  <w:r>
                    <w:t xml:space="preserve">          占地规模</w:t>
                  </w:r>
                </w:p>
                <w:p>
                  <w:pPr>
                    <w:pStyle w:val="46"/>
                    <w:jc w:val="left"/>
                  </w:pPr>
                  <w:r>
                    <w:t>评价工作等级</w:t>
                  </w:r>
                </w:p>
                <w:p>
                  <w:pPr>
                    <w:pStyle w:val="46"/>
                  </w:pPr>
                </w:p>
                <w:p>
                  <w:pPr>
                    <w:pStyle w:val="46"/>
                    <w:jc w:val="left"/>
                  </w:pPr>
                  <w:r>
                    <w:t>敏感程度</w:t>
                  </w:r>
                </w:p>
              </w:tc>
              <w:tc>
                <w:tcPr>
                  <w:tcW w:w="1229" w:type="pct"/>
                  <w:gridSpan w:val="3"/>
                  <w:tcBorders>
                    <w:top w:val="single" w:color="auto" w:sz="4" w:space="0"/>
                    <w:left w:val="single" w:color="auto" w:sz="4" w:space="0"/>
                    <w:bottom w:val="single" w:color="auto" w:sz="4" w:space="0"/>
                    <w:right w:val="single" w:color="auto" w:sz="4" w:space="0"/>
                  </w:tcBorders>
                  <w:vAlign w:val="center"/>
                </w:tcPr>
                <w:p>
                  <w:pPr>
                    <w:pStyle w:val="46"/>
                  </w:pPr>
                  <w:r>
                    <w:fldChar w:fldCharType="begin"/>
                  </w:r>
                  <w:r>
                    <w:instrText xml:space="preserve"> = 1 \* ROMAN </w:instrText>
                  </w:r>
                  <w:r>
                    <w:fldChar w:fldCharType="separate"/>
                  </w:r>
                  <w:r>
                    <w:t>I</w:t>
                  </w:r>
                  <w:r>
                    <w:fldChar w:fldCharType="end"/>
                  </w:r>
                  <w:r>
                    <w:t>类项目</w:t>
                  </w:r>
                </w:p>
              </w:tc>
              <w:tc>
                <w:tcPr>
                  <w:tcW w:w="1301" w:type="pct"/>
                  <w:gridSpan w:val="3"/>
                  <w:tcBorders>
                    <w:top w:val="single" w:color="auto" w:sz="4" w:space="0"/>
                    <w:left w:val="single" w:color="auto" w:sz="4" w:space="0"/>
                    <w:bottom w:val="single" w:color="auto" w:sz="4" w:space="0"/>
                    <w:right w:val="single" w:color="auto" w:sz="4" w:space="0"/>
                  </w:tcBorders>
                  <w:vAlign w:val="center"/>
                </w:tcPr>
                <w:p>
                  <w:pPr>
                    <w:pStyle w:val="46"/>
                  </w:pPr>
                  <w:r>
                    <w:fldChar w:fldCharType="begin"/>
                  </w:r>
                  <w:r>
                    <w:instrText xml:space="preserve"> = 2 \* ROMAN </w:instrText>
                  </w:r>
                  <w:r>
                    <w:fldChar w:fldCharType="separate"/>
                  </w:r>
                  <w:r>
                    <w:t>II</w:t>
                  </w:r>
                  <w:r>
                    <w:fldChar w:fldCharType="end"/>
                  </w:r>
                  <w:r>
                    <w:t>类项目</w:t>
                  </w:r>
                </w:p>
              </w:tc>
              <w:tc>
                <w:tcPr>
                  <w:tcW w:w="1303" w:type="pct"/>
                  <w:gridSpan w:val="3"/>
                  <w:tcBorders>
                    <w:top w:val="single" w:color="auto" w:sz="4" w:space="0"/>
                    <w:left w:val="single" w:color="auto" w:sz="4" w:space="0"/>
                    <w:bottom w:val="single" w:color="auto" w:sz="4" w:space="0"/>
                    <w:right w:val="single" w:color="auto" w:sz="4" w:space="0"/>
                  </w:tcBorders>
                  <w:vAlign w:val="center"/>
                </w:tcPr>
                <w:p>
                  <w:pPr>
                    <w:pStyle w:val="46"/>
                  </w:pPr>
                  <w:r>
                    <w:fldChar w:fldCharType="begin"/>
                  </w:r>
                  <w:r>
                    <w:instrText xml:space="preserve"> = 3 \* ROMAN </w:instrText>
                  </w:r>
                  <w:r>
                    <w:fldChar w:fldCharType="separate"/>
                  </w:r>
                  <w:r>
                    <w:t>III</w:t>
                  </w:r>
                  <w:r>
                    <w:fldChar w:fldCharType="end"/>
                  </w:r>
                  <w:r>
                    <w:t>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165" w:type="pct"/>
                  <w:vMerge w:val="continue"/>
                  <w:tcBorders>
                    <w:top w:val="single" w:color="auto" w:sz="4" w:space="0"/>
                    <w:left w:val="single" w:color="auto" w:sz="4" w:space="0"/>
                    <w:bottom w:val="single" w:color="auto" w:sz="4" w:space="0"/>
                    <w:right w:val="single" w:color="auto" w:sz="4" w:space="0"/>
                  </w:tcBorders>
                  <w:vAlign w:val="center"/>
                </w:tcPr>
                <w:p>
                  <w:pPr>
                    <w:pStyle w:val="46"/>
                  </w:pPr>
                </w:p>
              </w:tc>
              <w:tc>
                <w:tcPr>
                  <w:tcW w:w="430" w:type="pct"/>
                  <w:tcBorders>
                    <w:top w:val="single" w:color="auto" w:sz="4" w:space="0"/>
                    <w:left w:val="single" w:color="auto" w:sz="4" w:space="0"/>
                    <w:bottom w:val="single" w:color="auto" w:sz="4" w:space="0"/>
                    <w:right w:val="single" w:color="auto" w:sz="4" w:space="0"/>
                  </w:tcBorders>
                  <w:vAlign w:val="center"/>
                </w:tcPr>
                <w:p>
                  <w:pPr>
                    <w:pStyle w:val="46"/>
                  </w:pPr>
                  <w:r>
                    <w:t>大</w:t>
                  </w:r>
                </w:p>
              </w:tc>
              <w:tc>
                <w:tcPr>
                  <w:tcW w:w="431" w:type="pct"/>
                  <w:tcBorders>
                    <w:top w:val="single" w:color="auto" w:sz="4" w:space="0"/>
                    <w:left w:val="single" w:color="auto" w:sz="4" w:space="0"/>
                    <w:bottom w:val="single" w:color="auto" w:sz="4" w:space="0"/>
                    <w:right w:val="single" w:color="auto" w:sz="4" w:space="0"/>
                  </w:tcBorders>
                  <w:vAlign w:val="center"/>
                </w:tcPr>
                <w:p>
                  <w:pPr>
                    <w:pStyle w:val="46"/>
                  </w:pPr>
                  <w:r>
                    <w:t>中</w:t>
                  </w:r>
                </w:p>
              </w:tc>
              <w:tc>
                <w:tcPr>
                  <w:tcW w:w="368" w:type="pct"/>
                  <w:tcBorders>
                    <w:top w:val="single" w:color="auto" w:sz="4" w:space="0"/>
                    <w:left w:val="single" w:color="auto" w:sz="4" w:space="0"/>
                    <w:bottom w:val="single" w:color="auto" w:sz="4" w:space="0"/>
                    <w:right w:val="single" w:color="auto" w:sz="4" w:space="0"/>
                  </w:tcBorders>
                  <w:vAlign w:val="center"/>
                </w:tcPr>
                <w:p>
                  <w:pPr>
                    <w:pStyle w:val="46"/>
                  </w:pPr>
                  <w:r>
                    <w:t>小</w:t>
                  </w:r>
                </w:p>
              </w:tc>
              <w:tc>
                <w:tcPr>
                  <w:tcW w:w="433" w:type="pct"/>
                  <w:tcBorders>
                    <w:top w:val="single" w:color="auto" w:sz="4" w:space="0"/>
                    <w:left w:val="single" w:color="auto" w:sz="4" w:space="0"/>
                    <w:bottom w:val="single" w:color="auto" w:sz="4" w:space="0"/>
                    <w:right w:val="single" w:color="auto" w:sz="4" w:space="0"/>
                  </w:tcBorders>
                  <w:vAlign w:val="center"/>
                </w:tcPr>
                <w:p>
                  <w:pPr>
                    <w:pStyle w:val="46"/>
                  </w:pPr>
                  <w:r>
                    <w:t>大</w:t>
                  </w:r>
                </w:p>
              </w:tc>
              <w:tc>
                <w:tcPr>
                  <w:tcW w:w="433" w:type="pct"/>
                  <w:tcBorders>
                    <w:top w:val="single" w:color="auto" w:sz="4" w:space="0"/>
                    <w:left w:val="single" w:color="auto" w:sz="4" w:space="0"/>
                    <w:bottom w:val="single" w:color="auto" w:sz="4" w:space="0"/>
                    <w:right w:val="single" w:color="auto" w:sz="4" w:space="0"/>
                  </w:tcBorders>
                  <w:vAlign w:val="center"/>
                </w:tcPr>
                <w:p>
                  <w:pPr>
                    <w:pStyle w:val="46"/>
                  </w:pPr>
                  <w:r>
                    <w:t>中</w:t>
                  </w:r>
                </w:p>
              </w:tc>
              <w:tc>
                <w:tcPr>
                  <w:tcW w:w="435" w:type="pct"/>
                  <w:tcBorders>
                    <w:top w:val="single" w:color="auto" w:sz="4" w:space="0"/>
                    <w:left w:val="single" w:color="auto" w:sz="4" w:space="0"/>
                    <w:bottom w:val="single" w:color="auto" w:sz="4" w:space="0"/>
                    <w:right w:val="single" w:color="auto" w:sz="4" w:space="0"/>
                  </w:tcBorders>
                  <w:vAlign w:val="center"/>
                </w:tcPr>
                <w:p>
                  <w:pPr>
                    <w:pStyle w:val="46"/>
                  </w:pPr>
                  <w:r>
                    <w:t>小</w:t>
                  </w:r>
                </w:p>
              </w:tc>
              <w:tc>
                <w:tcPr>
                  <w:tcW w:w="433" w:type="pct"/>
                  <w:tcBorders>
                    <w:top w:val="single" w:color="auto" w:sz="4" w:space="0"/>
                    <w:left w:val="single" w:color="auto" w:sz="4" w:space="0"/>
                    <w:bottom w:val="single" w:color="auto" w:sz="4" w:space="0"/>
                    <w:right w:val="single" w:color="auto" w:sz="4" w:space="0"/>
                  </w:tcBorders>
                  <w:vAlign w:val="center"/>
                </w:tcPr>
                <w:p>
                  <w:pPr>
                    <w:pStyle w:val="46"/>
                  </w:pPr>
                  <w:r>
                    <w:t>大</w:t>
                  </w:r>
                </w:p>
              </w:tc>
              <w:tc>
                <w:tcPr>
                  <w:tcW w:w="433" w:type="pct"/>
                  <w:tcBorders>
                    <w:top w:val="single" w:color="auto" w:sz="4" w:space="0"/>
                    <w:left w:val="single" w:color="auto" w:sz="4" w:space="0"/>
                    <w:bottom w:val="single" w:color="auto" w:sz="4" w:space="0"/>
                    <w:right w:val="single" w:color="auto" w:sz="4" w:space="0"/>
                  </w:tcBorders>
                  <w:vAlign w:val="center"/>
                </w:tcPr>
                <w:p>
                  <w:pPr>
                    <w:pStyle w:val="46"/>
                  </w:pPr>
                  <w:r>
                    <w:t>中</w:t>
                  </w:r>
                </w:p>
              </w:tc>
              <w:tc>
                <w:tcPr>
                  <w:tcW w:w="436" w:type="pct"/>
                  <w:tcBorders>
                    <w:top w:val="single" w:color="auto" w:sz="4" w:space="0"/>
                    <w:left w:val="single" w:color="auto" w:sz="4" w:space="0"/>
                    <w:bottom w:val="single" w:color="auto" w:sz="4" w:space="0"/>
                    <w:right w:val="single" w:color="auto" w:sz="4" w:space="0"/>
                  </w:tcBorders>
                  <w:vAlign w:val="center"/>
                </w:tcPr>
                <w:p>
                  <w:pPr>
                    <w:pStyle w:val="46"/>
                  </w:pPr>
                  <w: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165" w:type="pct"/>
                  <w:tcBorders>
                    <w:top w:val="single" w:color="auto" w:sz="4" w:space="0"/>
                    <w:left w:val="single" w:color="auto" w:sz="4" w:space="0"/>
                    <w:bottom w:val="single" w:color="auto" w:sz="4" w:space="0"/>
                    <w:right w:val="single" w:color="auto" w:sz="4" w:space="0"/>
                  </w:tcBorders>
                  <w:vAlign w:val="center"/>
                </w:tcPr>
                <w:p>
                  <w:pPr>
                    <w:pStyle w:val="47"/>
                  </w:pPr>
                  <w:r>
                    <w:t>敏感</w:t>
                  </w:r>
                </w:p>
              </w:tc>
              <w:tc>
                <w:tcPr>
                  <w:tcW w:w="430" w:type="pct"/>
                  <w:tcBorders>
                    <w:top w:val="single" w:color="auto" w:sz="4" w:space="0"/>
                    <w:left w:val="single" w:color="auto" w:sz="4" w:space="0"/>
                    <w:bottom w:val="single" w:color="auto" w:sz="4" w:space="0"/>
                    <w:right w:val="single" w:color="auto" w:sz="4" w:space="0"/>
                  </w:tcBorders>
                  <w:vAlign w:val="center"/>
                </w:tcPr>
                <w:p>
                  <w:pPr>
                    <w:pStyle w:val="47"/>
                  </w:pPr>
                  <w:r>
                    <w:t>一级</w:t>
                  </w:r>
                </w:p>
              </w:tc>
              <w:tc>
                <w:tcPr>
                  <w:tcW w:w="431" w:type="pct"/>
                  <w:tcBorders>
                    <w:top w:val="single" w:color="auto" w:sz="4" w:space="0"/>
                    <w:left w:val="single" w:color="auto" w:sz="4" w:space="0"/>
                    <w:bottom w:val="single" w:color="auto" w:sz="4" w:space="0"/>
                    <w:right w:val="single" w:color="auto" w:sz="4" w:space="0"/>
                  </w:tcBorders>
                  <w:vAlign w:val="center"/>
                </w:tcPr>
                <w:p>
                  <w:pPr>
                    <w:pStyle w:val="47"/>
                  </w:pPr>
                  <w:r>
                    <w:t>一级</w:t>
                  </w:r>
                </w:p>
              </w:tc>
              <w:tc>
                <w:tcPr>
                  <w:tcW w:w="368" w:type="pct"/>
                  <w:tcBorders>
                    <w:top w:val="single" w:color="auto" w:sz="4" w:space="0"/>
                    <w:left w:val="single" w:color="auto" w:sz="4" w:space="0"/>
                    <w:bottom w:val="single" w:color="auto" w:sz="4" w:space="0"/>
                    <w:right w:val="single" w:color="auto" w:sz="4" w:space="0"/>
                  </w:tcBorders>
                  <w:vAlign w:val="center"/>
                </w:tcPr>
                <w:p>
                  <w:pPr>
                    <w:pStyle w:val="47"/>
                  </w:pPr>
                  <w:r>
                    <w:t>一级</w:t>
                  </w:r>
                </w:p>
              </w:tc>
              <w:tc>
                <w:tcPr>
                  <w:tcW w:w="433" w:type="pct"/>
                  <w:tcBorders>
                    <w:top w:val="single" w:color="auto" w:sz="4" w:space="0"/>
                    <w:left w:val="single" w:color="auto" w:sz="4" w:space="0"/>
                    <w:bottom w:val="single" w:color="auto" w:sz="4" w:space="0"/>
                    <w:right w:val="single" w:color="auto" w:sz="4" w:space="0"/>
                  </w:tcBorders>
                  <w:vAlign w:val="center"/>
                </w:tcPr>
                <w:p>
                  <w:pPr>
                    <w:pStyle w:val="47"/>
                  </w:pPr>
                  <w:r>
                    <w:t>二级</w:t>
                  </w:r>
                </w:p>
              </w:tc>
              <w:tc>
                <w:tcPr>
                  <w:tcW w:w="433" w:type="pct"/>
                  <w:tcBorders>
                    <w:top w:val="single" w:color="auto" w:sz="4" w:space="0"/>
                    <w:left w:val="single" w:color="auto" w:sz="4" w:space="0"/>
                    <w:bottom w:val="single" w:color="auto" w:sz="4" w:space="0"/>
                    <w:right w:val="single" w:color="auto" w:sz="4" w:space="0"/>
                  </w:tcBorders>
                  <w:vAlign w:val="center"/>
                </w:tcPr>
                <w:p>
                  <w:pPr>
                    <w:pStyle w:val="47"/>
                  </w:pPr>
                  <w:r>
                    <w:t>二级</w:t>
                  </w:r>
                </w:p>
              </w:tc>
              <w:tc>
                <w:tcPr>
                  <w:tcW w:w="435" w:type="pct"/>
                  <w:tcBorders>
                    <w:top w:val="single" w:color="auto" w:sz="4" w:space="0"/>
                    <w:left w:val="single" w:color="auto" w:sz="4" w:space="0"/>
                    <w:bottom w:val="single" w:color="auto" w:sz="4" w:space="0"/>
                    <w:right w:val="single" w:color="auto" w:sz="4" w:space="0"/>
                  </w:tcBorders>
                  <w:vAlign w:val="center"/>
                </w:tcPr>
                <w:p>
                  <w:pPr>
                    <w:pStyle w:val="47"/>
                  </w:pPr>
                  <w:r>
                    <w:t>二级</w:t>
                  </w:r>
                </w:p>
              </w:tc>
              <w:tc>
                <w:tcPr>
                  <w:tcW w:w="433" w:type="pct"/>
                  <w:tcBorders>
                    <w:top w:val="single" w:color="auto" w:sz="4" w:space="0"/>
                    <w:left w:val="single" w:color="auto" w:sz="4" w:space="0"/>
                    <w:bottom w:val="single" w:color="auto" w:sz="4" w:space="0"/>
                    <w:right w:val="single" w:color="auto" w:sz="4" w:space="0"/>
                  </w:tcBorders>
                  <w:vAlign w:val="center"/>
                </w:tcPr>
                <w:p>
                  <w:pPr>
                    <w:pStyle w:val="47"/>
                  </w:pPr>
                  <w:r>
                    <w:t>三级</w:t>
                  </w:r>
                </w:p>
              </w:tc>
              <w:tc>
                <w:tcPr>
                  <w:tcW w:w="433" w:type="pct"/>
                  <w:tcBorders>
                    <w:top w:val="single" w:color="auto" w:sz="4" w:space="0"/>
                    <w:left w:val="single" w:color="auto" w:sz="4" w:space="0"/>
                    <w:bottom w:val="single" w:color="auto" w:sz="4" w:space="0"/>
                    <w:right w:val="single" w:color="auto" w:sz="4" w:space="0"/>
                  </w:tcBorders>
                  <w:vAlign w:val="center"/>
                </w:tcPr>
                <w:p>
                  <w:pPr>
                    <w:pStyle w:val="47"/>
                  </w:pPr>
                  <w:r>
                    <w:t>三级</w:t>
                  </w:r>
                </w:p>
              </w:tc>
              <w:tc>
                <w:tcPr>
                  <w:tcW w:w="436" w:type="pct"/>
                  <w:tcBorders>
                    <w:top w:val="single" w:color="auto" w:sz="4" w:space="0"/>
                    <w:left w:val="single" w:color="auto" w:sz="4" w:space="0"/>
                    <w:bottom w:val="single" w:color="auto" w:sz="4" w:space="0"/>
                    <w:right w:val="single" w:color="auto" w:sz="4" w:space="0"/>
                  </w:tcBorders>
                  <w:vAlign w:val="center"/>
                </w:tcPr>
                <w:p>
                  <w:pPr>
                    <w:pStyle w:val="47"/>
                  </w:pPr>
                  <w: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165" w:type="pct"/>
                  <w:tcBorders>
                    <w:top w:val="single" w:color="auto" w:sz="4" w:space="0"/>
                    <w:left w:val="single" w:color="auto" w:sz="4" w:space="0"/>
                    <w:bottom w:val="single" w:color="auto" w:sz="4" w:space="0"/>
                    <w:right w:val="single" w:color="auto" w:sz="4" w:space="0"/>
                  </w:tcBorders>
                  <w:vAlign w:val="center"/>
                </w:tcPr>
                <w:p>
                  <w:pPr>
                    <w:pStyle w:val="47"/>
                  </w:pPr>
                  <w:r>
                    <w:t>较敏感</w:t>
                  </w:r>
                </w:p>
              </w:tc>
              <w:tc>
                <w:tcPr>
                  <w:tcW w:w="430" w:type="pct"/>
                  <w:tcBorders>
                    <w:top w:val="single" w:color="auto" w:sz="4" w:space="0"/>
                    <w:left w:val="single" w:color="auto" w:sz="4" w:space="0"/>
                    <w:bottom w:val="single" w:color="auto" w:sz="4" w:space="0"/>
                    <w:right w:val="single" w:color="auto" w:sz="4" w:space="0"/>
                  </w:tcBorders>
                  <w:vAlign w:val="center"/>
                </w:tcPr>
                <w:p>
                  <w:pPr>
                    <w:pStyle w:val="47"/>
                  </w:pPr>
                  <w:r>
                    <w:t>一级</w:t>
                  </w:r>
                </w:p>
              </w:tc>
              <w:tc>
                <w:tcPr>
                  <w:tcW w:w="431" w:type="pct"/>
                  <w:tcBorders>
                    <w:top w:val="single" w:color="auto" w:sz="4" w:space="0"/>
                    <w:left w:val="single" w:color="auto" w:sz="4" w:space="0"/>
                    <w:bottom w:val="single" w:color="auto" w:sz="4" w:space="0"/>
                    <w:right w:val="single" w:color="auto" w:sz="4" w:space="0"/>
                  </w:tcBorders>
                  <w:vAlign w:val="center"/>
                </w:tcPr>
                <w:p>
                  <w:pPr>
                    <w:pStyle w:val="47"/>
                  </w:pPr>
                  <w:r>
                    <w:t>一级</w:t>
                  </w:r>
                </w:p>
              </w:tc>
              <w:tc>
                <w:tcPr>
                  <w:tcW w:w="368" w:type="pct"/>
                  <w:tcBorders>
                    <w:top w:val="single" w:color="auto" w:sz="4" w:space="0"/>
                    <w:left w:val="single" w:color="auto" w:sz="4" w:space="0"/>
                    <w:bottom w:val="single" w:color="auto" w:sz="4" w:space="0"/>
                    <w:right w:val="single" w:color="auto" w:sz="4" w:space="0"/>
                  </w:tcBorders>
                  <w:vAlign w:val="center"/>
                </w:tcPr>
                <w:p>
                  <w:pPr>
                    <w:pStyle w:val="47"/>
                  </w:pPr>
                  <w:r>
                    <w:t>二级</w:t>
                  </w:r>
                </w:p>
              </w:tc>
              <w:tc>
                <w:tcPr>
                  <w:tcW w:w="433" w:type="pct"/>
                  <w:tcBorders>
                    <w:top w:val="single" w:color="auto" w:sz="4" w:space="0"/>
                    <w:left w:val="single" w:color="auto" w:sz="4" w:space="0"/>
                    <w:bottom w:val="single" w:color="auto" w:sz="4" w:space="0"/>
                    <w:right w:val="single" w:color="auto" w:sz="4" w:space="0"/>
                  </w:tcBorders>
                  <w:vAlign w:val="center"/>
                </w:tcPr>
                <w:p>
                  <w:pPr>
                    <w:pStyle w:val="47"/>
                  </w:pPr>
                  <w:r>
                    <w:t>二级</w:t>
                  </w:r>
                </w:p>
              </w:tc>
              <w:tc>
                <w:tcPr>
                  <w:tcW w:w="433" w:type="pct"/>
                  <w:tcBorders>
                    <w:top w:val="single" w:color="auto" w:sz="4" w:space="0"/>
                    <w:left w:val="single" w:color="auto" w:sz="4" w:space="0"/>
                    <w:bottom w:val="single" w:color="auto" w:sz="4" w:space="0"/>
                    <w:right w:val="single" w:color="auto" w:sz="4" w:space="0"/>
                  </w:tcBorders>
                  <w:vAlign w:val="center"/>
                </w:tcPr>
                <w:p>
                  <w:pPr>
                    <w:pStyle w:val="47"/>
                  </w:pPr>
                  <w:r>
                    <w:t>二级</w:t>
                  </w:r>
                </w:p>
              </w:tc>
              <w:tc>
                <w:tcPr>
                  <w:tcW w:w="435" w:type="pct"/>
                  <w:tcBorders>
                    <w:top w:val="single" w:color="auto" w:sz="4" w:space="0"/>
                    <w:left w:val="single" w:color="auto" w:sz="4" w:space="0"/>
                    <w:bottom w:val="single" w:color="auto" w:sz="4" w:space="0"/>
                    <w:right w:val="single" w:color="auto" w:sz="4" w:space="0"/>
                  </w:tcBorders>
                  <w:vAlign w:val="center"/>
                </w:tcPr>
                <w:p>
                  <w:pPr>
                    <w:pStyle w:val="47"/>
                  </w:pPr>
                  <w:r>
                    <w:t>三级</w:t>
                  </w:r>
                </w:p>
              </w:tc>
              <w:tc>
                <w:tcPr>
                  <w:tcW w:w="433" w:type="pct"/>
                  <w:tcBorders>
                    <w:top w:val="single" w:color="auto" w:sz="4" w:space="0"/>
                    <w:left w:val="single" w:color="auto" w:sz="4" w:space="0"/>
                    <w:bottom w:val="single" w:color="auto" w:sz="4" w:space="0"/>
                    <w:right w:val="single" w:color="auto" w:sz="4" w:space="0"/>
                  </w:tcBorders>
                  <w:vAlign w:val="center"/>
                </w:tcPr>
                <w:p>
                  <w:pPr>
                    <w:pStyle w:val="47"/>
                  </w:pPr>
                  <w:r>
                    <w:t>三级</w:t>
                  </w:r>
                </w:p>
              </w:tc>
              <w:tc>
                <w:tcPr>
                  <w:tcW w:w="433" w:type="pct"/>
                  <w:tcBorders>
                    <w:top w:val="single" w:color="auto" w:sz="4" w:space="0"/>
                    <w:left w:val="single" w:color="auto" w:sz="4" w:space="0"/>
                    <w:bottom w:val="single" w:color="auto" w:sz="4" w:space="0"/>
                    <w:right w:val="single" w:color="auto" w:sz="4" w:space="0"/>
                  </w:tcBorders>
                  <w:vAlign w:val="center"/>
                </w:tcPr>
                <w:p>
                  <w:pPr>
                    <w:pStyle w:val="47"/>
                  </w:pPr>
                  <w:r>
                    <w:t>三级</w:t>
                  </w:r>
                </w:p>
              </w:tc>
              <w:tc>
                <w:tcPr>
                  <w:tcW w:w="436" w:type="pct"/>
                  <w:tcBorders>
                    <w:top w:val="single" w:color="auto" w:sz="4" w:space="0"/>
                    <w:left w:val="single" w:color="auto" w:sz="4" w:space="0"/>
                    <w:bottom w:val="single" w:color="auto" w:sz="4" w:space="0"/>
                    <w:right w:val="single" w:color="auto" w:sz="4" w:space="0"/>
                  </w:tcBorders>
                  <w:vAlign w:val="center"/>
                </w:tcPr>
                <w:p>
                  <w:pPr>
                    <w:pStyle w:val="4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165" w:type="pct"/>
                  <w:tcBorders>
                    <w:top w:val="single" w:color="auto" w:sz="4" w:space="0"/>
                    <w:left w:val="single" w:color="auto" w:sz="4" w:space="0"/>
                    <w:bottom w:val="single" w:color="auto" w:sz="4" w:space="0"/>
                    <w:right w:val="single" w:color="auto" w:sz="4" w:space="0"/>
                  </w:tcBorders>
                  <w:vAlign w:val="center"/>
                </w:tcPr>
                <w:p>
                  <w:pPr>
                    <w:pStyle w:val="47"/>
                  </w:pPr>
                  <w:r>
                    <w:t>不敏感</w:t>
                  </w:r>
                </w:p>
              </w:tc>
              <w:tc>
                <w:tcPr>
                  <w:tcW w:w="430" w:type="pct"/>
                  <w:tcBorders>
                    <w:top w:val="single" w:color="auto" w:sz="4" w:space="0"/>
                    <w:left w:val="single" w:color="auto" w:sz="4" w:space="0"/>
                    <w:bottom w:val="single" w:color="auto" w:sz="4" w:space="0"/>
                    <w:right w:val="single" w:color="auto" w:sz="4" w:space="0"/>
                  </w:tcBorders>
                  <w:vAlign w:val="center"/>
                </w:tcPr>
                <w:p>
                  <w:pPr>
                    <w:pStyle w:val="47"/>
                  </w:pPr>
                  <w:r>
                    <w:t>一级</w:t>
                  </w:r>
                </w:p>
              </w:tc>
              <w:tc>
                <w:tcPr>
                  <w:tcW w:w="431" w:type="pct"/>
                  <w:tcBorders>
                    <w:top w:val="single" w:color="auto" w:sz="4" w:space="0"/>
                    <w:left w:val="single" w:color="auto" w:sz="4" w:space="0"/>
                    <w:bottom w:val="single" w:color="auto" w:sz="4" w:space="0"/>
                    <w:right w:val="single" w:color="auto" w:sz="4" w:space="0"/>
                  </w:tcBorders>
                  <w:vAlign w:val="center"/>
                </w:tcPr>
                <w:p>
                  <w:pPr>
                    <w:pStyle w:val="47"/>
                  </w:pPr>
                  <w:r>
                    <w:t>二级</w:t>
                  </w:r>
                </w:p>
              </w:tc>
              <w:tc>
                <w:tcPr>
                  <w:tcW w:w="368" w:type="pct"/>
                  <w:tcBorders>
                    <w:top w:val="single" w:color="auto" w:sz="4" w:space="0"/>
                    <w:left w:val="single" w:color="auto" w:sz="4" w:space="0"/>
                    <w:bottom w:val="single" w:color="auto" w:sz="4" w:space="0"/>
                    <w:right w:val="single" w:color="auto" w:sz="4" w:space="0"/>
                  </w:tcBorders>
                  <w:vAlign w:val="center"/>
                </w:tcPr>
                <w:p>
                  <w:pPr>
                    <w:pStyle w:val="47"/>
                  </w:pPr>
                  <w:r>
                    <w:t>二级</w:t>
                  </w:r>
                </w:p>
              </w:tc>
              <w:tc>
                <w:tcPr>
                  <w:tcW w:w="433" w:type="pct"/>
                  <w:tcBorders>
                    <w:top w:val="single" w:color="auto" w:sz="4" w:space="0"/>
                    <w:left w:val="single" w:color="auto" w:sz="4" w:space="0"/>
                    <w:bottom w:val="single" w:color="auto" w:sz="4" w:space="0"/>
                    <w:right w:val="single" w:color="auto" w:sz="4" w:space="0"/>
                  </w:tcBorders>
                  <w:vAlign w:val="center"/>
                </w:tcPr>
                <w:p>
                  <w:pPr>
                    <w:pStyle w:val="47"/>
                  </w:pPr>
                  <w:r>
                    <w:t>二级</w:t>
                  </w:r>
                </w:p>
              </w:tc>
              <w:tc>
                <w:tcPr>
                  <w:tcW w:w="433" w:type="pct"/>
                  <w:tcBorders>
                    <w:top w:val="single" w:color="auto" w:sz="4" w:space="0"/>
                    <w:left w:val="single" w:color="auto" w:sz="4" w:space="0"/>
                    <w:bottom w:val="single" w:color="auto" w:sz="4" w:space="0"/>
                    <w:right w:val="single" w:color="auto" w:sz="4" w:space="0"/>
                  </w:tcBorders>
                  <w:vAlign w:val="center"/>
                </w:tcPr>
                <w:p>
                  <w:pPr>
                    <w:pStyle w:val="47"/>
                  </w:pPr>
                  <w:r>
                    <w:t>三级</w:t>
                  </w:r>
                </w:p>
              </w:tc>
              <w:tc>
                <w:tcPr>
                  <w:tcW w:w="435" w:type="pct"/>
                  <w:tcBorders>
                    <w:top w:val="single" w:color="auto" w:sz="4" w:space="0"/>
                    <w:left w:val="single" w:color="auto" w:sz="4" w:space="0"/>
                    <w:bottom w:val="single" w:color="auto" w:sz="4" w:space="0"/>
                    <w:right w:val="single" w:color="auto" w:sz="4" w:space="0"/>
                  </w:tcBorders>
                  <w:vAlign w:val="center"/>
                </w:tcPr>
                <w:p>
                  <w:pPr>
                    <w:pStyle w:val="47"/>
                  </w:pPr>
                  <w:r>
                    <w:t>三级</w:t>
                  </w:r>
                </w:p>
              </w:tc>
              <w:tc>
                <w:tcPr>
                  <w:tcW w:w="433" w:type="pct"/>
                  <w:tcBorders>
                    <w:top w:val="single" w:color="auto" w:sz="4" w:space="0"/>
                    <w:left w:val="single" w:color="auto" w:sz="4" w:space="0"/>
                    <w:bottom w:val="single" w:color="auto" w:sz="4" w:space="0"/>
                    <w:right w:val="single" w:color="auto" w:sz="4" w:space="0"/>
                  </w:tcBorders>
                  <w:vAlign w:val="center"/>
                </w:tcPr>
                <w:p>
                  <w:pPr>
                    <w:pStyle w:val="47"/>
                  </w:pPr>
                  <w:r>
                    <w:t>三级</w:t>
                  </w:r>
                </w:p>
              </w:tc>
              <w:tc>
                <w:tcPr>
                  <w:tcW w:w="433" w:type="pct"/>
                  <w:tcBorders>
                    <w:top w:val="single" w:color="auto" w:sz="4" w:space="0"/>
                    <w:left w:val="single" w:color="auto" w:sz="4" w:space="0"/>
                    <w:bottom w:val="single" w:color="auto" w:sz="4" w:space="0"/>
                    <w:right w:val="single" w:color="auto" w:sz="4" w:space="0"/>
                  </w:tcBorders>
                  <w:vAlign w:val="center"/>
                </w:tcPr>
                <w:p>
                  <w:pPr>
                    <w:pStyle w:val="47"/>
                  </w:pPr>
                  <w:r>
                    <w:t>-</w:t>
                  </w:r>
                </w:p>
              </w:tc>
              <w:tc>
                <w:tcPr>
                  <w:tcW w:w="436" w:type="pct"/>
                  <w:tcBorders>
                    <w:top w:val="single" w:color="auto" w:sz="4" w:space="0"/>
                    <w:left w:val="single" w:color="auto" w:sz="4" w:space="0"/>
                    <w:bottom w:val="single" w:color="auto" w:sz="4" w:space="0"/>
                    <w:right w:val="single" w:color="auto" w:sz="4" w:space="0"/>
                  </w:tcBorders>
                  <w:vAlign w:val="center"/>
                </w:tcPr>
                <w:p>
                  <w:pPr>
                    <w:pStyle w:val="47"/>
                  </w:pPr>
                  <w:r>
                    <w:t>-</w:t>
                  </w:r>
                </w:p>
              </w:tc>
            </w:tr>
          </w:tbl>
          <w:p>
            <w:pPr>
              <w:ind w:firstLine="480"/>
            </w:pPr>
            <w:r>
              <w:t>企业占地面积为</w:t>
            </w:r>
            <w:r>
              <w:rPr>
                <w:rFonts w:hint="eastAsia"/>
              </w:rPr>
              <w:t>425</w:t>
            </w:r>
            <w:r>
              <w:t>m</w:t>
            </w:r>
            <w:r>
              <w:rPr>
                <w:vertAlign w:val="superscript"/>
              </w:rPr>
              <w:t>2</w:t>
            </w:r>
            <w:r>
              <w:t>≤5hm</w:t>
            </w:r>
            <w:r>
              <w:rPr>
                <w:vertAlign w:val="superscript"/>
              </w:rPr>
              <w:t>2</w:t>
            </w:r>
            <w:r>
              <w:t>，属于小型建设项目，另外由于本项目位于</w:t>
            </w:r>
            <w:r>
              <w:rPr>
                <w:rFonts w:hint="eastAsia"/>
              </w:rPr>
              <w:t>桐乡市崇福镇杭福路1336号20幢1号</w:t>
            </w:r>
            <w:r>
              <w:t>，</w:t>
            </w:r>
            <w:r>
              <w:rPr>
                <w:rFonts w:hint="eastAsia"/>
              </w:rPr>
              <w:t>位于崇福工业区内</w:t>
            </w:r>
            <w:r>
              <w:t>，本项目可能对土壤环境造成影响的污染途径为大气沉降，根据7.2.3大气环境影响分析，</w:t>
            </w:r>
            <w:r>
              <w:rPr>
                <w:rFonts w:hint="eastAsia"/>
              </w:rPr>
              <w:t>有组织下风向最大质量浓度落地点距离为125m，本项目130m范围内无土壤环境敏感目标，因此本项目土壤环境敏感程度为“不敏感”。对照《环境影响评价技术导则 土壤环境（实行）》（HJ964-2018）中表4“污染影响型评价工作等级划分表”，判定本项目土壤环境影响评价工作等级为二级</w:t>
            </w:r>
            <w:r>
              <w:t>。</w:t>
            </w:r>
          </w:p>
          <w:p>
            <w:pPr>
              <w:ind w:firstLine="480"/>
              <w:textAlignment w:val="auto"/>
            </w:pPr>
            <w:r>
              <w:rPr>
                <w:rFonts w:hint="eastAsia"/>
              </w:rPr>
              <w:t>1、土壤环境影响类型</w:t>
            </w:r>
          </w:p>
          <w:p>
            <w:pPr>
              <w:adjustRightInd w:val="0"/>
              <w:snapToGrid w:val="0"/>
              <w:ind w:firstLine="480"/>
            </w:pPr>
            <w:r>
              <w:rPr>
                <w:rFonts w:hint="eastAsia"/>
              </w:rPr>
              <w:t>土壤污染是指人类活动所产生的物质（污染物），通过多种途径进入土壤，其数量和速度超过了土壤的容纳能力和净化速度的现象。土壤污染可使土壤的性质、组成及性状等发生变化，使污染物质的积累过程逐渐占据优势，破坏了土壤的自然动态平衡，从而导致土壤自然正常功能失调，土壤质量恶化，影响作物的生长发育，以致造成产量和质量的下降，并可通过食物链引起对生物和人类的直接危害，甚至形成对有机生命的超地方性的危害。</w:t>
            </w:r>
          </w:p>
          <w:p>
            <w:pPr>
              <w:adjustRightInd w:val="0"/>
              <w:snapToGrid w:val="0"/>
              <w:ind w:firstLine="480"/>
            </w:pPr>
            <w:r>
              <w:rPr>
                <w:rFonts w:hint="eastAsia"/>
              </w:rPr>
              <w:t>本项目污染物质对土壤造成影响的主要途径为大气沉降影响。污染物质来源于被污染的大气，污染物质主要集中在土壤表层，其主要污染物是非甲烷总烃，它们降落到地表可破坏土壤肥力与生态系统的平衡。</w:t>
            </w:r>
          </w:p>
          <w:p>
            <w:pPr>
              <w:ind w:firstLine="480"/>
              <w:textAlignment w:val="auto"/>
            </w:pPr>
            <w:r>
              <w:rPr>
                <w:rFonts w:hint="eastAsia"/>
              </w:rPr>
              <w:t>建设项目土壤环境影响类型与影响途径见表7-23。</w:t>
            </w:r>
          </w:p>
          <w:p>
            <w:pPr>
              <w:pStyle w:val="46"/>
            </w:pPr>
            <w:r>
              <w:rPr>
                <w:rFonts w:hint="eastAsia"/>
              </w:rPr>
              <w:t>表</w:t>
            </w:r>
            <w:r>
              <w:t>7</w:t>
            </w:r>
            <w:r>
              <w:rPr>
                <w:rFonts w:hint="eastAsia"/>
              </w:rPr>
              <w:t>-</w:t>
            </w:r>
            <w:r>
              <w:t>2</w:t>
            </w:r>
            <w:r>
              <w:rPr>
                <w:rFonts w:hint="eastAsia"/>
              </w:rPr>
              <w:t>3</w:t>
            </w:r>
            <w:r>
              <w:t xml:space="preserve">  </w:t>
            </w:r>
            <w:r>
              <w:rPr>
                <w:rFonts w:hint="eastAsia"/>
              </w:rPr>
              <w:t>建设项目土壤环境影响类型与影响途径</w:t>
            </w:r>
          </w:p>
          <w:tbl>
            <w:tblPr>
              <w:tblStyle w:val="34"/>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77"/>
              <w:gridCol w:w="1634"/>
              <w:gridCol w:w="1634"/>
              <w:gridCol w:w="1634"/>
              <w:gridCol w:w="16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48" w:type="pct"/>
                  <w:vMerge w:val="restart"/>
                  <w:vAlign w:val="center"/>
                </w:tcPr>
                <w:p>
                  <w:pPr>
                    <w:pStyle w:val="46"/>
                  </w:pPr>
                  <w:r>
                    <w:rPr>
                      <w:rFonts w:hint="eastAsia"/>
                    </w:rPr>
                    <w:t>不同时段</w:t>
                  </w:r>
                </w:p>
              </w:tc>
              <w:tc>
                <w:tcPr>
                  <w:tcW w:w="3751" w:type="pct"/>
                  <w:gridSpan w:val="4"/>
                  <w:vAlign w:val="center"/>
                </w:tcPr>
                <w:p>
                  <w:pPr>
                    <w:pStyle w:val="46"/>
                  </w:pPr>
                  <w:r>
                    <w:rPr>
                      <w:rFonts w:hint="eastAsia"/>
                    </w:rPr>
                    <w:t>污染影响类型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48" w:type="pct"/>
                  <w:vMerge w:val="continue"/>
                  <w:vAlign w:val="center"/>
                </w:tcPr>
                <w:p>
                  <w:pPr>
                    <w:pStyle w:val="46"/>
                  </w:pPr>
                </w:p>
              </w:tc>
              <w:tc>
                <w:tcPr>
                  <w:tcW w:w="937" w:type="pct"/>
                  <w:vAlign w:val="center"/>
                </w:tcPr>
                <w:p>
                  <w:pPr>
                    <w:pStyle w:val="46"/>
                  </w:pPr>
                  <w:r>
                    <w:rPr>
                      <w:rFonts w:hint="eastAsia"/>
                    </w:rPr>
                    <w:t>大气沉降</w:t>
                  </w:r>
                </w:p>
              </w:tc>
              <w:tc>
                <w:tcPr>
                  <w:tcW w:w="937" w:type="pct"/>
                  <w:vAlign w:val="center"/>
                </w:tcPr>
                <w:p>
                  <w:pPr>
                    <w:pStyle w:val="46"/>
                  </w:pPr>
                  <w:r>
                    <w:rPr>
                      <w:rFonts w:hint="eastAsia"/>
                    </w:rPr>
                    <w:t>地面漫流</w:t>
                  </w:r>
                </w:p>
              </w:tc>
              <w:tc>
                <w:tcPr>
                  <w:tcW w:w="937" w:type="pct"/>
                  <w:tcBorders>
                    <w:right w:val="single" w:color="auto" w:sz="4" w:space="0"/>
                  </w:tcBorders>
                  <w:vAlign w:val="center"/>
                </w:tcPr>
                <w:p>
                  <w:pPr>
                    <w:pStyle w:val="46"/>
                  </w:pPr>
                  <w:r>
                    <w:rPr>
                      <w:rFonts w:hint="eastAsia"/>
                    </w:rPr>
                    <w:t>垂直入渗</w:t>
                  </w:r>
                </w:p>
              </w:tc>
              <w:tc>
                <w:tcPr>
                  <w:tcW w:w="939" w:type="pct"/>
                  <w:tcBorders>
                    <w:left w:val="single" w:color="auto" w:sz="4" w:space="0"/>
                  </w:tcBorders>
                  <w:vAlign w:val="center"/>
                </w:tcPr>
                <w:p>
                  <w:pPr>
                    <w:pStyle w:val="46"/>
                  </w:pPr>
                  <w:r>
                    <w:rPr>
                      <w:rFonts w:hint="eastAsia"/>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48" w:type="pct"/>
                  <w:vAlign w:val="center"/>
                </w:tcPr>
                <w:p>
                  <w:pPr>
                    <w:pStyle w:val="47"/>
                  </w:pPr>
                  <w:r>
                    <w:rPr>
                      <w:rFonts w:hint="eastAsia"/>
                    </w:rPr>
                    <w:t>建设期</w:t>
                  </w:r>
                </w:p>
              </w:tc>
              <w:tc>
                <w:tcPr>
                  <w:tcW w:w="937" w:type="pct"/>
                  <w:vAlign w:val="center"/>
                </w:tcPr>
                <w:p>
                  <w:pPr>
                    <w:pStyle w:val="47"/>
                  </w:pPr>
                  <w:r>
                    <w:rPr>
                      <w:rFonts w:hint="eastAsia"/>
                    </w:rPr>
                    <w:t>/</w:t>
                  </w:r>
                </w:p>
              </w:tc>
              <w:tc>
                <w:tcPr>
                  <w:tcW w:w="937" w:type="pct"/>
                  <w:vAlign w:val="center"/>
                </w:tcPr>
                <w:p>
                  <w:pPr>
                    <w:pStyle w:val="47"/>
                  </w:pPr>
                  <w:r>
                    <w:rPr>
                      <w:rFonts w:hint="eastAsia"/>
                    </w:rPr>
                    <w:t>/</w:t>
                  </w:r>
                </w:p>
              </w:tc>
              <w:tc>
                <w:tcPr>
                  <w:tcW w:w="937" w:type="pct"/>
                  <w:tcBorders>
                    <w:right w:val="single" w:color="auto" w:sz="4" w:space="0"/>
                  </w:tcBorders>
                  <w:vAlign w:val="center"/>
                </w:tcPr>
                <w:p>
                  <w:pPr>
                    <w:pStyle w:val="47"/>
                  </w:pPr>
                  <w:r>
                    <w:rPr>
                      <w:rFonts w:hint="eastAsia"/>
                    </w:rPr>
                    <w:t>/</w:t>
                  </w:r>
                </w:p>
              </w:tc>
              <w:tc>
                <w:tcPr>
                  <w:tcW w:w="939" w:type="pct"/>
                  <w:tcBorders>
                    <w:left w:val="single" w:color="auto" w:sz="4" w:space="0"/>
                  </w:tcBorders>
                  <w:vAlign w:val="center"/>
                </w:tcPr>
                <w:p>
                  <w:pPr>
                    <w:pStyle w:val="47"/>
                  </w:pPr>
                  <w:r>
                    <w:rPr>
                      <w:rFonts w:hint="eastAsi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48" w:type="pct"/>
                  <w:vAlign w:val="center"/>
                </w:tcPr>
                <w:p>
                  <w:pPr>
                    <w:pStyle w:val="47"/>
                  </w:pPr>
                  <w:r>
                    <w:rPr>
                      <w:rFonts w:hint="eastAsia"/>
                    </w:rPr>
                    <w:t>运营期</w:t>
                  </w:r>
                </w:p>
              </w:tc>
              <w:tc>
                <w:tcPr>
                  <w:tcW w:w="937" w:type="pct"/>
                  <w:vAlign w:val="center"/>
                </w:tcPr>
                <w:p>
                  <w:pPr>
                    <w:pStyle w:val="47"/>
                  </w:pPr>
                  <w:r>
                    <w:rPr>
                      <w:rFonts w:hint="eastAsia"/>
                    </w:rPr>
                    <w:t>√</w:t>
                  </w:r>
                </w:p>
              </w:tc>
              <w:tc>
                <w:tcPr>
                  <w:tcW w:w="937" w:type="pct"/>
                  <w:vAlign w:val="center"/>
                </w:tcPr>
                <w:p>
                  <w:pPr>
                    <w:pStyle w:val="47"/>
                  </w:pPr>
                  <w:r>
                    <w:rPr>
                      <w:rFonts w:hint="eastAsia"/>
                    </w:rPr>
                    <w:t>/</w:t>
                  </w:r>
                </w:p>
              </w:tc>
              <w:tc>
                <w:tcPr>
                  <w:tcW w:w="937" w:type="pct"/>
                  <w:tcBorders>
                    <w:right w:val="single" w:color="auto" w:sz="4" w:space="0"/>
                  </w:tcBorders>
                  <w:vAlign w:val="center"/>
                </w:tcPr>
                <w:p>
                  <w:pPr>
                    <w:pStyle w:val="47"/>
                  </w:pPr>
                  <w:r>
                    <w:rPr>
                      <w:rFonts w:hint="eastAsia"/>
                    </w:rPr>
                    <w:t>/</w:t>
                  </w:r>
                </w:p>
              </w:tc>
              <w:tc>
                <w:tcPr>
                  <w:tcW w:w="939" w:type="pct"/>
                  <w:tcBorders>
                    <w:left w:val="single" w:color="auto" w:sz="4" w:space="0"/>
                  </w:tcBorders>
                  <w:vAlign w:val="center"/>
                </w:tcPr>
                <w:p>
                  <w:pPr>
                    <w:pStyle w:val="47"/>
                  </w:pPr>
                  <w:r>
                    <w:rPr>
                      <w:rFonts w:hint="eastAsi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48" w:type="pct"/>
                  <w:vAlign w:val="center"/>
                </w:tcPr>
                <w:p>
                  <w:pPr>
                    <w:pStyle w:val="47"/>
                  </w:pPr>
                  <w:r>
                    <w:rPr>
                      <w:rFonts w:hint="eastAsia"/>
                    </w:rPr>
                    <w:t>服务期满后</w:t>
                  </w:r>
                </w:p>
              </w:tc>
              <w:tc>
                <w:tcPr>
                  <w:tcW w:w="937" w:type="pct"/>
                  <w:vAlign w:val="center"/>
                </w:tcPr>
                <w:p>
                  <w:pPr>
                    <w:pStyle w:val="47"/>
                  </w:pPr>
                  <w:r>
                    <w:rPr>
                      <w:rFonts w:hint="eastAsia"/>
                    </w:rPr>
                    <w:t>/</w:t>
                  </w:r>
                </w:p>
              </w:tc>
              <w:tc>
                <w:tcPr>
                  <w:tcW w:w="937" w:type="pct"/>
                  <w:vAlign w:val="center"/>
                </w:tcPr>
                <w:p>
                  <w:pPr>
                    <w:pStyle w:val="47"/>
                  </w:pPr>
                  <w:r>
                    <w:rPr>
                      <w:rFonts w:hint="eastAsia"/>
                    </w:rPr>
                    <w:t>/</w:t>
                  </w:r>
                </w:p>
              </w:tc>
              <w:tc>
                <w:tcPr>
                  <w:tcW w:w="937" w:type="pct"/>
                  <w:tcBorders>
                    <w:right w:val="single" w:color="auto" w:sz="4" w:space="0"/>
                  </w:tcBorders>
                  <w:vAlign w:val="center"/>
                </w:tcPr>
                <w:p>
                  <w:pPr>
                    <w:pStyle w:val="47"/>
                  </w:pPr>
                  <w:r>
                    <w:rPr>
                      <w:rFonts w:hint="eastAsia"/>
                    </w:rPr>
                    <w:t>/</w:t>
                  </w:r>
                </w:p>
              </w:tc>
              <w:tc>
                <w:tcPr>
                  <w:tcW w:w="939" w:type="pct"/>
                  <w:tcBorders>
                    <w:left w:val="single" w:color="auto" w:sz="4" w:space="0"/>
                  </w:tcBorders>
                  <w:vAlign w:val="center"/>
                </w:tcPr>
                <w:p>
                  <w:pPr>
                    <w:pStyle w:val="47"/>
                  </w:pPr>
                  <w:r>
                    <w:rPr>
                      <w:rFonts w:hint="eastAsia"/>
                    </w:rPr>
                    <w:t>/</w:t>
                  </w:r>
                </w:p>
              </w:tc>
            </w:tr>
          </w:tbl>
          <w:p>
            <w:pPr>
              <w:spacing w:before="120" w:beforeLines="50"/>
              <w:ind w:firstLine="480"/>
              <w:textAlignment w:val="auto"/>
            </w:pPr>
            <w:r>
              <w:rPr>
                <w:rFonts w:hint="eastAsia"/>
              </w:rPr>
              <w:t>根据上述分析，本项目重点考虑生产车间非甲烷总烃污染物沉降污染，本项目非甲烷总烃废气收集后经“一级活性炭+二级活性炭”吸附装置处理后高空排放；本项目生产车间地面已硬化，且绝缘漆、机油、乳化液等原材料均位于生产车间2~</w:t>
            </w:r>
            <w:r>
              <w:t>3</w:t>
            </w:r>
            <w:r>
              <w:rPr>
                <w:rFonts w:hint="eastAsia"/>
              </w:rPr>
              <w:t>层，危废仓库位于生产车间</w:t>
            </w:r>
            <w:r>
              <w:t>2</w:t>
            </w:r>
            <w:r>
              <w:rPr>
                <w:rFonts w:hint="eastAsia"/>
              </w:rPr>
              <w:t>层，生活废水经管道输送至污水处理管网，若发生泄漏等事故时不会通过地面漫流、入渗途径影响土壤。正常工况下，本项目潜在土壤污染源均达到设计要求，对土壤影响较小；非正常工况下，项目土壤环境影响源及影响识别见表</w:t>
            </w:r>
            <w:r>
              <w:t>7-2</w:t>
            </w:r>
            <w:r>
              <w:rPr>
                <w:rFonts w:hint="eastAsia"/>
              </w:rPr>
              <w:t>4。</w:t>
            </w:r>
          </w:p>
          <w:p>
            <w:pPr>
              <w:pStyle w:val="46"/>
            </w:pPr>
            <w:r>
              <w:rPr>
                <w:rFonts w:hint="eastAsia"/>
              </w:rPr>
              <w:t>表7-24  建设项目土壤环境影响源及影响因子识别表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5"/>
              <w:gridCol w:w="1810"/>
              <w:gridCol w:w="3501"/>
              <w:gridCol w:w="1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0" w:type="pct"/>
                  <w:vAlign w:val="center"/>
                </w:tcPr>
                <w:p>
                  <w:pPr>
                    <w:pStyle w:val="46"/>
                  </w:pPr>
                  <w:r>
                    <w:rPr>
                      <w:rFonts w:hint="eastAsia"/>
                    </w:rPr>
                    <w:t>污染源</w:t>
                  </w:r>
                </w:p>
              </w:tc>
              <w:tc>
                <w:tcPr>
                  <w:tcW w:w="1038" w:type="pct"/>
                  <w:vAlign w:val="center"/>
                </w:tcPr>
                <w:p>
                  <w:pPr>
                    <w:pStyle w:val="46"/>
                  </w:pPr>
                  <w:r>
                    <w:rPr>
                      <w:rFonts w:hint="eastAsia"/>
                    </w:rPr>
                    <w:t>非正常工况</w:t>
                  </w:r>
                </w:p>
              </w:tc>
              <w:tc>
                <w:tcPr>
                  <w:tcW w:w="2007" w:type="pct"/>
                  <w:vAlign w:val="center"/>
                </w:tcPr>
                <w:p>
                  <w:pPr>
                    <w:pStyle w:val="46"/>
                  </w:pPr>
                  <w:r>
                    <w:rPr>
                      <w:rFonts w:hint="eastAsia"/>
                    </w:rPr>
                    <w:t>潜在污染途径</w:t>
                  </w:r>
                </w:p>
              </w:tc>
              <w:tc>
                <w:tcPr>
                  <w:tcW w:w="1073" w:type="pct"/>
                  <w:vAlign w:val="center"/>
                </w:tcPr>
                <w:p>
                  <w:pPr>
                    <w:pStyle w:val="46"/>
                  </w:pPr>
                  <w:r>
                    <w:rPr>
                      <w:rFonts w:hint="eastAsia"/>
                    </w:rPr>
                    <w:t>主要污染物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0" w:type="pct"/>
                  <w:vAlign w:val="center"/>
                </w:tcPr>
                <w:p>
                  <w:pPr>
                    <w:pStyle w:val="47"/>
                    <w:rPr>
                      <w:szCs w:val="22"/>
                    </w:rPr>
                  </w:pPr>
                  <w:r>
                    <w:rPr>
                      <w:rFonts w:hint="eastAsia"/>
                      <w:szCs w:val="22"/>
                    </w:rPr>
                    <w:t>生产车间</w:t>
                  </w:r>
                </w:p>
              </w:tc>
              <w:tc>
                <w:tcPr>
                  <w:tcW w:w="1038" w:type="pct"/>
                  <w:vAlign w:val="center"/>
                </w:tcPr>
                <w:p>
                  <w:pPr>
                    <w:pStyle w:val="47"/>
                    <w:rPr>
                      <w:szCs w:val="22"/>
                    </w:rPr>
                  </w:pPr>
                  <w:r>
                    <w:rPr>
                      <w:rFonts w:hint="eastAsia"/>
                      <w:szCs w:val="22"/>
                    </w:rPr>
                    <w:t>处理装置故障</w:t>
                  </w:r>
                </w:p>
              </w:tc>
              <w:tc>
                <w:tcPr>
                  <w:tcW w:w="2007" w:type="pct"/>
                  <w:vAlign w:val="center"/>
                </w:tcPr>
                <w:p>
                  <w:pPr>
                    <w:pStyle w:val="47"/>
                    <w:rPr>
                      <w:szCs w:val="22"/>
                    </w:rPr>
                  </w:pPr>
                  <w:r>
                    <w:rPr>
                      <w:rFonts w:hint="eastAsia"/>
                      <w:szCs w:val="22"/>
                    </w:rPr>
                    <w:t>废气沉降集中在土壤表层</w:t>
                  </w:r>
                </w:p>
              </w:tc>
              <w:tc>
                <w:tcPr>
                  <w:tcW w:w="1073" w:type="pct"/>
                  <w:vAlign w:val="center"/>
                </w:tcPr>
                <w:p>
                  <w:pPr>
                    <w:pStyle w:val="47"/>
                    <w:rPr>
                      <w:szCs w:val="22"/>
                    </w:rPr>
                  </w:pPr>
                  <w:r>
                    <w:rPr>
                      <w:rFonts w:hint="eastAsia"/>
                      <w:szCs w:val="22"/>
                    </w:rPr>
                    <w:t>非甲烷总烃</w:t>
                  </w:r>
                </w:p>
              </w:tc>
            </w:tr>
          </w:tbl>
          <w:p>
            <w:pPr>
              <w:spacing w:before="120" w:beforeLines="50"/>
              <w:ind w:firstLine="480"/>
            </w:pPr>
            <w:r>
              <w:rPr>
                <w:rFonts w:hint="eastAsia"/>
              </w:rPr>
              <w:t>本项目涉及的可能污染土壤环境的污染物为非甲烷总烃。土壤环境污染途径主要考虑大气沉降进入土壤环境。本评价要求建设单位切实落实好废水的收集、输送以及各类固体废物、化学品原料的贮存工作，做好生产车间和各环保设施的防腐防渗工作，并对防渗系统进行定时的检修维护；加强生产管理，避免生产过程中的跑冒滴漏现象；做好日常土壤防护工作，防治污染物质进入土壤环境，则本项目只需考虑污染物通过大气沉降进入土壤所产生的影响。</w:t>
            </w:r>
          </w:p>
          <w:p>
            <w:pPr>
              <w:ind w:firstLine="480"/>
            </w:pPr>
            <w:r>
              <w:rPr>
                <w:rFonts w:hint="eastAsia"/>
              </w:rPr>
              <w:t>（</w:t>
            </w:r>
            <w:r>
              <w:t>1</w:t>
            </w:r>
            <w:r>
              <w:rPr>
                <w:rFonts w:hint="eastAsia"/>
              </w:rPr>
              <w:t>）预测评价范围</w:t>
            </w:r>
          </w:p>
          <w:p>
            <w:pPr>
              <w:adjustRightInd w:val="0"/>
              <w:snapToGrid w:val="0"/>
              <w:ind w:firstLine="480" w:firstLineChars="0"/>
            </w:pPr>
            <w:r>
              <w:rPr>
                <w:rFonts w:hint="eastAsia"/>
                <w:szCs w:val="24"/>
              </w:rPr>
              <w:t>根据《环境影响评价技术导则土壤环境（试行）》（HJ964-2018）7.2.2章节中现状调查范围确定原则，涉及大气沉降途径影响的，调查范围可根据主导风向下风向的最大浓度落地点适当调整。本项目可能对土壤环境造成影响的污染途径主要为大气沉降，根据环评7.2.3.6章节大气环境影响预测结果，主导风向下风向最大落地浓度点距离为125m。根据预测结果，结合大气土壤（敏感点分布）现状监测范围综合考虑，本项目土壤评价范围调整为项目占地范围及占地范围外130米范围内。</w:t>
            </w:r>
            <w:r>
              <w:rPr>
                <w:rFonts w:hint="eastAsia"/>
              </w:rPr>
              <w:t>本项目评价范围内无土壤环境敏感目标。</w:t>
            </w:r>
          </w:p>
          <w:p>
            <w:pPr>
              <w:adjustRightInd w:val="0"/>
              <w:snapToGrid w:val="0"/>
              <w:ind w:firstLine="480" w:firstLineChars="0"/>
            </w:pPr>
            <w:r>
              <w:rPr>
                <w:rFonts w:hint="eastAsia"/>
              </w:rPr>
              <w:t>（2）预测评价时间</w:t>
            </w:r>
          </w:p>
          <w:p>
            <w:pPr>
              <w:adjustRightInd w:val="0"/>
              <w:snapToGrid w:val="0"/>
              <w:ind w:firstLine="480" w:firstLineChars="0"/>
            </w:pPr>
            <w:r>
              <w:rPr>
                <w:rFonts w:hint="eastAsia"/>
              </w:rPr>
              <w:t>项目运营年开始至运营</w:t>
            </w:r>
            <w:r>
              <w:t>50</w:t>
            </w:r>
            <w:r>
              <w:rPr>
                <w:rFonts w:hint="eastAsia"/>
              </w:rPr>
              <w:t>年后。</w:t>
            </w:r>
          </w:p>
          <w:p>
            <w:pPr>
              <w:adjustRightInd w:val="0"/>
              <w:snapToGrid w:val="0"/>
              <w:ind w:firstLine="480" w:firstLineChars="0"/>
            </w:pPr>
            <w:r>
              <w:rPr>
                <w:rFonts w:hint="eastAsia"/>
              </w:rPr>
              <w:t>（3）情景设置</w:t>
            </w:r>
          </w:p>
          <w:p>
            <w:pPr>
              <w:adjustRightInd w:val="0"/>
              <w:snapToGrid w:val="0"/>
              <w:ind w:firstLine="480" w:firstLineChars="0"/>
            </w:pPr>
            <w:r>
              <w:rPr>
                <w:rFonts w:hint="eastAsia"/>
              </w:rPr>
              <w:t>本项目运行后气态污染物通过排气筒和无组织排放的形式排放至大气中，通过降雨等湿沉降的形式至土壤表层，本评价考虑非甲烷总烃废气排放量全部沉降在评价范围内，则根据工程分析，本项目正常生产情况下，非甲烷总烃年最大沉降量为0</w:t>
            </w:r>
            <w:r>
              <w:t>.0</w:t>
            </w:r>
            <w:r>
              <w:rPr>
                <w:rFonts w:hint="eastAsia"/>
              </w:rPr>
              <w:t>87t/a。</w:t>
            </w:r>
          </w:p>
          <w:p>
            <w:pPr>
              <w:adjustRightInd w:val="0"/>
              <w:snapToGrid w:val="0"/>
              <w:ind w:firstLine="480" w:firstLineChars="0"/>
            </w:pPr>
            <w:r>
              <w:rPr>
                <w:rFonts w:hint="eastAsia"/>
              </w:rPr>
              <w:t>（4）预测评价因子</w:t>
            </w:r>
          </w:p>
          <w:p>
            <w:pPr>
              <w:adjustRightInd w:val="0"/>
              <w:snapToGrid w:val="0"/>
              <w:ind w:firstLine="480" w:firstLineChars="0"/>
            </w:pPr>
            <w:r>
              <w:rPr>
                <w:rFonts w:hint="eastAsia"/>
              </w:rPr>
              <w:t>综合考虑各土壤影响源，本项目大气污染物主要为毒性强、危害大的非甲烷总烃，故本项目评价因子为非甲烷总烃。由于《土壤环境质量 建设用地土壤污染风险管控标准（试行）》（GB15618-2018）未规定非甲烷总烃相关标准限值，本报告以石油烃计。</w:t>
            </w:r>
          </w:p>
          <w:p>
            <w:pPr>
              <w:adjustRightInd w:val="0"/>
              <w:snapToGrid w:val="0"/>
              <w:ind w:firstLine="480" w:firstLineChars="0"/>
            </w:pPr>
            <w:r>
              <w:rPr>
                <w:rFonts w:hint="eastAsia"/>
              </w:rPr>
              <w:t>（5）预测评价方法</w:t>
            </w:r>
          </w:p>
          <w:p>
            <w:pPr>
              <w:ind w:firstLine="480"/>
              <w:textAlignment w:val="auto"/>
            </w:pPr>
            <w:r>
              <w:rPr>
                <w:rFonts w:hint="eastAsia"/>
              </w:rPr>
              <w:t>A</w:t>
            </w:r>
            <w:r>
              <w:t>.</w:t>
            </w:r>
            <w:r>
              <w:rPr>
                <w:rFonts w:hint="eastAsia"/>
              </w:rPr>
              <w:t>单位质量土壤中某种物质的增量可用下式计算：</w:t>
            </w:r>
          </w:p>
          <w:p>
            <w:pPr>
              <w:ind w:firstLine="0" w:firstLineChars="0"/>
              <w:jc w:val="center"/>
              <w:textAlignment w:val="auto"/>
            </w:pPr>
            <w:r>
              <w:pict>
                <v:shape id="_x0000_i1026" o:spt="75" type="#_x0000_t75" style="height:18.35pt;width:163pt;" filled="f" o:preferrelative="t" stroked="f" coordsize="21600,21600">
                  <v:path/>
                  <v:fill on="f" focussize="0,0"/>
                  <v:stroke on="f" joinstyle="miter"/>
                  <v:imagedata r:id="rId31" o:title=""/>
                  <o:lock v:ext="edit" aspectratio="t"/>
                  <w10:wrap type="none"/>
                  <w10:anchorlock/>
                </v:shape>
              </w:pict>
            </w:r>
          </w:p>
          <w:p>
            <w:pPr>
              <w:ind w:firstLine="480"/>
              <w:textAlignment w:val="auto"/>
            </w:pPr>
            <w:r>
              <w:rPr>
                <w:rFonts w:hint="eastAsia"/>
              </w:rPr>
              <w:t>式中：△</w:t>
            </w:r>
            <w:r>
              <w:t>S—</w:t>
            </w:r>
            <w:r>
              <w:rPr>
                <w:rFonts w:hint="eastAsia"/>
              </w:rPr>
              <w:t>单位质量表层土壤中某种物质的增量，</w:t>
            </w:r>
            <w:r>
              <w:t>g/kg</w:t>
            </w:r>
            <w:r>
              <w:rPr>
                <w:rFonts w:hint="eastAsia"/>
              </w:rPr>
              <w:t>；</w:t>
            </w:r>
          </w:p>
          <w:p>
            <w:pPr>
              <w:ind w:firstLine="1920" w:firstLineChars="800"/>
            </w:pPr>
            <w:r>
              <w:rPr>
                <w:rFonts w:hint="eastAsia"/>
              </w:rPr>
              <w:t>表层土壤中游离酸或游离碱浓度增量，mmol/kg；</w:t>
            </w:r>
          </w:p>
          <w:p>
            <w:pPr>
              <w:ind w:firstLine="480"/>
            </w:pPr>
            <w:r>
              <w:t>I</w:t>
            </w:r>
            <w:r>
              <w:rPr>
                <w:vertAlign w:val="subscript"/>
              </w:rPr>
              <w:t>S</w:t>
            </w:r>
            <w:r>
              <w:rPr>
                <w:rFonts w:hint="eastAsia"/>
              </w:rPr>
              <w:t>—预测评价范围内单位年份表层土壤中某种物质的输入量，g；</w:t>
            </w:r>
          </w:p>
          <w:p>
            <w:pPr>
              <w:ind w:firstLine="960" w:firstLineChars="400"/>
            </w:pPr>
            <w:r>
              <w:rPr>
                <w:rFonts w:hint="eastAsia"/>
              </w:rPr>
              <w:t>预测评价范围内单位年份表层土壤中游离酸、游离碱输入量，mmol；</w:t>
            </w:r>
          </w:p>
          <w:p>
            <w:pPr>
              <w:ind w:firstLine="480"/>
            </w:pPr>
            <w:r>
              <w:t>L</w:t>
            </w:r>
            <w:r>
              <w:rPr>
                <w:vertAlign w:val="subscript"/>
              </w:rPr>
              <w:t>S</w:t>
            </w:r>
            <w:r>
              <w:rPr>
                <w:rFonts w:hint="eastAsia"/>
              </w:rPr>
              <w:t>—预测评价范围内单位年份表层土壤中某种物质经淋溶排出的量，g；</w:t>
            </w:r>
          </w:p>
          <w:p>
            <w:pPr>
              <w:ind w:firstLine="960" w:firstLineChars="400"/>
            </w:pPr>
            <w:r>
              <w:rPr>
                <w:rFonts w:hint="eastAsia"/>
              </w:rPr>
              <w:t>预测评价范围内单位年份表层土壤中经淋溶游离酸、游离碱输入量，mmol；</w:t>
            </w:r>
          </w:p>
          <w:p>
            <w:pPr>
              <w:ind w:firstLine="480"/>
            </w:pPr>
            <w:r>
              <w:t>R</w:t>
            </w:r>
            <w:r>
              <w:rPr>
                <w:rFonts w:hint="eastAsia"/>
                <w:vertAlign w:val="subscript"/>
              </w:rPr>
              <w:t>S</w:t>
            </w:r>
            <w:r>
              <w:rPr>
                <w:rFonts w:hint="eastAsia"/>
              </w:rPr>
              <w:t>—预测评价范围内单位年份表层土壤中某种物质经径流排出的量，g；</w:t>
            </w:r>
          </w:p>
          <w:p>
            <w:pPr>
              <w:ind w:firstLine="960" w:firstLineChars="400"/>
            </w:pPr>
            <w:r>
              <w:rPr>
                <w:rFonts w:hint="eastAsia"/>
              </w:rPr>
              <w:t>预测评价范围内单位年份表层土壤中经径流游离酸、游离碱输入量，mmol；</w:t>
            </w:r>
          </w:p>
          <w:p>
            <w:pPr>
              <w:ind w:firstLine="480"/>
              <w:textAlignment w:val="auto"/>
            </w:pPr>
            <w:r>
              <w:t>ρ</w:t>
            </w:r>
            <w:r>
              <w:rPr>
                <w:vertAlign w:val="subscript"/>
              </w:rPr>
              <w:t>b</w:t>
            </w:r>
            <w:r>
              <w:rPr>
                <w:rFonts w:hint="eastAsia"/>
              </w:rPr>
              <w:t>—表层土壤容重，kg/m</w:t>
            </w:r>
            <w:r>
              <w:rPr>
                <w:rFonts w:hint="eastAsia"/>
                <w:vertAlign w:val="superscript"/>
              </w:rPr>
              <w:t>3</w:t>
            </w:r>
            <w:r>
              <w:rPr>
                <w:rFonts w:hint="eastAsia"/>
              </w:rPr>
              <w:t>；</w:t>
            </w:r>
          </w:p>
          <w:p>
            <w:pPr>
              <w:ind w:firstLine="480"/>
              <w:textAlignment w:val="auto"/>
            </w:pPr>
            <w:r>
              <w:t>A</w:t>
            </w:r>
            <w:r>
              <w:rPr>
                <w:rFonts w:hint="eastAsia"/>
              </w:rPr>
              <w:t>—预测评价范围，m</w:t>
            </w:r>
            <w:r>
              <w:rPr>
                <w:rFonts w:hint="eastAsia"/>
                <w:vertAlign w:val="superscript"/>
              </w:rPr>
              <w:t>2</w:t>
            </w:r>
            <w:r>
              <w:rPr>
                <w:rFonts w:hint="eastAsia"/>
              </w:rPr>
              <w:t>；</w:t>
            </w:r>
          </w:p>
          <w:p>
            <w:pPr>
              <w:ind w:firstLine="480"/>
              <w:textAlignment w:val="auto"/>
            </w:pPr>
            <w:r>
              <w:t>D</w:t>
            </w:r>
            <w:r>
              <w:rPr>
                <w:rFonts w:hint="eastAsia"/>
              </w:rPr>
              <w:t>—表层土壤深度，一般取 0.2m，可根据实际情况适当调整；</w:t>
            </w:r>
          </w:p>
          <w:p>
            <w:pPr>
              <w:ind w:firstLine="480"/>
              <w:textAlignment w:val="auto"/>
            </w:pPr>
            <w:r>
              <w:rPr>
                <w:rFonts w:hint="eastAsia"/>
              </w:rPr>
              <w:t>n—持续年份，a。</w:t>
            </w:r>
          </w:p>
          <w:p>
            <w:pPr>
              <w:ind w:firstLine="480"/>
            </w:pPr>
            <w:r>
              <w:rPr>
                <w:rFonts w:hint="eastAsia"/>
              </w:rPr>
              <w:t>B</w:t>
            </w:r>
            <w:r>
              <w:t>.</w:t>
            </w:r>
            <w:r>
              <w:rPr>
                <w:rFonts w:hint="eastAsia"/>
              </w:rPr>
              <w:t>单位质量土壤中某种物质的预测值可根据下式其增量叠加现状值进行计算：</w:t>
            </w:r>
          </w:p>
          <w:p>
            <w:pPr>
              <w:ind w:firstLine="0" w:firstLineChars="0"/>
              <w:jc w:val="center"/>
            </w:pPr>
            <w:r>
              <w:rPr>
                <w:rFonts w:hint="eastAsia"/>
              </w:rPr>
              <w:t>S=S</w:t>
            </w:r>
            <w:r>
              <w:rPr>
                <w:rFonts w:hint="eastAsia"/>
                <w:vertAlign w:val="subscript"/>
              </w:rPr>
              <w:t>b</w:t>
            </w:r>
            <w:r>
              <w:t>+</w:t>
            </w:r>
            <w:r>
              <w:rPr>
                <w:rFonts w:hint="eastAsia"/>
              </w:rPr>
              <w:t>△S</w:t>
            </w:r>
          </w:p>
          <w:p>
            <w:pPr>
              <w:ind w:firstLine="480"/>
              <w:textAlignment w:val="auto"/>
            </w:pPr>
            <w:r>
              <w:rPr>
                <w:rFonts w:hint="eastAsia"/>
              </w:rPr>
              <w:t>式中：S</w:t>
            </w:r>
            <w:r>
              <w:rPr>
                <w:rFonts w:hint="eastAsia"/>
                <w:vertAlign w:val="subscript"/>
              </w:rPr>
              <w:t>b</w:t>
            </w:r>
            <w:r>
              <w:rPr>
                <w:rFonts w:hint="eastAsia"/>
              </w:rPr>
              <w:t>—单位质量土壤中某种物质的现状值，g</w:t>
            </w:r>
            <w:r>
              <w:t>/</w:t>
            </w:r>
            <w:r>
              <w:rPr>
                <w:rFonts w:hint="eastAsia"/>
              </w:rPr>
              <w:t>kg；</w:t>
            </w:r>
          </w:p>
          <w:p>
            <w:pPr>
              <w:ind w:firstLine="480"/>
              <w:textAlignment w:val="auto"/>
            </w:pPr>
            <w:r>
              <w:rPr>
                <w:rFonts w:hint="eastAsia"/>
              </w:rPr>
              <w:t xml:space="preserve"> </w:t>
            </w:r>
            <w:r>
              <w:t xml:space="preserve">     </w:t>
            </w:r>
            <w:r>
              <w:rPr>
                <w:rFonts w:hint="eastAsia"/>
              </w:rPr>
              <w:t>S—单位质量土壤中某种物质的预测值，g</w:t>
            </w:r>
            <w:r>
              <w:t>/</w:t>
            </w:r>
            <w:r>
              <w:rPr>
                <w:rFonts w:hint="eastAsia"/>
              </w:rPr>
              <w:t>kg。</w:t>
            </w:r>
          </w:p>
          <w:p>
            <w:pPr>
              <w:ind w:firstLine="480"/>
              <w:textAlignment w:val="auto"/>
            </w:pPr>
            <w:r>
              <w:rPr>
                <w:rFonts w:hint="eastAsia"/>
              </w:rPr>
              <w:t>（6）预测参数</w:t>
            </w:r>
          </w:p>
          <w:p>
            <w:pPr>
              <w:pStyle w:val="46"/>
            </w:pPr>
            <w:r>
              <w:rPr>
                <w:rFonts w:hint="eastAsia"/>
              </w:rPr>
              <w:t>表</w:t>
            </w:r>
            <w:r>
              <w:t>7-</w:t>
            </w:r>
            <w:r>
              <w:rPr>
                <w:rFonts w:hint="eastAsia"/>
              </w:rPr>
              <w:t xml:space="preserve">25 </w:t>
            </w:r>
            <w:r>
              <w:t xml:space="preserve"> </w:t>
            </w:r>
            <w:r>
              <w:rPr>
                <w:rFonts w:hint="eastAsia"/>
              </w:rPr>
              <w:t>土壤环境影响预测参数一览表</w:t>
            </w:r>
          </w:p>
          <w:tbl>
            <w:tblPr>
              <w:tblStyle w:val="3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156"/>
              <w:gridCol w:w="867"/>
              <w:gridCol w:w="1156"/>
              <w:gridCol w:w="4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vAlign w:val="center"/>
                </w:tcPr>
                <w:p>
                  <w:pPr>
                    <w:pStyle w:val="46"/>
                  </w:pPr>
                  <w:r>
                    <w:rPr>
                      <w:rFonts w:hint="eastAsia"/>
                    </w:rPr>
                    <w:t>序号</w:t>
                  </w:r>
                </w:p>
              </w:tc>
              <w:tc>
                <w:tcPr>
                  <w:tcW w:w="663" w:type="pct"/>
                  <w:vAlign w:val="center"/>
                </w:tcPr>
                <w:p>
                  <w:pPr>
                    <w:pStyle w:val="46"/>
                  </w:pPr>
                  <w:r>
                    <w:rPr>
                      <w:rFonts w:hint="eastAsia"/>
                    </w:rPr>
                    <w:t>参数</w:t>
                  </w:r>
                </w:p>
              </w:tc>
              <w:tc>
                <w:tcPr>
                  <w:tcW w:w="497" w:type="pct"/>
                  <w:vAlign w:val="center"/>
                </w:tcPr>
                <w:p>
                  <w:pPr>
                    <w:pStyle w:val="46"/>
                  </w:pPr>
                  <w:r>
                    <w:rPr>
                      <w:rFonts w:hint="eastAsia"/>
                    </w:rPr>
                    <w:t>单位</w:t>
                  </w:r>
                </w:p>
              </w:tc>
              <w:tc>
                <w:tcPr>
                  <w:tcW w:w="663" w:type="pct"/>
                  <w:vAlign w:val="center"/>
                </w:tcPr>
                <w:p>
                  <w:pPr>
                    <w:pStyle w:val="46"/>
                  </w:pPr>
                  <w:r>
                    <w:rPr>
                      <w:rFonts w:hint="eastAsia"/>
                    </w:rPr>
                    <w:t>取值</w:t>
                  </w:r>
                </w:p>
              </w:tc>
              <w:tc>
                <w:tcPr>
                  <w:tcW w:w="2733" w:type="pct"/>
                  <w:vAlign w:val="center"/>
                </w:tcPr>
                <w:p>
                  <w:pPr>
                    <w:pStyle w:val="46"/>
                  </w:pPr>
                  <w:r>
                    <w:rPr>
                      <w:rFonts w:hint="eastAsia"/>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vAlign w:val="center"/>
                </w:tcPr>
                <w:p>
                  <w:pPr>
                    <w:pStyle w:val="47"/>
                    <w:rPr>
                      <w:szCs w:val="22"/>
                    </w:rPr>
                  </w:pPr>
                  <w:r>
                    <w:rPr>
                      <w:rFonts w:hint="eastAsia"/>
                      <w:szCs w:val="22"/>
                    </w:rPr>
                    <w:t>1</w:t>
                  </w:r>
                </w:p>
              </w:tc>
              <w:tc>
                <w:tcPr>
                  <w:tcW w:w="663" w:type="pct"/>
                  <w:vAlign w:val="center"/>
                </w:tcPr>
                <w:p>
                  <w:pPr>
                    <w:pStyle w:val="47"/>
                    <w:rPr>
                      <w:szCs w:val="22"/>
                    </w:rPr>
                  </w:pPr>
                  <w:r>
                    <w:rPr>
                      <w:rFonts w:hint="eastAsia"/>
                      <w:szCs w:val="22"/>
                    </w:rPr>
                    <w:t>I</w:t>
                  </w:r>
                  <w:r>
                    <w:rPr>
                      <w:rFonts w:hint="eastAsia"/>
                      <w:szCs w:val="22"/>
                      <w:vertAlign w:val="subscript"/>
                    </w:rPr>
                    <w:t>S</w:t>
                  </w:r>
                </w:p>
              </w:tc>
              <w:tc>
                <w:tcPr>
                  <w:tcW w:w="497" w:type="pct"/>
                  <w:vAlign w:val="center"/>
                </w:tcPr>
                <w:p>
                  <w:pPr>
                    <w:pStyle w:val="47"/>
                    <w:rPr>
                      <w:szCs w:val="22"/>
                    </w:rPr>
                  </w:pPr>
                  <w:r>
                    <w:rPr>
                      <w:rFonts w:hint="eastAsia"/>
                      <w:szCs w:val="22"/>
                    </w:rPr>
                    <w:t>g</w:t>
                  </w:r>
                </w:p>
              </w:tc>
              <w:tc>
                <w:tcPr>
                  <w:tcW w:w="663" w:type="pct"/>
                  <w:vAlign w:val="center"/>
                </w:tcPr>
                <w:p>
                  <w:pPr>
                    <w:pStyle w:val="47"/>
                    <w:rPr>
                      <w:szCs w:val="22"/>
                    </w:rPr>
                  </w:pPr>
                  <w:r>
                    <w:rPr>
                      <w:rFonts w:hint="eastAsia"/>
                      <w:szCs w:val="22"/>
                    </w:rPr>
                    <w:t>87000</w:t>
                  </w:r>
                </w:p>
              </w:tc>
              <w:tc>
                <w:tcPr>
                  <w:tcW w:w="2733" w:type="pct"/>
                  <w:vAlign w:val="center"/>
                </w:tcPr>
                <w:p>
                  <w:pPr>
                    <w:pStyle w:val="47"/>
                    <w:rPr>
                      <w:szCs w:val="22"/>
                    </w:rPr>
                  </w:pPr>
                  <w:r>
                    <w:rPr>
                      <w:rFonts w:hint="eastAsia"/>
                      <w:szCs w:val="22"/>
                    </w:rPr>
                    <w:t>本评价视单位年份排放量全部为沉降输入量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vAlign w:val="center"/>
                </w:tcPr>
                <w:p>
                  <w:pPr>
                    <w:pStyle w:val="47"/>
                    <w:rPr>
                      <w:szCs w:val="22"/>
                    </w:rPr>
                  </w:pPr>
                  <w:r>
                    <w:rPr>
                      <w:rFonts w:hint="eastAsia"/>
                      <w:szCs w:val="22"/>
                    </w:rPr>
                    <w:t>2</w:t>
                  </w:r>
                </w:p>
              </w:tc>
              <w:tc>
                <w:tcPr>
                  <w:tcW w:w="663" w:type="pct"/>
                  <w:vAlign w:val="center"/>
                </w:tcPr>
                <w:p>
                  <w:pPr>
                    <w:pStyle w:val="47"/>
                    <w:rPr>
                      <w:szCs w:val="22"/>
                    </w:rPr>
                  </w:pPr>
                  <w:r>
                    <w:rPr>
                      <w:rFonts w:hint="eastAsia"/>
                      <w:szCs w:val="22"/>
                    </w:rPr>
                    <w:t>L</w:t>
                  </w:r>
                  <w:r>
                    <w:rPr>
                      <w:rFonts w:hint="eastAsia"/>
                      <w:szCs w:val="22"/>
                      <w:vertAlign w:val="subscript"/>
                    </w:rPr>
                    <w:t>S</w:t>
                  </w:r>
                </w:p>
              </w:tc>
              <w:tc>
                <w:tcPr>
                  <w:tcW w:w="497" w:type="pct"/>
                  <w:vAlign w:val="center"/>
                </w:tcPr>
                <w:p>
                  <w:pPr>
                    <w:pStyle w:val="47"/>
                    <w:rPr>
                      <w:szCs w:val="22"/>
                    </w:rPr>
                  </w:pPr>
                  <w:r>
                    <w:rPr>
                      <w:rFonts w:hint="eastAsia"/>
                      <w:szCs w:val="22"/>
                    </w:rPr>
                    <w:t>g</w:t>
                  </w:r>
                </w:p>
              </w:tc>
              <w:tc>
                <w:tcPr>
                  <w:tcW w:w="663" w:type="pct"/>
                  <w:vAlign w:val="center"/>
                </w:tcPr>
                <w:p>
                  <w:pPr>
                    <w:pStyle w:val="47"/>
                    <w:rPr>
                      <w:szCs w:val="22"/>
                    </w:rPr>
                  </w:pPr>
                  <w:r>
                    <w:rPr>
                      <w:rFonts w:hint="eastAsia"/>
                      <w:szCs w:val="22"/>
                    </w:rPr>
                    <w:t>0</w:t>
                  </w:r>
                </w:p>
              </w:tc>
              <w:tc>
                <w:tcPr>
                  <w:tcW w:w="2733" w:type="pct"/>
                  <w:vAlign w:val="center"/>
                </w:tcPr>
                <w:p>
                  <w:pPr>
                    <w:pStyle w:val="47"/>
                    <w:rPr>
                      <w:szCs w:val="22"/>
                    </w:rPr>
                  </w:pPr>
                  <w:r>
                    <w:rPr>
                      <w:rFonts w:hint="eastAsia"/>
                      <w:szCs w:val="22"/>
                    </w:rPr>
                    <w:t>本评价不考虑淋溶排出的量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vAlign w:val="center"/>
                </w:tcPr>
                <w:p>
                  <w:pPr>
                    <w:pStyle w:val="47"/>
                    <w:rPr>
                      <w:szCs w:val="22"/>
                    </w:rPr>
                  </w:pPr>
                  <w:r>
                    <w:rPr>
                      <w:rFonts w:hint="eastAsia"/>
                      <w:szCs w:val="22"/>
                    </w:rPr>
                    <w:t>3</w:t>
                  </w:r>
                </w:p>
              </w:tc>
              <w:tc>
                <w:tcPr>
                  <w:tcW w:w="663" w:type="pct"/>
                  <w:vAlign w:val="center"/>
                </w:tcPr>
                <w:p>
                  <w:pPr>
                    <w:pStyle w:val="47"/>
                    <w:rPr>
                      <w:szCs w:val="22"/>
                    </w:rPr>
                  </w:pPr>
                  <w:r>
                    <w:rPr>
                      <w:rFonts w:hint="eastAsia"/>
                      <w:szCs w:val="22"/>
                    </w:rPr>
                    <w:t>R</w:t>
                  </w:r>
                  <w:r>
                    <w:rPr>
                      <w:rFonts w:hint="eastAsia"/>
                      <w:szCs w:val="22"/>
                      <w:vertAlign w:val="subscript"/>
                    </w:rPr>
                    <w:t>S</w:t>
                  </w:r>
                </w:p>
              </w:tc>
              <w:tc>
                <w:tcPr>
                  <w:tcW w:w="497" w:type="pct"/>
                  <w:vAlign w:val="center"/>
                </w:tcPr>
                <w:p>
                  <w:pPr>
                    <w:pStyle w:val="47"/>
                    <w:rPr>
                      <w:szCs w:val="22"/>
                    </w:rPr>
                  </w:pPr>
                  <w:r>
                    <w:rPr>
                      <w:rFonts w:hint="eastAsia"/>
                      <w:szCs w:val="22"/>
                    </w:rPr>
                    <w:t>g</w:t>
                  </w:r>
                </w:p>
              </w:tc>
              <w:tc>
                <w:tcPr>
                  <w:tcW w:w="663" w:type="pct"/>
                  <w:vAlign w:val="center"/>
                </w:tcPr>
                <w:p>
                  <w:pPr>
                    <w:pStyle w:val="47"/>
                    <w:rPr>
                      <w:szCs w:val="22"/>
                    </w:rPr>
                  </w:pPr>
                  <w:r>
                    <w:rPr>
                      <w:rFonts w:hint="eastAsia"/>
                      <w:szCs w:val="22"/>
                    </w:rPr>
                    <w:t>0</w:t>
                  </w:r>
                </w:p>
              </w:tc>
              <w:tc>
                <w:tcPr>
                  <w:tcW w:w="2733" w:type="pct"/>
                  <w:vAlign w:val="center"/>
                </w:tcPr>
                <w:p>
                  <w:pPr>
                    <w:pStyle w:val="47"/>
                    <w:rPr>
                      <w:szCs w:val="22"/>
                    </w:rPr>
                  </w:pPr>
                  <w:r>
                    <w:rPr>
                      <w:rFonts w:hint="eastAsia"/>
                      <w:szCs w:val="22"/>
                    </w:rPr>
                    <w:t>本评价不考虑经径流排出的量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vAlign w:val="center"/>
                </w:tcPr>
                <w:p>
                  <w:pPr>
                    <w:pStyle w:val="47"/>
                    <w:rPr>
                      <w:szCs w:val="22"/>
                    </w:rPr>
                  </w:pPr>
                  <w:r>
                    <w:rPr>
                      <w:rFonts w:hint="eastAsia"/>
                      <w:szCs w:val="22"/>
                    </w:rPr>
                    <w:t>4</w:t>
                  </w:r>
                </w:p>
              </w:tc>
              <w:tc>
                <w:tcPr>
                  <w:tcW w:w="663" w:type="pct"/>
                  <w:vAlign w:val="center"/>
                </w:tcPr>
                <w:p>
                  <w:pPr>
                    <w:pStyle w:val="47"/>
                    <w:rPr>
                      <w:szCs w:val="22"/>
                    </w:rPr>
                  </w:pPr>
                  <w:r>
                    <w:rPr>
                      <w:rFonts w:hint="eastAsia"/>
                      <w:szCs w:val="22"/>
                    </w:rPr>
                    <w:t>ρ</w:t>
                  </w:r>
                  <w:r>
                    <w:rPr>
                      <w:rFonts w:hint="eastAsia"/>
                      <w:szCs w:val="22"/>
                      <w:vertAlign w:val="subscript"/>
                    </w:rPr>
                    <w:t>b</w:t>
                  </w:r>
                </w:p>
              </w:tc>
              <w:tc>
                <w:tcPr>
                  <w:tcW w:w="497" w:type="pct"/>
                  <w:vAlign w:val="center"/>
                </w:tcPr>
                <w:p>
                  <w:pPr>
                    <w:pStyle w:val="47"/>
                    <w:rPr>
                      <w:szCs w:val="22"/>
                    </w:rPr>
                  </w:pPr>
                  <w:r>
                    <w:rPr>
                      <w:rFonts w:hint="eastAsia"/>
                      <w:szCs w:val="22"/>
                    </w:rPr>
                    <w:t>kg/m</w:t>
                  </w:r>
                  <w:r>
                    <w:rPr>
                      <w:rFonts w:hint="eastAsia"/>
                      <w:szCs w:val="22"/>
                      <w:vertAlign w:val="superscript"/>
                    </w:rPr>
                    <w:t>3</w:t>
                  </w:r>
                </w:p>
              </w:tc>
              <w:tc>
                <w:tcPr>
                  <w:tcW w:w="663" w:type="pct"/>
                  <w:vAlign w:val="center"/>
                </w:tcPr>
                <w:p>
                  <w:pPr>
                    <w:pStyle w:val="47"/>
                    <w:rPr>
                      <w:szCs w:val="22"/>
                    </w:rPr>
                  </w:pPr>
                  <w:r>
                    <w:rPr>
                      <w:rFonts w:hint="eastAsia"/>
                      <w:szCs w:val="22"/>
                    </w:rPr>
                    <w:t>1350</w:t>
                  </w:r>
                </w:p>
              </w:tc>
              <w:tc>
                <w:tcPr>
                  <w:tcW w:w="2733" w:type="pct"/>
                  <w:vAlign w:val="center"/>
                </w:tcPr>
                <w:p>
                  <w:pPr>
                    <w:pStyle w:val="47"/>
                    <w:rPr>
                      <w:szCs w:val="22"/>
                    </w:rPr>
                  </w:pPr>
                  <w:r>
                    <w:rPr>
                      <w:rFonts w:hint="eastAsia"/>
                      <w:szCs w:val="22"/>
                    </w:rPr>
                    <w:t>本项目选址区域土壤表层土为壤土，结合当地土壤理化特性，容重约1.35g/cm</w:t>
                  </w:r>
                  <w:r>
                    <w:rPr>
                      <w:rFonts w:hint="eastAsia"/>
                      <w:szCs w:val="22"/>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vAlign w:val="center"/>
                </w:tcPr>
                <w:p>
                  <w:pPr>
                    <w:pStyle w:val="47"/>
                    <w:rPr>
                      <w:szCs w:val="22"/>
                    </w:rPr>
                  </w:pPr>
                  <w:r>
                    <w:rPr>
                      <w:rFonts w:hint="eastAsia"/>
                      <w:szCs w:val="22"/>
                    </w:rPr>
                    <w:t>5</w:t>
                  </w:r>
                </w:p>
              </w:tc>
              <w:tc>
                <w:tcPr>
                  <w:tcW w:w="663" w:type="pct"/>
                  <w:vAlign w:val="center"/>
                </w:tcPr>
                <w:p>
                  <w:pPr>
                    <w:pStyle w:val="47"/>
                    <w:rPr>
                      <w:szCs w:val="22"/>
                    </w:rPr>
                  </w:pPr>
                  <w:r>
                    <w:rPr>
                      <w:rFonts w:hint="eastAsia"/>
                      <w:szCs w:val="22"/>
                    </w:rPr>
                    <w:t>A</w:t>
                  </w:r>
                </w:p>
              </w:tc>
              <w:tc>
                <w:tcPr>
                  <w:tcW w:w="497" w:type="pct"/>
                  <w:vAlign w:val="center"/>
                </w:tcPr>
                <w:p>
                  <w:pPr>
                    <w:pStyle w:val="47"/>
                    <w:rPr>
                      <w:szCs w:val="22"/>
                    </w:rPr>
                  </w:pPr>
                  <w:r>
                    <w:rPr>
                      <w:rFonts w:hint="eastAsia"/>
                      <w:szCs w:val="22"/>
                    </w:rPr>
                    <w:t>m</w:t>
                  </w:r>
                  <w:r>
                    <w:rPr>
                      <w:rFonts w:hint="eastAsia"/>
                      <w:szCs w:val="22"/>
                      <w:vertAlign w:val="superscript"/>
                    </w:rPr>
                    <w:t>2</w:t>
                  </w:r>
                </w:p>
              </w:tc>
              <w:tc>
                <w:tcPr>
                  <w:tcW w:w="663" w:type="pct"/>
                  <w:vAlign w:val="center"/>
                </w:tcPr>
                <w:p>
                  <w:pPr>
                    <w:pStyle w:val="47"/>
                    <w:rPr>
                      <w:szCs w:val="22"/>
                    </w:rPr>
                  </w:pPr>
                  <w:r>
                    <w:rPr>
                      <w:rFonts w:hint="eastAsia"/>
                      <w:szCs w:val="22"/>
                    </w:rPr>
                    <w:t>78945</w:t>
                  </w:r>
                </w:p>
              </w:tc>
              <w:tc>
                <w:tcPr>
                  <w:tcW w:w="2733" w:type="pct"/>
                  <w:vAlign w:val="center"/>
                </w:tcPr>
                <w:p>
                  <w:pPr>
                    <w:pStyle w:val="47"/>
                    <w:rPr>
                      <w:szCs w:val="22"/>
                    </w:rPr>
                  </w:pPr>
                  <w:r>
                    <w:rPr>
                      <w:rFonts w:hint="eastAsia"/>
                      <w:szCs w:val="22"/>
                    </w:rPr>
                    <w:t>评价范围为占地范围内及占地范围外0.13km，合计约78945m</w:t>
                  </w:r>
                  <w:r>
                    <w:rPr>
                      <w:rFonts w:hint="eastAsia"/>
                      <w:szCs w:val="22"/>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vAlign w:val="center"/>
                </w:tcPr>
                <w:p>
                  <w:pPr>
                    <w:pStyle w:val="47"/>
                    <w:rPr>
                      <w:szCs w:val="22"/>
                    </w:rPr>
                  </w:pPr>
                  <w:r>
                    <w:rPr>
                      <w:rFonts w:hint="eastAsia"/>
                      <w:szCs w:val="22"/>
                    </w:rPr>
                    <w:t>6</w:t>
                  </w:r>
                </w:p>
              </w:tc>
              <w:tc>
                <w:tcPr>
                  <w:tcW w:w="663" w:type="pct"/>
                  <w:vAlign w:val="center"/>
                </w:tcPr>
                <w:p>
                  <w:pPr>
                    <w:pStyle w:val="47"/>
                    <w:rPr>
                      <w:szCs w:val="22"/>
                    </w:rPr>
                  </w:pPr>
                  <w:r>
                    <w:rPr>
                      <w:rFonts w:hint="eastAsia"/>
                      <w:szCs w:val="22"/>
                    </w:rPr>
                    <w:t>D</w:t>
                  </w:r>
                </w:p>
              </w:tc>
              <w:tc>
                <w:tcPr>
                  <w:tcW w:w="497" w:type="pct"/>
                  <w:vAlign w:val="center"/>
                </w:tcPr>
                <w:p>
                  <w:pPr>
                    <w:pStyle w:val="47"/>
                    <w:rPr>
                      <w:szCs w:val="22"/>
                    </w:rPr>
                  </w:pPr>
                  <w:r>
                    <w:rPr>
                      <w:rFonts w:hint="eastAsia"/>
                      <w:szCs w:val="22"/>
                    </w:rPr>
                    <w:t>m</w:t>
                  </w:r>
                </w:p>
              </w:tc>
              <w:tc>
                <w:tcPr>
                  <w:tcW w:w="663" w:type="pct"/>
                  <w:vAlign w:val="center"/>
                </w:tcPr>
                <w:p>
                  <w:pPr>
                    <w:pStyle w:val="47"/>
                    <w:rPr>
                      <w:szCs w:val="22"/>
                    </w:rPr>
                  </w:pPr>
                  <w:r>
                    <w:rPr>
                      <w:rFonts w:hint="eastAsia"/>
                      <w:szCs w:val="22"/>
                    </w:rPr>
                    <w:t>0.2</w:t>
                  </w:r>
                </w:p>
              </w:tc>
              <w:tc>
                <w:tcPr>
                  <w:tcW w:w="2733" w:type="pct"/>
                  <w:vAlign w:val="center"/>
                </w:tcPr>
                <w:p>
                  <w:pPr>
                    <w:pStyle w:val="47"/>
                    <w:rPr>
                      <w:szCs w:val="22"/>
                    </w:rPr>
                  </w:pPr>
                  <w:r>
                    <w:rPr>
                      <w:rFonts w:hint="eastAsia"/>
                      <w:szCs w:val="22"/>
                    </w:rPr>
                    <w:t>一般取值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vAlign w:val="center"/>
                </w:tcPr>
                <w:p>
                  <w:pPr>
                    <w:pStyle w:val="47"/>
                    <w:rPr>
                      <w:szCs w:val="22"/>
                    </w:rPr>
                  </w:pPr>
                  <w:r>
                    <w:rPr>
                      <w:rFonts w:hint="eastAsia"/>
                      <w:szCs w:val="22"/>
                    </w:rPr>
                    <w:t>7</w:t>
                  </w:r>
                </w:p>
              </w:tc>
              <w:tc>
                <w:tcPr>
                  <w:tcW w:w="663" w:type="pct"/>
                  <w:vAlign w:val="center"/>
                </w:tcPr>
                <w:p>
                  <w:pPr>
                    <w:pStyle w:val="47"/>
                    <w:rPr>
                      <w:szCs w:val="22"/>
                    </w:rPr>
                  </w:pPr>
                  <w:r>
                    <w:rPr>
                      <w:rFonts w:hint="eastAsia"/>
                      <w:szCs w:val="22"/>
                    </w:rPr>
                    <w:t>S</w:t>
                  </w:r>
                  <w:r>
                    <w:rPr>
                      <w:rFonts w:hint="eastAsia"/>
                      <w:szCs w:val="22"/>
                      <w:vertAlign w:val="subscript"/>
                    </w:rPr>
                    <w:t>b</w:t>
                  </w:r>
                </w:p>
              </w:tc>
              <w:tc>
                <w:tcPr>
                  <w:tcW w:w="497" w:type="pct"/>
                  <w:vAlign w:val="center"/>
                </w:tcPr>
                <w:p>
                  <w:pPr>
                    <w:pStyle w:val="47"/>
                    <w:rPr>
                      <w:szCs w:val="22"/>
                    </w:rPr>
                  </w:pPr>
                  <w:r>
                    <w:rPr>
                      <w:rFonts w:hint="eastAsia"/>
                      <w:szCs w:val="22"/>
                    </w:rPr>
                    <w:t>g/kg</w:t>
                  </w:r>
                </w:p>
              </w:tc>
              <w:tc>
                <w:tcPr>
                  <w:tcW w:w="663" w:type="pct"/>
                  <w:vAlign w:val="center"/>
                </w:tcPr>
                <w:p>
                  <w:pPr>
                    <w:pStyle w:val="47"/>
                    <w:rPr>
                      <w:szCs w:val="22"/>
                    </w:rPr>
                  </w:pPr>
                  <w:r>
                    <w:rPr>
                      <w:rFonts w:hint="eastAsia"/>
                      <w:szCs w:val="22"/>
                    </w:rPr>
                    <w:t>0.068</w:t>
                  </w:r>
                </w:p>
              </w:tc>
              <w:tc>
                <w:tcPr>
                  <w:tcW w:w="2733" w:type="pct"/>
                  <w:vAlign w:val="center"/>
                </w:tcPr>
                <w:p>
                  <w:pPr>
                    <w:pStyle w:val="47"/>
                    <w:rPr>
                      <w:szCs w:val="22"/>
                    </w:rPr>
                  </w:pPr>
                  <w:r>
                    <w:rPr>
                      <w:rFonts w:hint="eastAsia"/>
                      <w:szCs w:val="22"/>
                    </w:rPr>
                    <w:t>土壤环境质量现状监测浓度最大值</w:t>
                  </w:r>
                </w:p>
              </w:tc>
            </w:tr>
          </w:tbl>
          <w:p>
            <w:pPr>
              <w:adjustRightInd w:val="0"/>
              <w:snapToGrid w:val="0"/>
              <w:spacing w:before="120" w:beforeLines="50"/>
              <w:ind w:firstLine="480"/>
              <w:textAlignment w:val="auto"/>
            </w:pPr>
            <w:r>
              <w:rPr>
                <w:rFonts w:hint="eastAsia"/>
              </w:rPr>
              <w:t>（8）预测结果</w:t>
            </w:r>
          </w:p>
          <w:p>
            <w:pPr>
              <w:ind w:firstLine="480"/>
            </w:pPr>
            <w:r>
              <w:rPr>
                <w:rFonts w:hint="eastAsia"/>
              </w:rPr>
              <w:t>将相关参数带入上述公式，则可预测本项目投产</w:t>
            </w:r>
            <w:r>
              <w:t>n</w:t>
            </w:r>
            <w:r>
              <w:rPr>
                <w:rFonts w:hint="eastAsia"/>
              </w:rPr>
              <w:t>年后土壤中非甲烷总烃的积累量。具体计算参数和计算结果详见表</w:t>
            </w:r>
            <w:r>
              <w:t>7-</w:t>
            </w:r>
            <w:r>
              <w:rPr>
                <w:rFonts w:hint="eastAsia"/>
              </w:rPr>
              <w:t>26。</w:t>
            </w:r>
          </w:p>
          <w:p>
            <w:pPr>
              <w:pStyle w:val="46"/>
            </w:pPr>
            <w:r>
              <w:rPr>
                <w:rFonts w:hint="eastAsia"/>
              </w:rPr>
              <w:t>表7-26  不同年份土壤中污染物累积影响预测结果表</w:t>
            </w:r>
          </w:p>
          <w:tbl>
            <w:tblPr>
              <w:tblStyle w:val="3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9"/>
              <w:gridCol w:w="2954"/>
              <w:gridCol w:w="3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4" w:type="pct"/>
                  <w:vAlign w:val="center"/>
                </w:tcPr>
                <w:p>
                  <w:pPr>
                    <w:pStyle w:val="46"/>
                  </w:pPr>
                  <w:r>
                    <w:rPr>
                      <w:rFonts w:hint="eastAsia"/>
                    </w:rPr>
                    <w:t>污染物</w:t>
                  </w:r>
                </w:p>
              </w:tc>
              <w:tc>
                <w:tcPr>
                  <w:tcW w:w="3486" w:type="pct"/>
                  <w:gridSpan w:val="2"/>
                  <w:vAlign w:val="center"/>
                </w:tcPr>
                <w:p>
                  <w:pPr>
                    <w:pStyle w:val="46"/>
                  </w:pPr>
                  <w:r>
                    <w:rPr>
                      <w:rFonts w:hint="eastAsia"/>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4" w:type="pct"/>
                  <w:vAlign w:val="center"/>
                </w:tcPr>
                <w:p>
                  <w:pPr>
                    <w:pStyle w:val="47"/>
                  </w:pPr>
                  <w:r>
                    <w:rPr>
                      <w:rFonts w:hint="eastAsia"/>
                    </w:rPr>
                    <w:t>年份</w:t>
                  </w:r>
                </w:p>
              </w:tc>
              <w:tc>
                <w:tcPr>
                  <w:tcW w:w="1694" w:type="pct"/>
                  <w:tcBorders>
                    <w:bottom w:val="single" w:color="auto" w:sz="4" w:space="0"/>
                  </w:tcBorders>
                  <w:vAlign w:val="center"/>
                </w:tcPr>
                <w:p>
                  <w:pPr>
                    <w:pStyle w:val="47"/>
                  </w:pPr>
                  <w:r>
                    <w:rPr>
                      <w:rFonts w:hint="eastAsia"/>
                    </w:rPr>
                    <w:t>△S（g/kg）</w:t>
                  </w:r>
                </w:p>
              </w:tc>
              <w:tc>
                <w:tcPr>
                  <w:tcW w:w="1793" w:type="pct"/>
                  <w:tcBorders>
                    <w:bottom w:val="single" w:color="auto" w:sz="4" w:space="0"/>
                  </w:tcBorders>
                  <w:vAlign w:val="center"/>
                </w:tcPr>
                <w:p>
                  <w:pPr>
                    <w:pStyle w:val="47"/>
                  </w:pPr>
                  <w:r>
                    <w:rPr>
                      <w:rFonts w:hint="eastAsia"/>
                    </w:rPr>
                    <w:t>S（g/kg）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4" w:type="pct"/>
                  <w:vAlign w:val="center"/>
                </w:tcPr>
                <w:p>
                  <w:pPr>
                    <w:pStyle w:val="47"/>
                  </w:pPr>
                  <w:r>
                    <w:rPr>
                      <w:rFonts w:hint="eastAsia"/>
                    </w:rPr>
                    <w:t>5</w:t>
                  </w:r>
                </w:p>
              </w:tc>
              <w:tc>
                <w:tcPr>
                  <w:tcW w:w="2954" w:type="dxa"/>
                  <w:tcBorders>
                    <w:top w:val="single" w:color="auto" w:sz="4" w:space="0"/>
                    <w:left w:val="nil"/>
                    <w:bottom w:val="single" w:color="auto" w:sz="4" w:space="0"/>
                    <w:right w:val="single" w:color="auto" w:sz="4" w:space="0"/>
                  </w:tcBorders>
                  <w:vAlign w:val="center"/>
                </w:tcPr>
                <w:p>
                  <w:pPr>
                    <w:pStyle w:val="47"/>
                  </w:pPr>
                  <w:r>
                    <w:rPr>
                      <w:rFonts w:hint="eastAsia"/>
                    </w:rPr>
                    <w:t xml:space="preserve">0.0200 </w:t>
                  </w:r>
                </w:p>
              </w:tc>
              <w:tc>
                <w:tcPr>
                  <w:tcW w:w="3125" w:type="dxa"/>
                  <w:tcBorders>
                    <w:top w:val="single" w:color="auto" w:sz="4" w:space="0"/>
                    <w:left w:val="single" w:color="auto" w:sz="4" w:space="0"/>
                    <w:bottom w:val="single" w:color="auto" w:sz="4" w:space="0"/>
                    <w:right w:val="single" w:color="auto" w:sz="4" w:space="0"/>
                  </w:tcBorders>
                  <w:vAlign w:val="center"/>
                </w:tcPr>
                <w:p>
                  <w:pPr>
                    <w:pStyle w:val="47"/>
                  </w:pPr>
                  <w:r>
                    <w:rPr>
                      <w:rFonts w:hint="eastAsia"/>
                    </w:rPr>
                    <w:t xml:space="preserve">0.0880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4" w:type="pct"/>
                  <w:vAlign w:val="center"/>
                </w:tcPr>
                <w:p>
                  <w:pPr>
                    <w:pStyle w:val="47"/>
                  </w:pPr>
                  <w:r>
                    <w:rPr>
                      <w:rFonts w:hint="eastAsia"/>
                    </w:rPr>
                    <w:t>10</w:t>
                  </w:r>
                </w:p>
              </w:tc>
              <w:tc>
                <w:tcPr>
                  <w:tcW w:w="2954" w:type="dxa"/>
                  <w:tcBorders>
                    <w:top w:val="single" w:color="auto" w:sz="4" w:space="0"/>
                    <w:left w:val="nil"/>
                    <w:bottom w:val="single" w:color="auto" w:sz="4" w:space="0"/>
                    <w:right w:val="single" w:color="auto" w:sz="4" w:space="0"/>
                  </w:tcBorders>
                  <w:vAlign w:val="center"/>
                </w:tcPr>
                <w:p>
                  <w:pPr>
                    <w:pStyle w:val="47"/>
                  </w:pPr>
                  <w:r>
                    <w:rPr>
                      <w:rFonts w:hint="eastAsia"/>
                    </w:rPr>
                    <w:t xml:space="preserve">0.0400 </w:t>
                  </w:r>
                </w:p>
              </w:tc>
              <w:tc>
                <w:tcPr>
                  <w:tcW w:w="3125" w:type="dxa"/>
                  <w:tcBorders>
                    <w:top w:val="single" w:color="auto" w:sz="4" w:space="0"/>
                    <w:left w:val="single" w:color="auto" w:sz="4" w:space="0"/>
                    <w:bottom w:val="single" w:color="auto" w:sz="4" w:space="0"/>
                    <w:right w:val="single" w:color="auto" w:sz="4" w:space="0"/>
                  </w:tcBorders>
                  <w:vAlign w:val="center"/>
                </w:tcPr>
                <w:p>
                  <w:pPr>
                    <w:pStyle w:val="47"/>
                  </w:pPr>
                  <w:r>
                    <w:rPr>
                      <w:rFonts w:hint="eastAsia"/>
                    </w:rPr>
                    <w:t xml:space="preserve">0.1080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4" w:type="pct"/>
                  <w:vAlign w:val="center"/>
                </w:tcPr>
                <w:p>
                  <w:pPr>
                    <w:pStyle w:val="47"/>
                  </w:pPr>
                  <w:r>
                    <w:rPr>
                      <w:rFonts w:hint="eastAsia"/>
                    </w:rPr>
                    <w:t>15</w:t>
                  </w:r>
                </w:p>
              </w:tc>
              <w:tc>
                <w:tcPr>
                  <w:tcW w:w="2954" w:type="dxa"/>
                  <w:tcBorders>
                    <w:top w:val="single" w:color="auto" w:sz="4" w:space="0"/>
                    <w:left w:val="nil"/>
                    <w:bottom w:val="single" w:color="auto" w:sz="4" w:space="0"/>
                    <w:right w:val="single" w:color="auto" w:sz="4" w:space="0"/>
                  </w:tcBorders>
                  <w:vAlign w:val="center"/>
                </w:tcPr>
                <w:p>
                  <w:pPr>
                    <w:pStyle w:val="47"/>
                  </w:pPr>
                  <w:r>
                    <w:rPr>
                      <w:rFonts w:hint="eastAsia"/>
                    </w:rPr>
                    <w:t xml:space="preserve">0.0600 </w:t>
                  </w:r>
                </w:p>
              </w:tc>
              <w:tc>
                <w:tcPr>
                  <w:tcW w:w="3125" w:type="dxa"/>
                  <w:tcBorders>
                    <w:top w:val="single" w:color="auto" w:sz="4" w:space="0"/>
                    <w:left w:val="single" w:color="auto" w:sz="4" w:space="0"/>
                    <w:bottom w:val="single" w:color="auto" w:sz="4" w:space="0"/>
                    <w:right w:val="single" w:color="auto" w:sz="4" w:space="0"/>
                  </w:tcBorders>
                  <w:vAlign w:val="center"/>
                </w:tcPr>
                <w:p>
                  <w:pPr>
                    <w:pStyle w:val="47"/>
                  </w:pPr>
                  <w:r>
                    <w:rPr>
                      <w:rFonts w:hint="eastAsia"/>
                    </w:rPr>
                    <w:t xml:space="preserve">0.1280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4" w:type="pct"/>
                  <w:vAlign w:val="center"/>
                </w:tcPr>
                <w:p>
                  <w:pPr>
                    <w:pStyle w:val="47"/>
                  </w:pPr>
                  <w:r>
                    <w:rPr>
                      <w:rFonts w:hint="eastAsia"/>
                    </w:rPr>
                    <w:t>20</w:t>
                  </w:r>
                </w:p>
              </w:tc>
              <w:tc>
                <w:tcPr>
                  <w:tcW w:w="2954" w:type="dxa"/>
                  <w:tcBorders>
                    <w:top w:val="single" w:color="auto" w:sz="4" w:space="0"/>
                    <w:left w:val="nil"/>
                    <w:bottom w:val="single" w:color="auto" w:sz="4" w:space="0"/>
                    <w:right w:val="single" w:color="auto" w:sz="4" w:space="0"/>
                  </w:tcBorders>
                  <w:vAlign w:val="center"/>
                </w:tcPr>
                <w:p>
                  <w:pPr>
                    <w:pStyle w:val="47"/>
                  </w:pPr>
                  <w:r>
                    <w:rPr>
                      <w:rFonts w:hint="eastAsia"/>
                    </w:rPr>
                    <w:t xml:space="preserve">0.0800 </w:t>
                  </w:r>
                </w:p>
              </w:tc>
              <w:tc>
                <w:tcPr>
                  <w:tcW w:w="3125" w:type="dxa"/>
                  <w:tcBorders>
                    <w:top w:val="single" w:color="auto" w:sz="4" w:space="0"/>
                    <w:left w:val="single" w:color="auto" w:sz="4" w:space="0"/>
                    <w:bottom w:val="single" w:color="auto" w:sz="4" w:space="0"/>
                    <w:right w:val="single" w:color="auto" w:sz="4" w:space="0"/>
                  </w:tcBorders>
                  <w:vAlign w:val="center"/>
                </w:tcPr>
                <w:p>
                  <w:pPr>
                    <w:pStyle w:val="47"/>
                  </w:pPr>
                  <w:r>
                    <w:rPr>
                      <w:rFonts w:hint="eastAsia"/>
                    </w:rPr>
                    <w:t xml:space="preserve">0.1480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4" w:type="pct"/>
                  <w:vAlign w:val="center"/>
                </w:tcPr>
                <w:p>
                  <w:pPr>
                    <w:pStyle w:val="47"/>
                  </w:pPr>
                  <w:r>
                    <w:rPr>
                      <w:rFonts w:hint="eastAsia"/>
                    </w:rPr>
                    <w:t>25</w:t>
                  </w:r>
                </w:p>
              </w:tc>
              <w:tc>
                <w:tcPr>
                  <w:tcW w:w="2954" w:type="dxa"/>
                  <w:tcBorders>
                    <w:top w:val="single" w:color="auto" w:sz="4" w:space="0"/>
                    <w:left w:val="nil"/>
                    <w:bottom w:val="single" w:color="auto" w:sz="4" w:space="0"/>
                    <w:right w:val="single" w:color="auto" w:sz="4" w:space="0"/>
                  </w:tcBorders>
                  <w:vAlign w:val="center"/>
                </w:tcPr>
                <w:p>
                  <w:pPr>
                    <w:pStyle w:val="47"/>
                  </w:pPr>
                  <w:r>
                    <w:rPr>
                      <w:rFonts w:hint="eastAsia"/>
                    </w:rPr>
                    <w:t xml:space="preserve">0.1000 </w:t>
                  </w:r>
                </w:p>
              </w:tc>
              <w:tc>
                <w:tcPr>
                  <w:tcW w:w="3125" w:type="dxa"/>
                  <w:tcBorders>
                    <w:top w:val="single" w:color="auto" w:sz="4" w:space="0"/>
                    <w:left w:val="single" w:color="auto" w:sz="4" w:space="0"/>
                    <w:bottom w:val="single" w:color="auto" w:sz="4" w:space="0"/>
                    <w:right w:val="single" w:color="auto" w:sz="4" w:space="0"/>
                  </w:tcBorders>
                  <w:vAlign w:val="center"/>
                </w:tcPr>
                <w:p>
                  <w:pPr>
                    <w:pStyle w:val="47"/>
                  </w:pPr>
                  <w:r>
                    <w:rPr>
                      <w:rFonts w:hint="eastAsia"/>
                    </w:rPr>
                    <w:t xml:space="preserve">0.1680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4" w:type="pct"/>
                  <w:vAlign w:val="center"/>
                </w:tcPr>
                <w:p>
                  <w:pPr>
                    <w:pStyle w:val="47"/>
                  </w:pPr>
                  <w:r>
                    <w:rPr>
                      <w:rFonts w:hint="eastAsia"/>
                    </w:rPr>
                    <w:t>30</w:t>
                  </w:r>
                </w:p>
              </w:tc>
              <w:tc>
                <w:tcPr>
                  <w:tcW w:w="2954" w:type="dxa"/>
                  <w:tcBorders>
                    <w:top w:val="single" w:color="auto" w:sz="4" w:space="0"/>
                    <w:left w:val="nil"/>
                    <w:bottom w:val="single" w:color="auto" w:sz="4" w:space="0"/>
                    <w:right w:val="single" w:color="auto" w:sz="4" w:space="0"/>
                  </w:tcBorders>
                  <w:vAlign w:val="center"/>
                </w:tcPr>
                <w:p>
                  <w:pPr>
                    <w:pStyle w:val="47"/>
                  </w:pPr>
                  <w:r>
                    <w:rPr>
                      <w:rFonts w:hint="eastAsia"/>
                    </w:rPr>
                    <w:t xml:space="preserve">0.1200 </w:t>
                  </w:r>
                </w:p>
              </w:tc>
              <w:tc>
                <w:tcPr>
                  <w:tcW w:w="3125" w:type="dxa"/>
                  <w:tcBorders>
                    <w:top w:val="single" w:color="auto" w:sz="4" w:space="0"/>
                    <w:left w:val="single" w:color="auto" w:sz="4" w:space="0"/>
                    <w:bottom w:val="single" w:color="auto" w:sz="4" w:space="0"/>
                    <w:right w:val="single" w:color="auto" w:sz="4" w:space="0"/>
                  </w:tcBorders>
                  <w:vAlign w:val="center"/>
                </w:tcPr>
                <w:p>
                  <w:pPr>
                    <w:pStyle w:val="47"/>
                  </w:pPr>
                  <w:r>
                    <w:rPr>
                      <w:rFonts w:hint="eastAsia"/>
                    </w:rPr>
                    <w:t xml:space="preserve">0.1880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4" w:type="pct"/>
                  <w:vAlign w:val="center"/>
                </w:tcPr>
                <w:p>
                  <w:pPr>
                    <w:pStyle w:val="47"/>
                  </w:pPr>
                  <w:r>
                    <w:rPr>
                      <w:rFonts w:hint="eastAsia"/>
                    </w:rPr>
                    <w:t>35</w:t>
                  </w:r>
                </w:p>
              </w:tc>
              <w:tc>
                <w:tcPr>
                  <w:tcW w:w="2954" w:type="dxa"/>
                  <w:tcBorders>
                    <w:top w:val="single" w:color="auto" w:sz="4" w:space="0"/>
                    <w:left w:val="nil"/>
                    <w:bottom w:val="single" w:color="auto" w:sz="4" w:space="0"/>
                    <w:right w:val="single" w:color="auto" w:sz="4" w:space="0"/>
                  </w:tcBorders>
                  <w:vAlign w:val="center"/>
                </w:tcPr>
                <w:p>
                  <w:pPr>
                    <w:pStyle w:val="47"/>
                  </w:pPr>
                  <w:r>
                    <w:rPr>
                      <w:rFonts w:hint="eastAsia"/>
                    </w:rPr>
                    <w:t xml:space="preserve">0.1400 </w:t>
                  </w:r>
                </w:p>
              </w:tc>
              <w:tc>
                <w:tcPr>
                  <w:tcW w:w="3125" w:type="dxa"/>
                  <w:tcBorders>
                    <w:top w:val="single" w:color="auto" w:sz="4" w:space="0"/>
                    <w:left w:val="single" w:color="auto" w:sz="4" w:space="0"/>
                    <w:bottom w:val="single" w:color="auto" w:sz="4" w:space="0"/>
                    <w:right w:val="single" w:color="auto" w:sz="4" w:space="0"/>
                  </w:tcBorders>
                  <w:vAlign w:val="center"/>
                </w:tcPr>
                <w:p>
                  <w:pPr>
                    <w:pStyle w:val="47"/>
                  </w:pPr>
                  <w:r>
                    <w:rPr>
                      <w:rFonts w:hint="eastAsia"/>
                    </w:rPr>
                    <w:t xml:space="preserve">0.2080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4" w:type="pct"/>
                  <w:vAlign w:val="center"/>
                </w:tcPr>
                <w:p>
                  <w:pPr>
                    <w:pStyle w:val="47"/>
                  </w:pPr>
                  <w:r>
                    <w:rPr>
                      <w:rFonts w:hint="eastAsia"/>
                    </w:rPr>
                    <w:t>40</w:t>
                  </w:r>
                </w:p>
              </w:tc>
              <w:tc>
                <w:tcPr>
                  <w:tcW w:w="2954" w:type="dxa"/>
                  <w:tcBorders>
                    <w:top w:val="single" w:color="auto" w:sz="4" w:space="0"/>
                    <w:left w:val="nil"/>
                    <w:bottom w:val="single" w:color="auto" w:sz="4" w:space="0"/>
                    <w:right w:val="single" w:color="auto" w:sz="4" w:space="0"/>
                  </w:tcBorders>
                  <w:vAlign w:val="center"/>
                </w:tcPr>
                <w:p>
                  <w:pPr>
                    <w:pStyle w:val="47"/>
                  </w:pPr>
                  <w:r>
                    <w:rPr>
                      <w:rFonts w:hint="eastAsia"/>
                    </w:rPr>
                    <w:t xml:space="preserve">0.1600 </w:t>
                  </w:r>
                </w:p>
              </w:tc>
              <w:tc>
                <w:tcPr>
                  <w:tcW w:w="3125" w:type="dxa"/>
                  <w:tcBorders>
                    <w:top w:val="single" w:color="auto" w:sz="4" w:space="0"/>
                    <w:left w:val="single" w:color="auto" w:sz="4" w:space="0"/>
                    <w:bottom w:val="single" w:color="auto" w:sz="4" w:space="0"/>
                    <w:right w:val="single" w:color="auto" w:sz="4" w:space="0"/>
                  </w:tcBorders>
                  <w:vAlign w:val="center"/>
                </w:tcPr>
                <w:p>
                  <w:pPr>
                    <w:pStyle w:val="47"/>
                  </w:pPr>
                  <w:r>
                    <w:rPr>
                      <w:rFonts w:hint="eastAsia"/>
                    </w:rPr>
                    <w:t xml:space="preserve">0.2280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4" w:type="pct"/>
                  <w:vAlign w:val="center"/>
                </w:tcPr>
                <w:p>
                  <w:pPr>
                    <w:pStyle w:val="47"/>
                  </w:pPr>
                  <w:r>
                    <w:rPr>
                      <w:rFonts w:hint="eastAsia"/>
                    </w:rPr>
                    <w:t>45</w:t>
                  </w:r>
                </w:p>
              </w:tc>
              <w:tc>
                <w:tcPr>
                  <w:tcW w:w="2954" w:type="dxa"/>
                  <w:tcBorders>
                    <w:top w:val="single" w:color="auto" w:sz="4" w:space="0"/>
                    <w:left w:val="nil"/>
                    <w:bottom w:val="single" w:color="auto" w:sz="4" w:space="0"/>
                    <w:right w:val="single" w:color="auto" w:sz="4" w:space="0"/>
                  </w:tcBorders>
                  <w:vAlign w:val="center"/>
                </w:tcPr>
                <w:p>
                  <w:pPr>
                    <w:pStyle w:val="47"/>
                  </w:pPr>
                  <w:r>
                    <w:rPr>
                      <w:rFonts w:hint="eastAsia"/>
                    </w:rPr>
                    <w:t xml:space="preserve">0.1800 </w:t>
                  </w:r>
                </w:p>
              </w:tc>
              <w:tc>
                <w:tcPr>
                  <w:tcW w:w="3125" w:type="dxa"/>
                  <w:tcBorders>
                    <w:top w:val="single" w:color="auto" w:sz="4" w:space="0"/>
                    <w:left w:val="single" w:color="auto" w:sz="4" w:space="0"/>
                    <w:bottom w:val="single" w:color="auto" w:sz="4" w:space="0"/>
                    <w:right w:val="single" w:color="auto" w:sz="4" w:space="0"/>
                  </w:tcBorders>
                  <w:vAlign w:val="center"/>
                </w:tcPr>
                <w:p>
                  <w:pPr>
                    <w:pStyle w:val="47"/>
                  </w:pPr>
                  <w:r>
                    <w:rPr>
                      <w:rFonts w:hint="eastAsia"/>
                    </w:rPr>
                    <w:t xml:space="preserve">0.2480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4" w:type="pct"/>
                  <w:vAlign w:val="center"/>
                </w:tcPr>
                <w:p>
                  <w:pPr>
                    <w:pStyle w:val="47"/>
                  </w:pPr>
                  <w:r>
                    <w:rPr>
                      <w:rFonts w:hint="eastAsia"/>
                    </w:rPr>
                    <w:t>50</w:t>
                  </w:r>
                </w:p>
              </w:tc>
              <w:tc>
                <w:tcPr>
                  <w:tcW w:w="2954" w:type="dxa"/>
                  <w:tcBorders>
                    <w:top w:val="single" w:color="auto" w:sz="4" w:space="0"/>
                    <w:left w:val="nil"/>
                    <w:bottom w:val="single" w:color="auto" w:sz="4" w:space="0"/>
                    <w:right w:val="single" w:color="auto" w:sz="4" w:space="0"/>
                  </w:tcBorders>
                  <w:vAlign w:val="center"/>
                </w:tcPr>
                <w:p>
                  <w:pPr>
                    <w:pStyle w:val="47"/>
                  </w:pPr>
                  <w:r>
                    <w:rPr>
                      <w:rFonts w:hint="eastAsia"/>
                    </w:rPr>
                    <w:t xml:space="preserve">0.2000 </w:t>
                  </w:r>
                </w:p>
              </w:tc>
              <w:tc>
                <w:tcPr>
                  <w:tcW w:w="3125" w:type="dxa"/>
                  <w:tcBorders>
                    <w:top w:val="single" w:color="auto" w:sz="4" w:space="0"/>
                    <w:left w:val="single" w:color="auto" w:sz="4" w:space="0"/>
                    <w:bottom w:val="single" w:color="auto" w:sz="4" w:space="0"/>
                    <w:right w:val="single" w:color="auto" w:sz="4" w:space="0"/>
                  </w:tcBorders>
                  <w:vAlign w:val="center"/>
                </w:tcPr>
                <w:p>
                  <w:pPr>
                    <w:pStyle w:val="47"/>
                  </w:pPr>
                  <w:r>
                    <w:rPr>
                      <w:rFonts w:hint="eastAsia"/>
                    </w:rPr>
                    <w:t xml:space="preserve">0.2680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4" w:type="pct"/>
                  <w:vAlign w:val="center"/>
                </w:tcPr>
                <w:p>
                  <w:pPr>
                    <w:pStyle w:val="47"/>
                  </w:pPr>
                  <w:r>
                    <w:rPr>
                      <w:rFonts w:hint="eastAsia"/>
                    </w:rPr>
                    <w:t>评价标准g/kg</w:t>
                  </w:r>
                </w:p>
              </w:tc>
              <w:tc>
                <w:tcPr>
                  <w:tcW w:w="3486" w:type="pct"/>
                  <w:gridSpan w:val="2"/>
                  <w:tcBorders>
                    <w:top w:val="single" w:color="auto" w:sz="4" w:space="0"/>
                  </w:tcBorders>
                  <w:vAlign w:val="center"/>
                </w:tcPr>
                <w:p>
                  <w:pPr>
                    <w:pStyle w:val="47"/>
                  </w:pPr>
                  <w:r>
                    <w:rPr>
                      <w:rFonts w:hint="eastAsia"/>
                    </w:rPr>
                    <w:t>4.5（石油烃）</w:t>
                  </w:r>
                </w:p>
              </w:tc>
            </w:tr>
          </w:tbl>
          <w:p>
            <w:pPr>
              <w:spacing w:before="120" w:beforeLines="50"/>
              <w:ind w:firstLine="480"/>
              <w:textAlignment w:val="auto"/>
            </w:pPr>
            <w:r>
              <w:rPr>
                <w:rFonts w:hint="eastAsia"/>
              </w:rPr>
              <w:t>（9）预测评价结论</w:t>
            </w:r>
          </w:p>
          <w:p>
            <w:pPr>
              <w:ind w:firstLine="480"/>
            </w:pPr>
            <w:r>
              <w:rPr>
                <w:rFonts w:hint="eastAsia"/>
              </w:rPr>
              <w:t>由预测结果可知，随着非甲烷总烃输入时间的延长，在土壤中累积量逐步增加，但累积增加量很小。由预测数据可知，项目运营5~50年后周围影响区域土壤中非甲烷总烃累积量叠加现状背景值后，均能满足《土壤环境质量 建设用地土壤污染风险管控标准（试行）》（GB15618-2018）中相应第二类用地筛选值。</w:t>
            </w:r>
          </w:p>
          <w:p>
            <w:pPr>
              <w:ind w:firstLine="480"/>
              <w:textAlignment w:val="auto"/>
            </w:pPr>
            <w:r>
              <w:rPr>
                <w:rFonts w:hint="eastAsia"/>
              </w:rPr>
              <w:t>本项目评价范围及周边区域主要为工业用地、道路和农田，</w:t>
            </w:r>
            <w:r>
              <w:t>根据7.2.3大气环境影响分析，</w:t>
            </w:r>
            <w:r>
              <w:rPr>
                <w:rFonts w:hint="eastAsia"/>
              </w:rPr>
              <w:t>有组织下风向最大质量浓度落地点距离为125m，本项目130m范围内无土壤环境敏感目标，区域总体土壤污染敏感度较低。本项目在落实土壤保护措施的前提下，项目建设对厂区及周围土壤环境的影响可接受。</w:t>
            </w:r>
          </w:p>
          <w:p>
            <w:pPr>
              <w:pStyle w:val="6"/>
            </w:pPr>
            <w:r>
              <w:rPr>
                <w:rFonts w:hint="eastAsia"/>
              </w:rPr>
              <w:t>7</w:t>
            </w:r>
            <w:r>
              <w:t>.2.6.4</w:t>
            </w:r>
            <w:r>
              <w:rPr>
                <w:rFonts w:hint="eastAsia"/>
              </w:rPr>
              <w:t>土壤环境影响自查表</w:t>
            </w:r>
          </w:p>
          <w:p>
            <w:pPr>
              <w:pStyle w:val="46"/>
            </w:pPr>
            <w:r>
              <w:rPr>
                <w:rFonts w:hint="eastAsia"/>
              </w:rPr>
              <w:t>表</w:t>
            </w:r>
            <w:r>
              <w:t>7</w:t>
            </w:r>
            <w:r>
              <w:rPr>
                <w:rFonts w:hint="eastAsia"/>
              </w:rPr>
              <w:t>-27</w:t>
            </w:r>
            <w:r>
              <w:t xml:space="preserve">  </w:t>
            </w:r>
            <w:r>
              <w:rPr>
                <w:rFonts w:hint="eastAsia"/>
              </w:rPr>
              <w:t>土壤环境影响评价自查表</w:t>
            </w:r>
          </w:p>
          <w:tbl>
            <w:tblPr>
              <w:tblStyle w:val="3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7"/>
              <w:gridCol w:w="1676"/>
              <w:gridCol w:w="1386"/>
              <w:gridCol w:w="19"/>
              <w:gridCol w:w="1301"/>
              <w:gridCol w:w="1074"/>
              <w:gridCol w:w="116"/>
              <w:gridCol w:w="930"/>
              <w:gridCol w:w="17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53" w:type="dxa"/>
                  <w:gridSpan w:val="2"/>
                  <w:vAlign w:val="center"/>
                </w:tcPr>
                <w:p>
                  <w:pPr>
                    <w:pStyle w:val="49"/>
                    <w:rPr>
                      <w:b/>
                      <w:bCs/>
                    </w:rPr>
                  </w:pPr>
                  <w:r>
                    <w:rPr>
                      <w:rFonts w:hint="eastAsia"/>
                      <w:b/>
                      <w:bCs/>
                    </w:rPr>
                    <w:t>工作内容</w:t>
                  </w:r>
                </w:p>
              </w:tc>
              <w:tc>
                <w:tcPr>
                  <w:tcW w:w="4826" w:type="dxa"/>
                  <w:gridSpan w:val="6"/>
                  <w:vAlign w:val="center"/>
                </w:tcPr>
                <w:p>
                  <w:pPr>
                    <w:pStyle w:val="49"/>
                    <w:rPr>
                      <w:b/>
                      <w:bCs/>
                    </w:rPr>
                  </w:pPr>
                  <w:r>
                    <w:rPr>
                      <w:rFonts w:hint="eastAsia"/>
                      <w:b/>
                      <w:bCs/>
                    </w:rPr>
                    <w:t>完成情况</w:t>
                  </w:r>
                </w:p>
              </w:tc>
              <w:tc>
                <w:tcPr>
                  <w:tcW w:w="1741" w:type="dxa"/>
                  <w:vAlign w:val="center"/>
                </w:tcPr>
                <w:p>
                  <w:pPr>
                    <w:pStyle w:val="49"/>
                    <w:rPr>
                      <w:b/>
                      <w:bCs/>
                    </w:rPr>
                  </w:pPr>
                  <w:r>
                    <w:rPr>
                      <w:rFonts w:hint="eastAsia"/>
                      <w:b/>
                      <w:bCs/>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7" w:type="dxa"/>
                  <w:vMerge w:val="restart"/>
                  <w:vAlign w:val="center"/>
                </w:tcPr>
                <w:p>
                  <w:pPr>
                    <w:pStyle w:val="49"/>
                  </w:pPr>
                  <w:r>
                    <w:rPr>
                      <w:rFonts w:hint="eastAsia"/>
                    </w:rPr>
                    <w:t>影响识别</w:t>
                  </w:r>
                </w:p>
              </w:tc>
              <w:tc>
                <w:tcPr>
                  <w:tcW w:w="1676" w:type="dxa"/>
                  <w:vAlign w:val="center"/>
                </w:tcPr>
                <w:p>
                  <w:pPr>
                    <w:pStyle w:val="49"/>
                  </w:pPr>
                  <w:r>
                    <w:rPr>
                      <w:rFonts w:hint="eastAsia"/>
                    </w:rPr>
                    <w:t>影响类型</w:t>
                  </w:r>
                </w:p>
              </w:tc>
              <w:tc>
                <w:tcPr>
                  <w:tcW w:w="4826" w:type="dxa"/>
                  <w:gridSpan w:val="6"/>
                  <w:vAlign w:val="center"/>
                </w:tcPr>
                <w:p>
                  <w:pPr>
                    <w:pStyle w:val="49"/>
                  </w:pPr>
                  <w:r>
                    <w:rPr>
                      <w:rFonts w:hint="eastAsia"/>
                    </w:rPr>
                    <w:t>污染影响型</w:t>
                  </w:r>
                  <w:r>
                    <w:rPr/>
                    <w:sym w:font="Wingdings 2" w:char="F052"/>
                  </w:r>
                  <w:r>
                    <w:rPr>
                      <w:rFonts w:hint="eastAsia"/>
                    </w:rPr>
                    <w:t>；生态影响型</w:t>
                  </w:r>
                  <w:r>
                    <w:t>□</w:t>
                  </w:r>
                  <w:r>
                    <w:rPr>
                      <w:rFonts w:hint="eastAsia"/>
                    </w:rPr>
                    <w:t>；两种兼有</w:t>
                  </w:r>
                  <w:r>
                    <w:t>□</w:t>
                  </w:r>
                </w:p>
              </w:tc>
              <w:tc>
                <w:tcPr>
                  <w:tcW w:w="1741" w:type="dxa"/>
                  <w:vAlign w:val="center"/>
                </w:tcPr>
                <w:p>
                  <w:pPr>
                    <w:pStyle w:val="49"/>
                  </w:pPr>
                  <w:r>
                    <w:rPr>
                      <w:rFonts w:hint="eastAsi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7" w:type="dxa"/>
                  <w:vMerge w:val="continue"/>
                  <w:vAlign w:val="center"/>
                </w:tcPr>
                <w:p>
                  <w:pPr>
                    <w:pStyle w:val="49"/>
                  </w:pPr>
                </w:p>
              </w:tc>
              <w:tc>
                <w:tcPr>
                  <w:tcW w:w="1676" w:type="dxa"/>
                  <w:vAlign w:val="center"/>
                </w:tcPr>
                <w:p>
                  <w:pPr>
                    <w:pStyle w:val="49"/>
                  </w:pPr>
                  <w:r>
                    <w:rPr>
                      <w:rFonts w:hint="eastAsia"/>
                    </w:rPr>
                    <w:t>土地利用类型</w:t>
                  </w:r>
                </w:p>
              </w:tc>
              <w:tc>
                <w:tcPr>
                  <w:tcW w:w="4826" w:type="dxa"/>
                  <w:gridSpan w:val="6"/>
                  <w:vAlign w:val="center"/>
                </w:tcPr>
                <w:p>
                  <w:pPr>
                    <w:pStyle w:val="49"/>
                  </w:pPr>
                  <w:r>
                    <w:rPr>
                      <w:rFonts w:hint="eastAsia"/>
                    </w:rPr>
                    <w:t>建设用地</w:t>
                  </w:r>
                  <w:r>
                    <w:rPr/>
                    <w:sym w:font="Wingdings 2" w:char="F052"/>
                  </w:r>
                  <w:r>
                    <w:rPr>
                      <w:rFonts w:hint="eastAsia"/>
                    </w:rPr>
                    <w:t>；农用地</w:t>
                  </w:r>
                  <w:r>
                    <w:t>□</w:t>
                  </w:r>
                  <w:r>
                    <w:rPr>
                      <w:rFonts w:hint="eastAsia"/>
                    </w:rPr>
                    <w:t>；未利用地</w:t>
                  </w:r>
                  <w:r>
                    <w:t>□</w:t>
                  </w:r>
                </w:p>
              </w:tc>
              <w:tc>
                <w:tcPr>
                  <w:tcW w:w="1741" w:type="dxa"/>
                  <w:vAlign w:val="center"/>
                </w:tcPr>
                <w:p>
                  <w:pPr>
                    <w:pStyle w:val="49"/>
                  </w:pPr>
                  <w:r>
                    <w:rPr>
                      <w:rFonts w:hint="eastAsia"/>
                    </w:rPr>
                    <w:t>土地利用类型见附图</w:t>
                  </w:r>
                  <w:r>
                    <w:t>6-</w:t>
                  </w:r>
                  <w:r>
                    <w:rPr>
                      <w:rFonts w:hint="eastAsia"/>
                    </w:rPr>
                    <w:t>桐乡市崇福镇工业区四期控制性详细规划图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7" w:type="dxa"/>
                  <w:vMerge w:val="continue"/>
                  <w:vAlign w:val="center"/>
                </w:tcPr>
                <w:p>
                  <w:pPr>
                    <w:pStyle w:val="49"/>
                  </w:pPr>
                </w:p>
              </w:tc>
              <w:tc>
                <w:tcPr>
                  <w:tcW w:w="1676" w:type="dxa"/>
                  <w:vAlign w:val="center"/>
                </w:tcPr>
                <w:p>
                  <w:pPr>
                    <w:pStyle w:val="49"/>
                  </w:pPr>
                  <w:r>
                    <w:rPr>
                      <w:rFonts w:hint="eastAsia"/>
                    </w:rPr>
                    <w:t>占地规模</w:t>
                  </w:r>
                </w:p>
              </w:tc>
              <w:tc>
                <w:tcPr>
                  <w:tcW w:w="4826" w:type="dxa"/>
                  <w:gridSpan w:val="6"/>
                  <w:vAlign w:val="center"/>
                </w:tcPr>
                <w:p>
                  <w:pPr>
                    <w:pStyle w:val="49"/>
                  </w:pPr>
                  <w:r>
                    <w:rPr>
                      <w:rFonts w:hint="eastAsia"/>
                    </w:rPr>
                    <w:t>（</w:t>
                  </w:r>
                  <w:r>
                    <w:t>0.0</w:t>
                  </w:r>
                  <w:r>
                    <w:rPr>
                      <w:rFonts w:hint="eastAsia"/>
                    </w:rPr>
                    <w:t>425）hm²</w:t>
                  </w:r>
                </w:p>
              </w:tc>
              <w:tc>
                <w:tcPr>
                  <w:tcW w:w="1741" w:type="dxa"/>
                  <w:vAlign w:val="center"/>
                </w:tcPr>
                <w:p>
                  <w:pPr>
                    <w:pStyle w:val="49"/>
                  </w:pPr>
                  <w:r>
                    <w:rPr>
                      <w:rFonts w:hint="eastAsi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7" w:type="dxa"/>
                  <w:vMerge w:val="continue"/>
                  <w:vAlign w:val="center"/>
                </w:tcPr>
                <w:p>
                  <w:pPr>
                    <w:pStyle w:val="49"/>
                  </w:pPr>
                </w:p>
              </w:tc>
              <w:tc>
                <w:tcPr>
                  <w:tcW w:w="1676" w:type="dxa"/>
                  <w:vAlign w:val="center"/>
                </w:tcPr>
                <w:p>
                  <w:pPr>
                    <w:pStyle w:val="49"/>
                  </w:pPr>
                  <w:r>
                    <w:rPr>
                      <w:rFonts w:hint="eastAsia"/>
                    </w:rPr>
                    <w:t>敏感目标信息</w:t>
                  </w:r>
                </w:p>
              </w:tc>
              <w:tc>
                <w:tcPr>
                  <w:tcW w:w="4826" w:type="dxa"/>
                  <w:gridSpan w:val="6"/>
                  <w:vAlign w:val="center"/>
                </w:tcPr>
                <w:p>
                  <w:pPr>
                    <w:pStyle w:val="49"/>
                  </w:pPr>
                  <w:r>
                    <w:rPr>
                      <w:rFonts w:hint="eastAsia"/>
                    </w:rPr>
                    <w:t>敏感目标（/）、方位（/）、距离（/）</w:t>
                  </w:r>
                </w:p>
              </w:tc>
              <w:tc>
                <w:tcPr>
                  <w:tcW w:w="1741" w:type="dxa"/>
                  <w:vAlign w:val="center"/>
                </w:tcPr>
                <w:p>
                  <w:pPr>
                    <w:pStyle w:val="49"/>
                  </w:pPr>
                  <w:r>
                    <w:rPr>
                      <w:rFonts w:hint="eastAsia"/>
                    </w:rPr>
                    <w:t>周围130m内敏感点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7" w:type="dxa"/>
                  <w:vMerge w:val="continue"/>
                  <w:vAlign w:val="center"/>
                </w:tcPr>
                <w:p>
                  <w:pPr>
                    <w:pStyle w:val="49"/>
                  </w:pPr>
                </w:p>
              </w:tc>
              <w:tc>
                <w:tcPr>
                  <w:tcW w:w="1676" w:type="dxa"/>
                  <w:vAlign w:val="center"/>
                </w:tcPr>
                <w:p>
                  <w:pPr>
                    <w:pStyle w:val="49"/>
                  </w:pPr>
                  <w:r>
                    <w:rPr>
                      <w:rFonts w:hint="eastAsia"/>
                    </w:rPr>
                    <w:t>影响途径</w:t>
                  </w:r>
                </w:p>
              </w:tc>
              <w:tc>
                <w:tcPr>
                  <w:tcW w:w="4826" w:type="dxa"/>
                  <w:gridSpan w:val="6"/>
                  <w:vAlign w:val="center"/>
                </w:tcPr>
                <w:p>
                  <w:pPr>
                    <w:pStyle w:val="49"/>
                  </w:pPr>
                  <w:r>
                    <w:rPr>
                      <w:rFonts w:hint="eastAsia"/>
                    </w:rPr>
                    <w:t>大气沉降</w:t>
                  </w:r>
                  <w:r>
                    <w:rPr/>
                    <w:sym w:font="Wingdings 2" w:char="F052"/>
                  </w:r>
                  <w:r>
                    <w:rPr>
                      <w:rFonts w:hint="eastAsia"/>
                    </w:rPr>
                    <w:t>；地面漫流</w:t>
                  </w:r>
                  <w:r>
                    <w:t>□</w:t>
                  </w:r>
                  <w:r>
                    <w:rPr>
                      <w:rFonts w:hint="eastAsia"/>
                    </w:rPr>
                    <w:t>；垂直入渗</w:t>
                  </w:r>
                  <w:r>
                    <w:t>□</w:t>
                  </w:r>
                  <w:r>
                    <w:rPr>
                      <w:rFonts w:hint="eastAsia"/>
                    </w:rPr>
                    <w:t>；地下水位</w:t>
                  </w:r>
                  <w:r>
                    <w:t>□</w:t>
                  </w:r>
                  <w:r>
                    <w:rPr>
                      <w:rFonts w:hint="eastAsia"/>
                    </w:rPr>
                    <w:t>；其他（）</w:t>
                  </w:r>
                </w:p>
              </w:tc>
              <w:tc>
                <w:tcPr>
                  <w:tcW w:w="1741" w:type="dxa"/>
                  <w:vAlign w:val="center"/>
                </w:tcPr>
                <w:p>
                  <w:pPr>
                    <w:pStyle w:val="49"/>
                  </w:pPr>
                  <w:r>
                    <w:rPr>
                      <w:rFonts w:hint="eastAsi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7" w:type="dxa"/>
                  <w:vMerge w:val="continue"/>
                  <w:vAlign w:val="center"/>
                </w:tcPr>
                <w:p>
                  <w:pPr>
                    <w:pStyle w:val="49"/>
                  </w:pPr>
                </w:p>
              </w:tc>
              <w:tc>
                <w:tcPr>
                  <w:tcW w:w="1676" w:type="dxa"/>
                  <w:vAlign w:val="center"/>
                </w:tcPr>
                <w:p>
                  <w:pPr>
                    <w:pStyle w:val="49"/>
                  </w:pPr>
                  <w:r>
                    <w:rPr>
                      <w:rFonts w:hint="eastAsia"/>
                    </w:rPr>
                    <w:t>全部污染物</w:t>
                  </w:r>
                </w:p>
              </w:tc>
              <w:tc>
                <w:tcPr>
                  <w:tcW w:w="4826" w:type="dxa"/>
                  <w:gridSpan w:val="6"/>
                  <w:vAlign w:val="center"/>
                </w:tcPr>
                <w:p>
                  <w:pPr>
                    <w:pStyle w:val="49"/>
                  </w:pPr>
                  <w:r>
                    <w:rPr>
                      <w:rFonts w:hint="eastAsia"/>
                    </w:rPr>
                    <w:t>废气（非甲烷总烃）</w:t>
                  </w:r>
                </w:p>
              </w:tc>
              <w:tc>
                <w:tcPr>
                  <w:tcW w:w="1741" w:type="dxa"/>
                  <w:vAlign w:val="center"/>
                </w:tcPr>
                <w:p>
                  <w:pPr>
                    <w:pStyle w:val="49"/>
                  </w:pPr>
                  <w:r>
                    <w:rPr>
                      <w:rFonts w:hint="eastAsi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7" w:type="dxa"/>
                  <w:vMerge w:val="continue"/>
                  <w:vAlign w:val="center"/>
                </w:tcPr>
                <w:p>
                  <w:pPr>
                    <w:pStyle w:val="49"/>
                  </w:pPr>
                </w:p>
              </w:tc>
              <w:tc>
                <w:tcPr>
                  <w:tcW w:w="1676" w:type="dxa"/>
                  <w:vAlign w:val="center"/>
                </w:tcPr>
                <w:p>
                  <w:pPr>
                    <w:pStyle w:val="49"/>
                  </w:pPr>
                  <w:r>
                    <w:rPr>
                      <w:rFonts w:hint="eastAsia"/>
                    </w:rPr>
                    <w:t>特征因子</w:t>
                  </w:r>
                </w:p>
              </w:tc>
              <w:tc>
                <w:tcPr>
                  <w:tcW w:w="4826" w:type="dxa"/>
                  <w:gridSpan w:val="6"/>
                  <w:vAlign w:val="center"/>
                </w:tcPr>
                <w:p>
                  <w:pPr>
                    <w:pStyle w:val="49"/>
                  </w:pPr>
                  <w:r>
                    <w:rPr>
                      <w:rFonts w:hint="eastAsia"/>
                    </w:rPr>
                    <w:t>/</w:t>
                  </w:r>
                </w:p>
              </w:tc>
              <w:tc>
                <w:tcPr>
                  <w:tcW w:w="1741" w:type="dxa"/>
                  <w:vAlign w:val="center"/>
                </w:tcPr>
                <w:p>
                  <w:pPr>
                    <w:pStyle w:val="49"/>
                  </w:pPr>
                  <w:r>
                    <w:rPr>
                      <w:rFonts w:hint="eastAsi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7" w:type="dxa"/>
                  <w:vMerge w:val="continue"/>
                  <w:vAlign w:val="center"/>
                </w:tcPr>
                <w:p>
                  <w:pPr>
                    <w:pStyle w:val="49"/>
                  </w:pPr>
                </w:p>
              </w:tc>
              <w:tc>
                <w:tcPr>
                  <w:tcW w:w="1676" w:type="dxa"/>
                  <w:vAlign w:val="center"/>
                </w:tcPr>
                <w:p>
                  <w:pPr>
                    <w:pStyle w:val="49"/>
                  </w:pPr>
                  <w:r>
                    <w:rPr>
                      <w:rFonts w:hint="eastAsia"/>
                    </w:rPr>
                    <w:t>所属土壤环境影响评价项目类别</w:t>
                  </w:r>
                </w:p>
              </w:tc>
              <w:tc>
                <w:tcPr>
                  <w:tcW w:w="4826" w:type="dxa"/>
                  <w:gridSpan w:val="6"/>
                  <w:vAlign w:val="center"/>
                </w:tcPr>
                <w:p>
                  <w:pPr>
                    <w:pStyle w:val="49"/>
                  </w:pPr>
                  <w:r>
                    <w:t>Ⅰ类</w:t>
                  </w:r>
                  <w:r>
                    <w:rPr/>
                    <w:sym w:font="Wingdings 2" w:char="F052"/>
                  </w:r>
                  <w:r>
                    <w:t>；Ⅱ类□；Ⅲ类□；Ⅳ类□</w:t>
                  </w:r>
                </w:p>
              </w:tc>
              <w:tc>
                <w:tcPr>
                  <w:tcW w:w="1741" w:type="dxa"/>
                  <w:vAlign w:val="center"/>
                </w:tcPr>
                <w:p>
                  <w:pPr>
                    <w:pStyle w:val="49"/>
                  </w:pPr>
                  <w:r>
                    <w:rPr>
                      <w:rFonts w:hint="eastAsi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7" w:type="dxa"/>
                  <w:vMerge w:val="continue"/>
                  <w:vAlign w:val="center"/>
                </w:tcPr>
                <w:p>
                  <w:pPr>
                    <w:pStyle w:val="49"/>
                  </w:pPr>
                </w:p>
              </w:tc>
              <w:tc>
                <w:tcPr>
                  <w:tcW w:w="1676" w:type="dxa"/>
                  <w:vAlign w:val="center"/>
                </w:tcPr>
                <w:p>
                  <w:pPr>
                    <w:pStyle w:val="49"/>
                  </w:pPr>
                  <w:r>
                    <w:rPr>
                      <w:rFonts w:hint="eastAsia"/>
                    </w:rPr>
                    <w:t>敏感程度</w:t>
                  </w:r>
                </w:p>
              </w:tc>
              <w:tc>
                <w:tcPr>
                  <w:tcW w:w="4826" w:type="dxa"/>
                  <w:gridSpan w:val="6"/>
                  <w:vAlign w:val="center"/>
                </w:tcPr>
                <w:p>
                  <w:pPr>
                    <w:pStyle w:val="49"/>
                  </w:pPr>
                  <w:r>
                    <w:rPr>
                      <w:rFonts w:hint="eastAsia"/>
                    </w:rPr>
                    <w:t>敏感</w:t>
                  </w:r>
                  <w:r>
                    <w:t>□</w:t>
                  </w:r>
                  <w:r>
                    <w:rPr>
                      <w:rFonts w:hint="eastAsia"/>
                    </w:rPr>
                    <w:t>；较敏感</w:t>
                  </w:r>
                  <w:r>
                    <w:t>□</w:t>
                  </w:r>
                  <w:r>
                    <w:rPr>
                      <w:rFonts w:hint="eastAsia"/>
                    </w:rPr>
                    <w:t>；不敏感</w:t>
                  </w:r>
                  <w:r>
                    <w:rPr/>
                    <w:sym w:font="Wingdings 2" w:char="F052"/>
                  </w:r>
                </w:p>
              </w:tc>
              <w:tc>
                <w:tcPr>
                  <w:tcW w:w="1741" w:type="dxa"/>
                  <w:vAlign w:val="center"/>
                </w:tcPr>
                <w:p>
                  <w:pPr>
                    <w:pStyle w:val="49"/>
                  </w:pPr>
                  <w:r>
                    <w:rPr>
                      <w:rFonts w:hint="eastAsi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53" w:type="dxa"/>
                  <w:gridSpan w:val="2"/>
                  <w:vAlign w:val="center"/>
                </w:tcPr>
                <w:p>
                  <w:pPr>
                    <w:pStyle w:val="49"/>
                  </w:pPr>
                  <w:r>
                    <w:rPr>
                      <w:rFonts w:hint="eastAsia"/>
                    </w:rPr>
                    <w:t>评价工作等级</w:t>
                  </w:r>
                </w:p>
              </w:tc>
              <w:tc>
                <w:tcPr>
                  <w:tcW w:w="4826" w:type="dxa"/>
                  <w:gridSpan w:val="6"/>
                  <w:vAlign w:val="center"/>
                </w:tcPr>
                <w:p>
                  <w:pPr>
                    <w:pStyle w:val="49"/>
                  </w:pPr>
                  <w:r>
                    <w:rPr>
                      <w:rFonts w:hint="eastAsia"/>
                    </w:rPr>
                    <w:t>一级</w:t>
                  </w:r>
                  <w:r>
                    <w:t>□</w:t>
                  </w:r>
                  <w:r>
                    <w:rPr>
                      <w:rFonts w:hint="eastAsia"/>
                    </w:rPr>
                    <w:t>；二级</w:t>
                  </w:r>
                  <w:r>
                    <w:rPr/>
                    <w:sym w:font="Wingdings 2" w:char="F052"/>
                  </w:r>
                  <w:r>
                    <w:rPr>
                      <w:rFonts w:hint="eastAsia"/>
                    </w:rPr>
                    <w:t>；三级</w:t>
                  </w:r>
                  <w:r>
                    <w:t>□</w:t>
                  </w:r>
                </w:p>
              </w:tc>
              <w:tc>
                <w:tcPr>
                  <w:tcW w:w="1741" w:type="dxa"/>
                  <w:vAlign w:val="center"/>
                </w:tcPr>
                <w:p>
                  <w:pPr>
                    <w:pStyle w:val="49"/>
                  </w:pPr>
                  <w:r>
                    <w:rPr>
                      <w:rFonts w:hint="eastAsi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7" w:type="dxa"/>
                  <w:vMerge w:val="restart"/>
                  <w:vAlign w:val="center"/>
                </w:tcPr>
                <w:p>
                  <w:pPr>
                    <w:pStyle w:val="49"/>
                  </w:pPr>
                  <w:r>
                    <w:rPr>
                      <w:rFonts w:hint="eastAsia"/>
                    </w:rPr>
                    <w:t>现状调查内容</w:t>
                  </w:r>
                </w:p>
              </w:tc>
              <w:tc>
                <w:tcPr>
                  <w:tcW w:w="1676" w:type="dxa"/>
                  <w:vAlign w:val="center"/>
                </w:tcPr>
                <w:p>
                  <w:pPr>
                    <w:pStyle w:val="49"/>
                  </w:pPr>
                  <w:r>
                    <w:rPr>
                      <w:rFonts w:hint="eastAsia"/>
                    </w:rPr>
                    <w:t>资料收集</w:t>
                  </w:r>
                </w:p>
              </w:tc>
              <w:tc>
                <w:tcPr>
                  <w:tcW w:w="4826" w:type="dxa"/>
                  <w:gridSpan w:val="6"/>
                  <w:vAlign w:val="center"/>
                </w:tcPr>
                <w:p>
                  <w:pPr>
                    <w:pStyle w:val="49"/>
                  </w:pPr>
                  <w:r>
                    <w:rPr>
                      <w:rFonts w:hint="eastAsia"/>
                    </w:rPr>
                    <w:t>a)</w:t>
                  </w:r>
                  <w:r>
                    <w:rPr/>
                    <w:sym w:font="Wingdings 2" w:char="F052"/>
                  </w:r>
                  <w:r>
                    <w:rPr>
                      <w:rFonts w:hint="eastAsia"/>
                    </w:rPr>
                    <w:t>；b)</w:t>
                  </w:r>
                  <w:r>
                    <w:t xml:space="preserve"> </w:t>
                  </w:r>
                  <w:r>
                    <w:rPr/>
                    <w:sym w:font="Wingdings 2" w:char="F052"/>
                  </w:r>
                  <w:r>
                    <w:rPr>
                      <w:rFonts w:hint="eastAsia"/>
                    </w:rPr>
                    <w:t>；c)</w:t>
                  </w:r>
                  <w:r>
                    <w:t xml:space="preserve"> </w:t>
                  </w:r>
                  <w:r>
                    <w:rPr/>
                    <w:sym w:font="Wingdings 2" w:char="F052"/>
                  </w:r>
                  <w:r>
                    <w:rPr>
                      <w:rFonts w:hint="eastAsia"/>
                    </w:rPr>
                    <w:t>；d)</w:t>
                  </w:r>
                  <w:r>
                    <w:t xml:space="preserve"> </w:t>
                  </w:r>
                  <w:r>
                    <w:rPr/>
                    <w:sym w:font="Wingdings 2" w:char="F052"/>
                  </w:r>
                </w:p>
              </w:tc>
              <w:tc>
                <w:tcPr>
                  <w:tcW w:w="1741" w:type="dxa"/>
                  <w:vAlign w:val="center"/>
                </w:tcPr>
                <w:p>
                  <w:pPr>
                    <w:pStyle w:val="49"/>
                  </w:pPr>
                  <w:r>
                    <w:rPr>
                      <w:rFonts w:hint="eastAsi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7" w:type="dxa"/>
                  <w:vMerge w:val="continue"/>
                  <w:vAlign w:val="center"/>
                </w:tcPr>
                <w:p>
                  <w:pPr>
                    <w:pStyle w:val="49"/>
                  </w:pPr>
                </w:p>
              </w:tc>
              <w:tc>
                <w:tcPr>
                  <w:tcW w:w="1676" w:type="dxa"/>
                  <w:vAlign w:val="center"/>
                </w:tcPr>
                <w:p>
                  <w:pPr>
                    <w:pStyle w:val="49"/>
                  </w:pPr>
                  <w:r>
                    <w:rPr>
                      <w:rFonts w:hint="eastAsia"/>
                    </w:rPr>
                    <w:t>理化特性</w:t>
                  </w:r>
                </w:p>
              </w:tc>
              <w:tc>
                <w:tcPr>
                  <w:tcW w:w="4826" w:type="dxa"/>
                  <w:gridSpan w:val="6"/>
                  <w:vAlign w:val="center"/>
                </w:tcPr>
                <w:p>
                  <w:pPr>
                    <w:pStyle w:val="49"/>
                  </w:pPr>
                  <w:r>
                    <w:rPr>
                      <w:rFonts w:hint="eastAsia"/>
                    </w:rPr>
                    <w:t>/</w:t>
                  </w:r>
                </w:p>
              </w:tc>
              <w:tc>
                <w:tcPr>
                  <w:tcW w:w="1741" w:type="dxa"/>
                  <w:vAlign w:val="center"/>
                </w:tcPr>
                <w:p>
                  <w:pPr>
                    <w:pStyle w:val="49"/>
                  </w:pPr>
                  <w:r>
                    <w:rPr>
                      <w:rFonts w:hint="eastAsia"/>
                    </w:rPr>
                    <w:t>同附录C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7" w:type="dxa"/>
                  <w:vMerge w:val="continue"/>
                  <w:vAlign w:val="center"/>
                </w:tcPr>
                <w:p>
                  <w:pPr>
                    <w:pStyle w:val="49"/>
                  </w:pPr>
                </w:p>
              </w:tc>
              <w:tc>
                <w:tcPr>
                  <w:tcW w:w="1676" w:type="dxa"/>
                  <w:vMerge w:val="restart"/>
                  <w:vAlign w:val="center"/>
                </w:tcPr>
                <w:p>
                  <w:pPr>
                    <w:pStyle w:val="49"/>
                  </w:pPr>
                  <w:r>
                    <w:rPr>
                      <w:rFonts w:hint="eastAsia"/>
                    </w:rPr>
                    <w:t>现状监测点位</w:t>
                  </w:r>
                </w:p>
              </w:tc>
              <w:tc>
                <w:tcPr>
                  <w:tcW w:w="1405" w:type="dxa"/>
                  <w:gridSpan w:val="2"/>
                  <w:tcBorders>
                    <w:right w:val="single" w:color="auto" w:sz="4" w:space="0"/>
                  </w:tcBorders>
                  <w:vAlign w:val="center"/>
                </w:tcPr>
                <w:p>
                  <w:pPr>
                    <w:pStyle w:val="49"/>
                  </w:pPr>
                </w:p>
              </w:tc>
              <w:tc>
                <w:tcPr>
                  <w:tcW w:w="1301" w:type="dxa"/>
                  <w:tcBorders>
                    <w:left w:val="single" w:color="auto" w:sz="4" w:space="0"/>
                  </w:tcBorders>
                  <w:vAlign w:val="center"/>
                </w:tcPr>
                <w:p>
                  <w:pPr>
                    <w:pStyle w:val="49"/>
                  </w:pPr>
                  <w:r>
                    <w:rPr>
                      <w:rFonts w:hint="eastAsia"/>
                    </w:rPr>
                    <w:t>占地范围内</w:t>
                  </w:r>
                </w:p>
              </w:tc>
              <w:tc>
                <w:tcPr>
                  <w:tcW w:w="1190" w:type="dxa"/>
                  <w:gridSpan w:val="2"/>
                  <w:tcBorders>
                    <w:right w:val="single" w:color="auto" w:sz="4" w:space="0"/>
                  </w:tcBorders>
                  <w:vAlign w:val="center"/>
                </w:tcPr>
                <w:p>
                  <w:pPr>
                    <w:pStyle w:val="49"/>
                  </w:pPr>
                  <w:r>
                    <w:rPr>
                      <w:rFonts w:hint="eastAsia"/>
                    </w:rPr>
                    <w:t>占地范围外</w:t>
                  </w:r>
                </w:p>
              </w:tc>
              <w:tc>
                <w:tcPr>
                  <w:tcW w:w="930" w:type="dxa"/>
                  <w:tcBorders>
                    <w:left w:val="single" w:color="auto" w:sz="4" w:space="0"/>
                  </w:tcBorders>
                  <w:vAlign w:val="center"/>
                </w:tcPr>
                <w:p>
                  <w:pPr>
                    <w:pStyle w:val="49"/>
                  </w:pPr>
                  <w:r>
                    <w:rPr>
                      <w:rFonts w:hint="eastAsia"/>
                    </w:rPr>
                    <w:t>深度</w:t>
                  </w:r>
                </w:p>
              </w:tc>
              <w:tc>
                <w:tcPr>
                  <w:tcW w:w="1741" w:type="dxa"/>
                  <w:vMerge w:val="restart"/>
                  <w:vAlign w:val="center"/>
                </w:tcPr>
                <w:p>
                  <w:pPr>
                    <w:pStyle w:val="49"/>
                  </w:pPr>
                  <w:r>
                    <w:rPr>
                      <w:rFonts w:hint="eastAsia"/>
                    </w:rPr>
                    <w:t>点位布置图，见图</w:t>
                  </w:r>
                  <w:r>
                    <w:t>3-</w:t>
                  </w:r>
                  <w:r>
                    <w:rPr>
                      <w:rFonts w:hint="eastAsia"/>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7" w:type="dxa"/>
                  <w:vMerge w:val="continue"/>
                  <w:vAlign w:val="center"/>
                </w:tcPr>
                <w:p>
                  <w:pPr>
                    <w:pStyle w:val="49"/>
                  </w:pPr>
                </w:p>
              </w:tc>
              <w:tc>
                <w:tcPr>
                  <w:tcW w:w="1676" w:type="dxa"/>
                  <w:vMerge w:val="continue"/>
                  <w:vAlign w:val="center"/>
                </w:tcPr>
                <w:p>
                  <w:pPr>
                    <w:pStyle w:val="49"/>
                  </w:pPr>
                </w:p>
              </w:tc>
              <w:tc>
                <w:tcPr>
                  <w:tcW w:w="1405" w:type="dxa"/>
                  <w:gridSpan w:val="2"/>
                  <w:tcBorders>
                    <w:right w:val="single" w:color="auto" w:sz="4" w:space="0"/>
                  </w:tcBorders>
                  <w:vAlign w:val="center"/>
                </w:tcPr>
                <w:p>
                  <w:pPr>
                    <w:pStyle w:val="49"/>
                  </w:pPr>
                  <w:r>
                    <w:rPr>
                      <w:rFonts w:hint="eastAsia"/>
                    </w:rPr>
                    <w:t>表层样点数</w:t>
                  </w:r>
                </w:p>
              </w:tc>
              <w:tc>
                <w:tcPr>
                  <w:tcW w:w="1301" w:type="dxa"/>
                  <w:tcBorders>
                    <w:left w:val="single" w:color="auto" w:sz="4" w:space="0"/>
                  </w:tcBorders>
                  <w:vAlign w:val="center"/>
                </w:tcPr>
                <w:p>
                  <w:pPr>
                    <w:pStyle w:val="49"/>
                  </w:pPr>
                  <w:r>
                    <w:t>0</w:t>
                  </w:r>
                </w:p>
              </w:tc>
              <w:tc>
                <w:tcPr>
                  <w:tcW w:w="1190" w:type="dxa"/>
                  <w:gridSpan w:val="2"/>
                  <w:tcBorders>
                    <w:right w:val="single" w:color="auto" w:sz="4" w:space="0"/>
                  </w:tcBorders>
                  <w:vAlign w:val="center"/>
                </w:tcPr>
                <w:p>
                  <w:pPr>
                    <w:pStyle w:val="49"/>
                  </w:pPr>
                  <w:r>
                    <w:rPr>
                      <w:rFonts w:hint="eastAsia"/>
                    </w:rPr>
                    <w:t>2</w:t>
                  </w:r>
                </w:p>
              </w:tc>
              <w:tc>
                <w:tcPr>
                  <w:tcW w:w="930" w:type="dxa"/>
                  <w:tcBorders>
                    <w:left w:val="single" w:color="auto" w:sz="4" w:space="0"/>
                  </w:tcBorders>
                  <w:vAlign w:val="center"/>
                </w:tcPr>
                <w:p>
                  <w:pPr>
                    <w:pStyle w:val="49"/>
                  </w:pPr>
                  <w:r>
                    <w:t>0～0.2m</w:t>
                  </w:r>
                </w:p>
              </w:tc>
              <w:tc>
                <w:tcPr>
                  <w:tcW w:w="1741" w:type="dxa"/>
                  <w:vMerge w:val="continue"/>
                  <w:vAlign w:val="center"/>
                </w:tcPr>
                <w:p>
                  <w:pPr>
                    <w:pStyle w:val="49"/>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7" w:type="dxa"/>
                  <w:vMerge w:val="continue"/>
                  <w:vAlign w:val="center"/>
                </w:tcPr>
                <w:p>
                  <w:pPr>
                    <w:pStyle w:val="49"/>
                  </w:pPr>
                </w:p>
              </w:tc>
              <w:tc>
                <w:tcPr>
                  <w:tcW w:w="1676" w:type="dxa"/>
                  <w:vMerge w:val="continue"/>
                  <w:vAlign w:val="center"/>
                </w:tcPr>
                <w:p>
                  <w:pPr>
                    <w:pStyle w:val="49"/>
                  </w:pPr>
                </w:p>
              </w:tc>
              <w:tc>
                <w:tcPr>
                  <w:tcW w:w="1405" w:type="dxa"/>
                  <w:gridSpan w:val="2"/>
                  <w:tcBorders>
                    <w:right w:val="single" w:color="auto" w:sz="4" w:space="0"/>
                  </w:tcBorders>
                  <w:vAlign w:val="center"/>
                </w:tcPr>
                <w:p>
                  <w:pPr>
                    <w:pStyle w:val="49"/>
                  </w:pPr>
                  <w:r>
                    <w:rPr>
                      <w:rFonts w:hint="eastAsia"/>
                    </w:rPr>
                    <w:t>柱状样点数</w:t>
                  </w:r>
                </w:p>
              </w:tc>
              <w:tc>
                <w:tcPr>
                  <w:tcW w:w="1301" w:type="dxa"/>
                  <w:tcBorders>
                    <w:left w:val="single" w:color="auto" w:sz="4" w:space="0"/>
                  </w:tcBorders>
                  <w:vAlign w:val="center"/>
                </w:tcPr>
                <w:p>
                  <w:pPr>
                    <w:pStyle w:val="49"/>
                  </w:pPr>
                  <w:r>
                    <w:t>0</w:t>
                  </w:r>
                </w:p>
              </w:tc>
              <w:tc>
                <w:tcPr>
                  <w:tcW w:w="1190" w:type="dxa"/>
                  <w:gridSpan w:val="2"/>
                  <w:tcBorders>
                    <w:right w:val="single" w:color="auto" w:sz="4" w:space="0"/>
                  </w:tcBorders>
                  <w:vAlign w:val="center"/>
                </w:tcPr>
                <w:p>
                  <w:pPr>
                    <w:pStyle w:val="49"/>
                  </w:pPr>
                  <w:r>
                    <w:t>0</w:t>
                  </w:r>
                </w:p>
              </w:tc>
              <w:tc>
                <w:tcPr>
                  <w:tcW w:w="930" w:type="dxa"/>
                  <w:tcBorders>
                    <w:left w:val="single" w:color="auto" w:sz="4" w:space="0"/>
                  </w:tcBorders>
                  <w:vAlign w:val="center"/>
                </w:tcPr>
                <w:p>
                  <w:pPr>
                    <w:pStyle w:val="49"/>
                  </w:pPr>
                  <w:r>
                    <w:t>/</w:t>
                  </w:r>
                </w:p>
              </w:tc>
              <w:tc>
                <w:tcPr>
                  <w:tcW w:w="1741" w:type="dxa"/>
                  <w:vMerge w:val="continue"/>
                  <w:vAlign w:val="center"/>
                </w:tcPr>
                <w:p>
                  <w:pPr>
                    <w:pStyle w:val="49"/>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7" w:type="dxa"/>
                  <w:vMerge w:val="continue"/>
                  <w:vAlign w:val="center"/>
                </w:tcPr>
                <w:p>
                  <w:pPr>
                    <w:pStyle w:val="49"/>
                  </w:pPr>
                </w:p>
              </w:tc>
              <w:tc>
                <w:tcPr>
                  <w:tcW w:w="1676" w:type="dxa"/>
                  <w:vAlign w:val="center"/>
                </w:tcPr>
                <w:p>
                  <w:pPr>
                    <w:pStyle w:val="49"/>
                  </w:pPr>
                  <w:r>
                    <w:rPr>
                      <w:rFonts w:hint="eastAsia"/>
                    </w:rPr>
                    <w:t>现状监测因子</w:t>
                  </w:r>
                </w:p>
              </w:tc>
              <w:tc>
                <w:tcPr>
                  <w:tcW w:w="4826" w:type="dxa"/>
                  <w:gridSpan w:val="6"/>
                  <w:vAlign w:val="center"/>
                </w:tcPr>
                <w:p>
                  <w:pPr>
                    <w:pStyle w:val="49"/>
                    <w:jc w:val="both"/>
                  </w:pPr>
                  <w:r>
                    <w:rPr>
                      <w:rFonts w:hint="eastAsia"/>
                    </w:rPr>
                    <w:t>建设用地：pH值、六价铬、砷、汞、铜、镍、铅、镉、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石油烃（C</w:t>
                  </w:r>
                  <w:r>
                    <w:rPr>
                      <w:rFonts w:hint="eastAsia"/>
                      <w:vertAlign w:val="subscript"/>
                    </w:rPr>
                    <w:t>10</w:t>
                  </w:r>
                  <w:r>
                    <w:rPr>
                      <w:rFonts w:hint="eastAsia"/>
                    </w:rPr>
                    <w:t>~C</w:t>
                  </w:r>
                  <w:r>
                    <w:rPr>
                      <w:rFonts w:hint="eastAsia"/>
                      <w:vertAlign w:val="subscript"/>
                    </w:rPr>
                    <w:t>40</w:t>
                  </w:r>
                  <w:r>
                    <w:rPr>
                      <w:rFonts w:hint="eastAsia"/>
                    </w:rPr>
                    <w:t>）；</w:t>
                  </w:r>
                </w:p>
                <w:p>
                  <w:pPr>
                    <w:pStyle w:val="49"/>
                    <w:jc w:val="both"/>
                  </w:pPr>
                  <w:r>
                    <w:rPr>
                      <w:rFonts w:hint="eastAsia"/>
                    </w:rPr>
                    <w:t>农用地：pH值、镉、汞、砷、铅、铬、铜、镍、锌、石油烃（C</w:t>
                  </w:r>
                  <w:r>
                    <w:rPr>
                      <w:rFonts w:hint="eastAsia"/>
                      <w:vertAlign w:val="subscript"/>
                    </w:rPr>
                    <w:t>10</w:t>
                  </w:r>
                  <w:r>
                    <w:rPr>
                      <w:rFonts w:hint="eastAsia"/>
                    </w:rPr>
                    <w:t>~C</w:t>
                  </w:r>
                  <w:r>
                    <w:rPr>
                      <w:rFonts w:hint="eastAsia"/>
                      <w:vertAlign w:val="subscript"/>
                    </w:rPr>
                    <w:t>40</w:t>
                  </w:r>
                  <w:r>
                    <w:rPr>
                      <w:rFonts w:hint="eastAsia"/>
                    </w:rPr>
                    <w:t>）。</w:t>
                  </w:r>
                </w:p>
              </w:tc>
              <w:tc>
                <w:tcPr>
                  <w:tcW w:w="1741" w:type="dxa"/>
                  <w:vAlign w:val="center"/>
                </w:tcPr>
                <w:p>
                  <w:pPr>
                    <w:pStyle w:val="49"/>
                  </w:pPr>
                  <w:r>
                    <w:rPr>
                      <w:rFonts w:hint="eastAsi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7" w:type="dxa"/>
                  <w:vMerge w:val="restart"/>
                  <w:vAlign w:val="center"/>
                </w:tcPr>
                <w:p>
                  <w:pPr>
                    <w:pStyle w:val="49"/>
                  </w:pPr>
                  <w:r>
                    <w:rPr>
                      <w:rFonts w:hint="eastAsia"/>
                    </w:rPr>
                    <w:t>现状评价</w:t>
                  </w:r>
                </w:p>
              </w:tc>
              <w:tc>
                <w:tcPr>
                  <w:tcW w:w="1676" w:type="dxa"/>
                  <w:vAlign w:val="center"/>
                </w:tcPr>
                <w:p>
                  <w:pPr>
                    <w:pStyle w:val="49"/>
                  </w:pPr>
                  <w:r>
                    <w:rPr>
                      <w:rFonts w:hint="eastAsia"/>
                    </w:rPr>
                    <w:t>评价因子</w:t>
                  </w:r>
                </w:p>
              </w:tc>
              <w:tc>
                <w:tcPr>
                  <w:tcW w:w="4826" w:type="dxa"/>
                  <w:gridSpan w:val="6"/>
                  <w:vAlign w:val="center"/>
                </w:tcPr>
                <w:p>
                  <w:pPr>
                    <w:pStyle w:val="49"/>
                  </w:pPr>
                  <w:r>
                    <w:rPr>
                      <w:rFonts w:hint="eastAsia"/>
                    </w:rPr>
                    <w:t>同上现状监测因子</w:t>
                  </w:r>
                </w:p>
              </w:tc>
              <w:tc>
                <w:tcPr>
                  <w:tcW w:w="1741" w:type="dxa"/>
                  <w:vAlign w:val="center"/>
                </w:tcPr>
                <w:p>
                  <w:pPr>
                    <w:pStyle w:val="49"/>
                  </w:pPr>
                  <w:r>
                    <w:rPr>
                      <w:rFonts w:hint="eastAsi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7" w:type="dxa"/>
                  <w:vMerge w:val="continue"/>
                  <w:vAlign w:val="center"/>
                </w:tcPr>
                <w:p>
                  <w:pPr>
                    <w:pStyle w:val="49"/>
                  </w:pPr>
                </w:p>
              </w:tc>
              <w:tc>
                <w:tcPr>
                  <w:tcW w:w="1676" w:type="dxa"/>
                  <w:vAlign w:val="center"/>
                </w:tcPr>
                <w:p>
                  <w:pPr>
                    <w:pStyle w:val="49"/>
                  </w:pPr>
                  <w:r>
                    <w:rPr>
                      <w:rFonts w:hint="eastAsia"/>
                    </w:rPr>
                    <w:t>评价标准</w:t>
                  </w:r>
                </w:p>
              </w:tc>
              <w:tc>
                <w:tcPr>
                  <w:tcW w:w="4826" w:type="dxa"/>
                  <w:gridSpan w:val="6"/>
                  <w:vAlign w:val="center"/>
                </w:tcPr>
                <w:p>
                  <w:pPr>
                    <w:pStyle w:val="49"/>
                  </w:pPr>
                  <w:r>
                    <w:rPr>
                      <w:rFonts w:hint="eastAsia"/>
                    </w:rPr>
                    <w:t>GB</w:t>
                  </w:r>
                  <w:r>
                    <w:t>15618</w:t>
                  </w:r>
                  <w:r>
                    <w:rPr/>
                    <w:sym w:font="Wingdings 2" w:char="F052"/>
                  </w:r>
                  <w:r>
                    <w:rPr>
                      <w:rFonts w:hint="eastAsia"/>
                    </w:rPr>
                    <w:t>；GB</w:t>
                  </w:r>
                  <w:r>
                    <w:t>36600</w:t>
                  </w:r>
                  <w:r>
                    <w:rPr/>
                    <w:sym w:font="Wingdings 2" w:char="F052"/>
                  </w:r>
                  <w:r>
                    <w:rPr>
                      <w:rFonts w:hint="eastAsia"/>
                    </w:rPr>
                    <w:t>；表D.</w:t>
                  </w:r>
                  <w:r>
                    <w:t>1□</w:t>
                  </w:r>
                  <w:r>
                    <w:rPr>
                      <w:rFonts w:hint="eastAsia"/>
                    </w:rPr>
                    <w:t>；表D</w:t>
                  </w:r>
                  <w:r>
                    <w:t>.2□</w:t>
                  </w:r>
                  <w:r>
                    <w:rPr>
                      <w:rFonts w:hint="eastAsia"/>
                    </w:rPr>
                    <w:t>；其他（）</w:t>
                  </w:r>
                </w:p>
              </w:tc>
              <w:tc>
                <w:tcPr>
                  <w:tcW w:w="1741" w:type="dxa"/>
                  <w:vAlign w:val="center"/>
                </w:tcPr>
                <w:p>
                  <w:pPr>
                    <w:pStyle w:val="49"/>
                  </w:pPr>
                  <w:r>
                    <w:rPr>
                      <w:rFonts w:hint="eastAsi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7" w:type="dxa"/>
                  <w:vMerge w:val="continue"/>
                  <w:vAlign w:val="center"/>
                </w:tcPr>
                <w:p>
                  <w:pPr>
                    <w:pStyle w:val="49"/>
                  </w:pPr>
                </w:p>
              </w:tc>
              <w:tc>
                <w:tcPr>
                  <w:tcW w:w="1676" w:type="dxa"/>
                  <w:vAlign w:val="center"/>
                </w:tcPr>
                <w:p>
                  <w:pPr>
                    <w:pStyle w:val="49"/>
                  </w:pPr>
                  <w:r>
                    <w:rPr>
                      <w:rFonts w:hint="eastAsia"/>
                    </w:rPr>
                    <w:t>现状评价结论</w:t>
                  </w:r>
                </w:p>
              </w:tc>
              <w:tc>
                <w:tcPr>
                  <w:tcW w:w="4826" w:type="dxa"/>
                  <w:gridSpan w:val="6"/>
                  <w:vAlign w:val="center"/>
                </w:tcPr>
                <w:p>
                  <w:pPr>
                    <w:pStyle w:val="49"/>
                    <w:jc w:val="both"/>
                  </w:pPr>
                  <w:r>
                    <w:rPr>
                      <w:rFonts w:hint="eastAsia"/>
                    </w:rPr>
                    <w:t>本项目周边区域建设用地监测点处的土壤环境质量满足《土壤环境质量 建设用地土壤污染风险管控标准（试行）》（GB 36600-2018）中表1、表2第二类用地筛选值的要求，农用地监测点处的土壤环境质量满足《土壤环境质量 农用地土壤污染风险管控标准（试行）》（GB15618-2018）中相应风险筛选值要求，项目所在地土壤环境质量较好。</w:t>
                  </w:r>
                </w:p>
              </w:tc>
              <w:tc>
                <w:tcPr>
                  <w:tcW w:w="1741" w:type="dxa"/>
                  <w:vAlign w:val="center"/>
                </w:tcPr>
                <w:p>
                  <w:pPr>
                    <w:pStyle w:val="49"/>
                  </w:pPr>
                  <w:r>
                    <w:rPr>
                      <w:rFonts w:hint="eastAsi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7" w:type="dxa"/>
                  <w:vMerge w:val="restart"/>
                  <w:vAlign w:val="center"/>
                </w:tcPr>
                <w:p>
                  <w:pPr>
                    <w:pStyle w:val="49"/>
                  </w:pPr>
                  <w:r>
                    <w:rPr>
                      <w:rFonts w:hint="eastAsia"/>
                    </w:rPr>
                    <w:t>影响预测</w:t>
                  </w:r>
                </w:p>
              </w:tc>
              <w:tc>
                <w:tcPr>
                  <w:tcW w:w="1676" w:type="dxa"/>
                  <w:vAlign w:val="center"/>
                </w:tcPr>
                <w:p>
                  <w:pPr>
                    <w:pStyle w:val="49"/>
                  </w:pPr>
                  <w:r>
                    <w:rPr>
                      <w:rFonts w:hint="eastAsia"/>
                    </w:rPr>
                    <w:t>预测因子</w:t>
                  </w:r>
                </w:p>
              </w:tc>
              <w:tc>
                <w:tcPr>
                  <w:tcW w:w="4826" w:type="dxa"/>
                  <w:gridSpan w:val="6"/>
                  <w:vAlign w:val="center"/>
                </w:tcPr>
                <w:p>
                  <w:pPr>
                    <w:pStyle w:val="49"/>
                  </w:pPr>
                  <w:r>
                    <w:rPr>
                      <w:rFonts w:hint="eastAsia"/>
                    </w:rPr>
                    <w:t>非甲烷总烃</w:t>
                  </w:r>
                </w:p>
              </w:tc>
              <w:tc>
                <w:tcPr>
                  <w:tcW w:w="1741" w:type="dxa"/>
                  <w:vAlign w:val="center"/>
                </w:tcPr>
                <w:p>
                  <w:pPr>
                    <w:pStyle w:val="49"/>
                  </w:pPr>
                  <w:r>
                    <w:rPr>
                      <w:rFonts w:hint="eastAsi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7" w:type="dxa"/>
                  <w:vMerge w:val="continue"/>
                  <w:vAlign w:val="center"/>
                </w:tcPr>
                <w:p>
                  <w:pPr>
                    <w:pStyle w:val="49"/>
                  </w:pPr>
                </w:p>
              </w:tc>
              <w:tc>
                <w:tcPr>
                  <w:tcW w:w="1676" w:type="dxa"/>
                  <w:vAlign w:val="center"/>
                </w:tcPr>
                <w:p>
                  <w:pPr>
                    <w:pStyle w:val="49"/>
                  </w:pPr>
                  <w:r>
                    <w:rPr>
                      <w:rFonts w:hint="eastAsia"/>
                    </w:rPr>
                    <w:t>预测方法</w:t>
                  </w:r>
                </w:p>
              </w:tc>
              <w:tc>
                <w:tcPr>
                  <w:tcW w:w="4826" w:type="dxa"/>
                  <w:gridSpan w:val="6"/>
                  <w:vAlign w:val="center"/>
                </w:tcPr>
                <w:p>
                  <w:pPr>
                    <w:pStyle w:val="49"/>
                  </w:pPr>
                  <w:r>
                    <w:rPr>
                      <w:rFonts w:hint="eastAsia"/>
                    </w:rPr>
                    <w:t>附录E</w:t>
                  </w:r>
                  <w:r>
                    <w:rPr/>
                    <w:sym w:font="Wingdings 2" w:char="F052"/>
                  </w:r>
                  <w:r>
                    <w:rPr>
                      <w:rFonts w:hint="eastAsia"/>
                    </w:rPr>
                    <w:t>；附录F</w:t>
                  </w:r>
                  <w:r>
                    <w:t>□</w:t>
                  </w:r>
                  <w:r>
                    <w:rPr>
                      <w:rFonts w:hint="eastAsia"/>
                    </w:rPr>
                    <w:t>；其他（）</w:t>
                  </w:r>
                </w:p>
              </w:tc>
              <w:tc>
                <w:tcPr>
                  <w:tcW w:w="1741" w:type="dxa"/>
                  <w:vAlign w:val="center"/>
                </w:tcPr>
                <w:p>
                  <w:pPr>
                    <w:pStyle w:val="49"/>
                  </w:pPr>
                  <w:r>
                    <w:rPr>
                      <w:rFonts w:hint="eastAsi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7" w:type="dxa"/>
                  <w:vMerge w:val="continue"/>
                  <w:vAlign w:val="center"/>
                </w:tcPr>
                <w:p>
                  <w:pPr>
                    <w:pStyle w:val="49"/>
                  </w:pPr>
                </w:p>
              </w:tc>
              <w:tc>
                <w:tcPr>
                  <w:tcW w:w="1676" w:type="dxa"/>
                  <w:vAlign w:val="center"/>
                </w:tcPr>
                <w:p>
                  <w:pPr>
                    <w:pStyle w:val="49"/>
                  </w:pPr>
                  <w:r>
                    <w:rPr>
                      <w:rFonts w:hint="eastAsia"/>
                    </w:rPr>
                    <w:t>预测分析内容</w:t>
                  </w:r>
                </w:p>
              </w:tc>
              <w:tc>
                <w:tcPr>
                  <w:tcW w:w="4826" w:type="dxa"/>
                  <w:gridSpan w:val="6"/>
                  <w:vAlign w:val="center"/>
                </w:tcPr>
                <w:p>
                  <w:pPr>
                    <w:pStyle w:val="49"/>
                    <w:jc w:val="both"/>
                  </w:pPr>
                  <w:r>
                    <w:rPr>
                      <w:rFonts w:hint="eastAsia"/>
                    </w:rPr>
                    <w:t>影响范围（本项目占地范围及周边130m范围内）</w:t>
                  </w:r>
                </w:p>
                <w:p>
                  <w:pPr>
                    <w:pStyle w:val="49"/>
                    <w:jc w:val="both"/>
                  </w:pPr>
                  <w:r>
                    <w:rPr>
                      <w:rFonts w:hint="eastAsia"/>
                    </w:rPr>
                    <w:t>影响内容（基本无影响）</w:t>
                  </w:r>
                </w:p>
              </w:tc>
              <w:tc>
                <w:tcPr>
                  <w:tcW w:w="1741" w:type="dxa"/>
                  <w:vAlign w:val="center"/>
                </w:tcPr>
                <w:p>
                  <w:pPr>
                    <w:pStyle w:val="49"/>
                  </w:pPr>
                  <w:r>
                    <w:rPr>
                      <w:rFonts w:hint="eastAsi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7" w:type="dxa"/>
                  <w:vMerge w:val="continue"/>
                  <w:vAlign w:val="center"/>
                </w:tcPr>
                <w:p>
                  <w:pPr>
                    <w:pStyle w:val="49"/>
                  </w:pPr>
                </w:p>
              </w:tc>
              <w:tc>
                <w:tcPr>
                  <w:tcW w:w="1676" w:type="dxa"/>
                  <w:vAlign w:val="center"/>
                </w:tcPr>
                <w:p>
                  <w:pPr>
                    <w:pStyle w:val="49"/>
                  </w:pPr>
                  <w:r>
                    <w:rPr>
                      <w:rFonts w:hint="eastAsia"/>
                    </w:rPr>
                    <w:t>预测结论</w:t>
                  </w:r>
                </w:p>
              </w:tc>
              <w:tc>
                <w:tcPr>
                  <w:tcW w:w="4826" w:type="dxa"/>
                  <w:gridSpan w:val="6"/>
                  <w:vAlign w:val="center"/>
                </w:tcPr>
                <w:p>
                  <w:pPr>
                    <w:pStyle w:val="49"/>
                    <w:jc w:val="both"/>
                  </w:pPr>
                  <w:r>
                    <w:rPr>
                      <w:rFonts w:hint="eastAsia"/>
                    </w:rPr>
                    <w:t>达标结论：a)</w:t>
                  </w:r>
                  <w:r>
                    <w:rPr/>
                    <w:sym w:font="Wingdings 2" w:char="F052"/>
                  </w:r>
                  <w:r>
                    <w:rPr>
                      <w:rFonts w:hint="eastAsia"/>
                    </w:rPr>
                    <w:t>；b)</w:t>
                  </w:r>
                  <w:r>
                    <w:t xml:space="preserve"> □</w:t>
                  </w:r>
                  <w:r>
                    <w:rPr>
                      <w:rFonts w:hint="eastAsia"/>
                    </w:rPr>
                    <w:t>；c)</w:t>
                  </w:r>
                  <w:r>
                    <w:t>□</w:t>
                  </w:r>
                </w:p>
                <w:p>
                  <w:pPr>
                    <w:pStyle w:val="49"/>
                    <w:jc w:val="both"/>
                  </w:pPr>
                  <w:r>
                    <w:rPr>
                      <w:rFonts w:hint="eastAsia"/>
                    </w:rPr>
                    <w:t>不达标结论：a)</w:t>
                  </w:r>
                  <w:r>
                    <w:t xml:space="preserve"> □</w:t>
                  </w:r>
                  <w:r>
                    <w:rPr>
                      <w:rFonts w:hint="eastAsia"/>
                    </w:rPr>
                    <w:t>；b)</w:t>
                  </w:r>
                  <w:r>
                    <w:t xml:space="preserve"> □</w:t>
                  </w:r>
                </w:p>
              </w:tc>
              <w:tc>
                <w:tcPr>
                  <w:tcW w:w="1741" w:type="dxa"/>
                  <w:vAlign w:val="center"/>
                </w:tcPr>
                <w:p>
                  <w:pPr>
                    <w:pStyle w:val="49"/>
                  </w:pPr>
                  <w:r>
                    <w:rPr>
                      <w:rFonts w:hint="eastAsi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7" w:type="dxa"/>
                  <w:vMerge w:val="restart"/>
                  <w:vAlign w:val="center"/>
                </w:tcPr>
                <w:p>
                  <w:pPr>
                    <w:pStyle w:val="49"/>
                  </w:pPr>
                  <w:r>
                    <w:rPr>
                      <w:rFonts w:hint="eastAsia"/>
                    </w:rPr>
                    <w:t>防治措施</w:t>
                  </w:r>
                </w:p>
              </w:tc>
              <w:tc>
                <w:tcPr>
                  <w:tcW w:w="1676" w:type="dxa"/>
                  <w:vAlign w:val="center"/>
                </w:tcPr>
                <w:p>
                  <w:pPr>
                    <w:pStyle w:val="49"/>
                  </w:pPr>
                  <w:r>
                    <w:rPr>
                      <w:rFonts w:hint="eastAsia"/>
                    </w:rPr>
                    <w:t>防控措施</w:t>
                  </w:r>
                </w:p>
              </w:tc>
              <w:tc>
                <w:tcPr>
                  <w:tcW w:w="4826" w:type="dxa"/>
                  <w:gridSpan w:val="6"/>
                  <w:vAlign w:val="center"/>
                </w:tcPr>
                <w:p>
                  <w:pPr>
                    <w:pStyle w:val="49"/>
                  </w:pPr>
                  <w:r>
                    <w:rPr>
                      <w:rFonts w:hint="eastAsia"/>
                    </w:rPr>
                    <w:t>土壤环境质量现状保障</w:t>
                  </w:r>
                  <w:r>
                    <w:t>□</w:t>
                  </w:r>
                  <w:r>
                    <w:rPr>
                      <w:rFonts w:hint="eastAsia"/>
                    </w:rPr>
                    <w:t>；源头控制</w:t>
                  </w:r>
                  <w:r>
                    <w:rPr/>
                    <w:sym w:font="Wingdings 2" w:char="F052"/>
                  </w:r>
                  <w:r>
                    <w:rPr>
                      <w:rFonts w:hint="eastAsia"/>
                    </w:rPr>
                    <w:t>；过程防控</w:t>
                  </w:r>
                  <w:r>
                    <w:rPr/>
                    <w:sym w:font="Wingdings 2" w:char="F052"/>
                  </w:r>
                  <w:r>
                    <w:rPr>
                      <w:rFonts w:hint="eastAsia"/>
                    </w:rPr>
                    <w:t>；其他（）</w:t>
                  </w:r>
                </w:p>
              </w:tc>
              <w:tc>
                <w:tcPr>
                  <w:tcW w:w="1741" w:type="dxa"/>
                  <w:vAlign w:val="center"/>
                </w:tcPr>
                <w:p>
                  <w:pPr>
                    <w:pStyle w:val="49"/>
                  </w:pPr>
                  <w:r>
                    <w:rPr>
                      <w:rFonts w:hint="eastAsi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7" w:type="dxa"/>
                  <w:vMerge w:val="continue"/>
                  <w:vAlign w:val="center"/>
                </w:tcPr>
                <w:p>
                  <w:pPr>
                    <w:pStyle w:val="49"/>
                  </w:pPr>
                </w:p>
              </w:tc>
              <w:tc>
                <w:tcPr>
                  <w:tcW w:w="1676" w:type="dxa"/>
                  <w:vMerge w:val="restart"/>
                  <w:vAlign w:val="center"/>
                </w:tcPr>
                <w:p>
                  <w:pPr>
                    <w:pStyle w:val="49"/>
                  </w:pPr>
                  <w:r>
                    <w:rPr>
                      <w:rFonts w:hint="eastAsia"/>
                    </w:rPr>
                    <w:t>跟踪监测</w:t>
                  </w:r>
                </w:p>
              </w:tc>
              <w:tc>
                <w:tcPr>
                  <w:tcW w:w="1386" w:type="dxa"/>
                  <w:tcBorders>
                    <w:right w:val="single" w:color="auto" w:sz="4" w:space="0"/>
                  </w:tcBorders>
                  <w:vAlign w:val="center"/>
                </w:tcPr>
                <w:p>
                  <w:pPr>
                    <w:pStyle w:val="49"/>
                  </w:pPr>
                  <w:r>
                    <w:rPr>
                      <w:rFonts w:hint="eastAsia"/>
                    </w:rPr>
                    <w:t>监测点数</w:t>
                  </w:r>
                </w:p>
              </w:tc>
              <w:tc>
                <w:tcPr>
                  <w:tcW w:w="2394" w:type="dxa"/>
                  <w:gridSpan w:val="3"/>
                  <w:tcBorders>
                    <w:left w:val="single" w:color="auto" w:sz="4" w:space="0"/>
                  </w:tcBorders>
                  <w:vAlign w:val="center"/>
                </w:tcPr>
                <w:p>
                  <w:pPr>
                    <w:pStyle w:val="49"/>
                  </w:pPr>
                  <w:r>
                    <w:rPr>
                      <w:rFonts w:hint="eastAsia"/>
                    </w:rPr>
                    <w:t>监测指标</w:t>
                  </w:r>
                </w:p>
              </w:tc>
              <w:tc>
                <w:tcPr>
                  <w:tcW w:w="1046" w:type="dxa"/>
                  <w:gridSpan w:val="2"/>
                  <w:vAlign w:val="center"/>
                </w:tcPr>
                <w:p>
                  <w:pPr>
                    <w:pStyle w:val="49"/>
                  </w:pPr>
                  <w:r>
                    <w:rPr>
                      <w:rFonts w:hint="eastAsia"/>
                    </w:rPr>
                    <w:t>年监测频次</w:t>
                  </w:r>
                </w:p>
              </w:tc>
              <w:tc>
                <w:tcPr>
                  <w:tcW w:w="1741" w:type="dxa"/>
                  <w:vAlign w:val="center"/>
                </w:tcPr>
                <w:p>
                  <w:pPr>
                    <w:pStyle w:val="49"/>
                  </w:pPr>
                  <w:r>
                    <w:rPr>
                      <w:rFonts w:hint="eastAsi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7" w:type="dxa"/>
                  <w:vMerge w:val="continue"/>
                  <w:vAlign w:val="center"/>
                </w:tcPr>
                <w:p>
                  <w:pPr>
                    <w:pStyle w:val="49"/>
                  </w:pPr>
                </w:p>
              </w:tc>
              <w:tc>
                <w:tcPr>
                  <w:tcW w:w="1676" w:type="dxa"/>
                  <w:vMerge w:val="continue"/>
                  <w:vAlign w:val="center"/>
                </w:tcPr>
                <w:p>
                  <w:pPr>
                    <w:pStyle w:val="49"/>
                  </w:pPr>
                </w:p>
              </w:tc>
              <w:tc>
                <w:tcPr>
                  <w:tcW w:w="1386" w:type="dxa"/>
                  <w:tcBorders>
                    <w:right w:val="single" w:color="auto" w:sz="4" w:space="0"/>
                  </w:tcBorders>
                  <w:vAlign w:val="center"/>
                </w:tcPr>
                <w:p>
                  <w:pPr>
                    <w:pStyle w:val="49"/>
                  </w:pPr>
                  <w:r>
                    <w:rPr>
                      <w:rFonts w:hint="eastAsia"/>
                    </w:rPr>
                    <w:t>厂区外敏感点1个</w:t>
                  </w:r>
                </w:p>
              </w:tc>
              <w:tc>
                <w:tcPr>
                  <w:tcW w:w="2394" w:type="dxa"/>
                  <w:gridSpan w:val="3"/>
                  <w:tcBorders>
                    <w:left w:val="single" w:color="auto" w:sz="4" w:space="0"/>
                  </w:tcBorders>
                  <w:vAlign w:val="center"/>
                </w:tcPr>
                <w:p>
                  <w:pPr>
                    <w:pStyle w:val="49"/>
                  </w:pPr>
                  <w:r>
                    <w:rPr>
                      <w:rFonts w:hint="eastAsia"/>
                    </w:rPr>
                    <w:t>pH值、镉、汞、砷、铅、铬、铜、镍、锌、石油烃</w:t>
                  </w:r>
                </w:p>
              </w:tc>
              <w:tc>
                <w:tcPr>
                  <w:tcW w:w="1046" w:type="dxa"/>
                  <w:gridSpan w:val="2"/>
                  <w:vAlign w:val="center"/>
                </w:tcPr>
                <w:p>
                  <w:pPr>
                    <w:pStyle w:val="49"/>
                  </w:pPr>
                  <w:r>
                    <w:rPr>
                      <w:rFonts w:hint="eastAsia"/>
                    </w:rPr>
                    <w:t>1次/5年</w:t>
                  </w:r>
                </w:p>
              </w:tc>
              <w:tc>
                <w:tcPr>
                  <w:tcW w:w="1741" w:type="dxa"/>
                  <w:vAlign w:val="center"/>
                </w:tcPr>
                <w:p>
                  <w:pPr>
                    <w:pStyle w:val="49"/>
                    <w:jc w:val="both"/>
                  </w:pPr>
                  <w:r>
                    <w:rPr>
                      <w:rFonts w:hint="eastAsia"/>
                    </w:rPr>
                    <w:t>厂区内地面全部硬化，不满足土壤监测条件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7" w:type="dxa"/>
                  <w:vMerge w:val="continue"/>
                  <w:vAlign w:val="center"/>
                </w:tcPr>
                <w:p>
                  <w:pPr>
                    <w:pStyle w:val="49"/>
                  </w:pPr>
                </w:p>
              </w:tc>
              <w:tc>
                <w:tcPr>
                  <w:tcW w:w="1676" w:type="dxa"/>
                  <w:vAlign w:val="center"/>
                </w:tcPr>
                <w:p>
                  <w:pPr>
                    <w:pStyle w:val="49"/>
                  </w:pPr>
                  <w:r>
                    <w:rPr>
                      <w:rFonts w:hint="eastAsia"/>
                    </w:rPr>
                    <w:t>信息公开指标</w:t>
                  </w:r>
                </w:p>
              </w:tc>
              <w:tc>
                <w:tcPr>
                  <w:tcW w:w="4826" w:type="dxa"/>
                  <w:gridSpan w:val="6"/>
                  <w:vAlign w:val="center"/>
                </w:tcPr>
                <w:p>
                  <w:pPr>
                    <w:pStyle w:val="49"/>
                  </w:pPr>
                  <w:r>
                    <w:rPr>
                      <w:rFonts w:hint="eastAsia"/>
                    </w:rPr>
                    <w:t>非甲烷总烃</w:t>
                  </w:r>
                </w:p>
              </w:tc>
              <w:tc>
                <w:tcPr>
                  <w:tcW w:w="1741" w:type="dxa"/>
                  <w:vAlign w:val="center"/>
                </w:tcPr>
                <w:p>
                  <w:pPr>
                    <w:pStyle w:val="49"/>
                  </w:pPr>
                  <w:r>
                    <w:rPr>
                      <w:rFonts w:hint="eastAsi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53" w:type="dxa"/>
                  <w:gridSpan w:val="2"/>
                  <w:vAlign w:val="center"/>
                </w:tcPr>
                <w:p>
                  <w:pPr>
                    <w:pStyle w:val="49"/>
                  </w:pPr>
                  <w:r>
                    <w:rPr>
                      <w:rFonts w:hint="eastAsia"/>
                    </w:rPr>
                    <w:t>评价结论</w:t>
                  </w:r>
                </w:p>
              </w:tc>
              <w:tc>
                <w:tcPr>
                  <w:tcW w:w="4826" w:type="dxa"/>
                  <w:gridSpan w:val="6"/>
                  <w:vAlign w:val="center"/>
                </w:tcPr>
                <w:p>
                  <w:pPr>
                    <w:pStyle w:val="49"/>
                    <w:jc w:val="both"/>
                  </w:pPr>
                  <w:r>
                    <w:rPr>
                      <w:rFonts w:hint="eastAsia"/>
                    </w:rPr>
                    <w:t>只要建设单位切实落实好废水的收集、输送以及各类固体废物、化学品原料的贮存工作，做好生产车间和各环保设施的防腐防渗工作，并对防渗系统进行定时的检修维护；加强生产管理，避免生产过程中的跑冒滴漏现象；做好日常土壤防护工作。本项目对土壤环境影响是可接受的。</w:t>
                  </w:r>
                </w:p>
              </w:tc>
              <w:tc>
                <w:tcPr>
                  <w:tcW w:w="1741" w:type="dxa"/>
                  <w:vAlign w:val="center"/>
                </w:tcPr>
                <w:p>
                  <w:pPr>
                    <w:pStyle w:val="49"/>
                  </w:pPr>
                  <w:r>
                    <w:rPr>
                      <w:rFonts w:hint="eastAsi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720" w:type="dxa"/>
                  <w:gridSpan w:val="9"/>
                  <w:vAlign w:val="center"/>
                </w:tcPr>
                <w:p>
                  <w:pPr>
                    <w:pStyle w:val="49"/>
                    <w:jc w:val="both"/>
                  </w:pPr>
                  <w:r>
                    <w:rPr>
                      <w:rFonts w:hint="eastAsia"/>
                    </w:rPr>
                    <w:t>注1：“</w:t>
                  </w:r>
                  <w:r>
                    <w:t>□</w:t>
                  </w:r>
                  <w:r>
                    <w:rPr>
                      <w:rFonts w:hint="eastAsia"/>
                    </w:rPr>
                    <w:t xml:space="preserve">”为勾选项，可√；“（ </w:t>
                  </w:r>
                  <w:r>
                    <w:t xml:space="preserve"> </w:t>
                  </w:r>
                  <w:r>
                    <w:rPr>
                      <w:rFonts w:hint="eastAsia"/>
                    </w:rPr>
                    <w:t>）”为内容填写项；“备注”为其他补充内容。</w:t>
                  </w:r>
                </w:p>
                <w:p>
                  <w:pPr>
                    <w:pStyle w:val="49"/>
                    <w:jc w:val="both"/>
                  </w:pPr>
                  <w:r>
                    <w:rPr>
                      <w:rFonts w:hint="eastAsia"/>
                    </w:rPr>
                    <w:t>注</w:t>
                  </w:r>
                  <w:r>
                    <w:t>2</w:t>
                  </w:r>
                  <w:r>
                    <w:rPr>
                      <w:rFonts w:hint="eastAsia"/>
                    </w:rPr>
                    <w:t>：需要分别开展土壤环境影响评级工作的，分别填写自查表。</w:t>
                  </w:r>
                </w:p>
              </w:tc>
            </w:tr>
          </w:tbl>
          <w:p>
            <w:pPr>
              <w:pStyle w:val="5"/>
              <w:spacing w:before="120" w:beforeLines="50"/>
            </w:pPr>
            <w:bookmarkStart w:id="167" w:name="_Toc29388596"/>
            <w:bookmarkStart w:id="168" w:name="_Toc29380645"/>
            <w:r>
              <w:t>7.2.7建设项目环境风险</w:t>
            </w:r>
            <w:bookmarkEnd w:id="167"/>
            <w:bookmarkEnd w:id="168"/>
            <w:r>
              <w:t>评价</w:t>
            </w:r>
          </w:p>
          <w:p>
            <w:pPr>
              <w:pStyle w:val="6"/>
              <w:rPr>
                <w:lang w:val="en-GB"/>
              </w:rPr>
            </w:pPr>
            <w:r>
              <w:rPr>
                <w:rFonts w:hint="eastAsia"/>
                <w:lang w:val="en-GB"/>
              </w:rPr>
              <w:t>7</w:t>
            </w:r>
            <w:r>
              <w:rPr>
                <w:lang w:val="en-GB"/>
              </w:rPr>
              <w:t>.2.7.1</w:t>
            </w:r>
            <w:r>
              <w:rPr>
                <w:rFonts w:hint="eastAsia"/>
                <w:lang w:val="en-GB"/>
              </w:rPr>
              <w:t>环境风险调查</w:t>
            </w:r>
          </w:p>
          <w:p>
            <w:pPr>
              <w:adjustRightInd w:val="0"/>
              <w:snapToGrid w:val="0"/>
              <w:ind w:firstLine="480"/>
              <w:textAlignment w:val="auto"/>
              <w:rPr>
                <w:lang w:val="en-GB"/>
              </w:rPr>
            </w:pPr>
            <w:r>
              <w:rPr>
                <w:rFonts w:hint="eastAsia"/>
              </w:rPr>
              <w:t>本项目主要从事精密配件、后倾离心风机的生产，对照《建设项目环境风险评价技术导则》（HJ</w:t>
            </w:r>
            <w:r>
              <w:t>169-2018</w:t>
            </w:r>
            <w:r>
              <w:rPr>
                <w:rFonts w:hint="eastAsia"/>
              </w:rPr>
              <w:t>）附录B可知，本项目使用的原辅材料及其成分中环境风险物质为</w:t>
            </w:r>
            <w:r>
              <w:t>废乳化液、</w:t>
            </w:r>
            <w:r>
              <w:rPr>
                <w:rFonts w:hint="eastAsia"/>
              </w:rPr>
              <w:t>废漆料、</w:t>
            </w:r>
            <w:r>
              <w:t>废包装桶、</w:t>
            </w:r>
            <w:r>
              <w:rPr>
                <w:rFonts w:hint="eastAsia"/>
              </w:rPr>
              <w:t>机油、废机油、废油桶、</w:t>
            </w:r>
            <w:r>
              <w:t>废活性炭</w:t>
            </w:r>
            <w:r>
              <w:rPr>
                <w:rFonts w:hint="eastAsia"/>
              </w:rPr>
              <w:t>、含漆废抹布和手套、含油废抹布和手套。</w:t>
            </w:r>
          </w:p>
          <w:p>
            <w:pPr>
              <w:pStyle w:val="6"/>
              <w:rPr>
                <w:lang w:val="en-GB"/>
              </w:rPr>
            </w:pPr>
            <w:r>
              <w:rPr>
                <w:rFonts w:hint="eastAsia"/>
                <w:lang w:val="en-GB"/>
              </w:rPr>
              <w:t>7</w:t>
            </w:r>
            <w:r>
              <w:rPr>
                <w:lang w:val="en-GB"/>
              </w:rPr>
              <w:t>.2.7.2</w:t>
            </w:r>
            <w:r>
              <w:rPr>
                <w:rFonts w:hint="eastAsia"/>
                <w:lang w:val="en-GB"/>
              </w:rPr>
              <w:t>风险潜势初判</w:t>
            </w:r>
          </w:p>
          <w:p>
            <w:pPr>
              <w:snapToGrid w:val="0"/>
              <w:ind w:firstLine="480"/>
              <w:textAlignment w:val="auto"/>
            </w:pPr>
            <w:r>
              <w:rPr>
                <w:rFonts w:hint="eastAsia"/>
              </w:rPr>
              <w:t>计算所涉及的每种危险物质在厂界内的最大存在总量与其在《建设项目环境风险评价技术导则》（HJ169-2018）（以下称“风险导则”）附录B中对应临界量的比值Q。在不同厂区的同一种物质，按其在厂界内的最大存在总量计算。</w:t>
            </w:r>
            <w:r>
              <w:t>当只涉及一种危险物质时，计算该物质的总量与其临界量比值，即为Q；</w:t>
            </w:r>
          </w:p>
          <w:p>
            <w:pPr>
              <w:snapToGrid w:val="0"/>
              <w:ind w:firstLine="0" w:firstLineChars="0"/>
              <w:jc w:val="center"/>
              <w:textAlignment w:val="auto"/>
            </w:pPr>
            <w:r>
              <w:t>当存在多种危险物质时，则按下列公式计算物质总量与其临界量比值（Q）：</w:t>
            </w:r>
            <w:r>
              <w:fldChar w:fldCharType="begin"/>
            </w:r>
            <w:r>
              <w:instrText xml:space="preserve"> QUOTE </w:instrText>
            </w:r>
            <w:r>
              <w:pict>
                <v:shape id="_x0000_i1027" o:spt="75" type="#_x0000_t75" style="height:67.25pt;width:379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bordersDontSurroundHeader/&gt;&lt;w:bordersDontSurroundFooter/&gt;&lt;w:hideSpellingErrors/&gt;&lt;w:stylePaneFormatFilter w:val=&quot;3F01&quot;/&gt;&lt;w:defaultTabStop w:val=&quot;420&quot;/&gt;&lt;w:drawingGridHorizontalSpacing w:val=&quot;105&quot;/&gt;&lt;w:drawingGridVerticalSpacing w:val=&quot;156&quot;/&gt;&lt;w:displayHorizontalDrawingGridEvery w:val=&quot;2&quot;/&gt;&lt;w:characterSpacingControl w:val=&quot;CompressPunctuation&quot;/&gt;&lt;w:webPageEncoding w:val=&quot;x-cp20936&quot;/&gt;&lt;w:optimizeForBrowser/&gt;&lt;w:relyOnVML/&gt;&lt;w:allowPNG/&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doNotExpandShiftReturn/&gt;&lt;w:adjustLineHeightInTable/&gt;&lt;w:breakWrappedTables/&gt;&lt;w:snapToGridInCell/&gt;&lt;w:wrapTextWithPunct/&gt;&lt;w:useAsianBreakRules/&gt;&lt;w:dontGrowAutofit/&gt;&lt;w:useFELayout/&gt;&lt;/w:compat&gt;&lt;wsp:rsids&gt;&lt;wsp:rsidRoot wsp:val=&quot;00172A27&quot;/&gt;&lt;wsp:rsid wsp:val=&quot;00000336&quot;/&gt;&lt;wsp:rsid wsp:val=&quot;00001E05&quot;/&gt;&lt;wsp:rsid wsp:val=&quot;0000226C&quot;/&gt;&lt;wsp:rsid wsp:val=&quot;000027B7&quot;/&gt;&lt;wsp:rsid wsp:val=&quot;00002C00&quot;/&gt;&lt;wsp:rsid wsp:val=&quot;00003124&quot;/&gt;&lt;wsp:rsid wsp:val=&quot;00003737&quot;/&gt;&lt;wsp:rsid wsp:val=&quot;0000382D&quot;/&gt;&lt;wsp:rsid wsp:val=&quot;00003C61&quot;/&gt;&lt;wsp:rsid wsp:val=&quot;00004A78&quot;/&gt;&lt;wsp:rsid wsp:val=&quot;00004C37&quot;/&gt;&lt;wsp:rsid wsp:val=&quot;00005359&quot;/&gt;&lt;wsp:rsid wsp:val=&quot;0000636F&quot;/&gt;&lt;wsp:rsid wsp:val=&quot;0000704D&quot;/&gt;&lt;wsp:rsid wsp:val=&quot;00007153&quot;/&gt;&lt;wsp:rsid wsp:val=&quot;0000759D&quot;/&gt;&lt;wsp:rsid wsp:val=&quot;00007FB9&quot;/&gt;&lt;wsp:rsid wsp:val=&quot;000100FD&quot;/&gt;&lt;wsp:rsid wsp:val=&quot;000102E6&quot;/&gt;&lt;wsp:rsid wsp:val=&quot;00010EA9&quot;/&gt;&lt;wsp:rsid wsp:val=&quot;000111F1&quot;/&gt;&lt;wsp:rsid wsp:val=&quot;0001126F&quot;/&gt;&lt;wsp:rsid wsp:val=&quot;00011672&quot;/&gt;&lt;wsp:rsid wsp:val=&quot;000119AE&quot;/&gt;&lt;wsp:rsid wsp:val=&quot;00011FA7&quot;/&gt;&lt;wsp:rsid wsp:val=&quot;000122CD&quot;/&gt;&lt;wsp:rsid wsp:val=&quot;00012566&quot;/&gt;&lt;wsp:rsid wsp:val=&quot;00012AC5&quot;/&gt;&lt;wsp:rsid wsp:val=&quot;00012E20&quot;/&gt;&lt;wsp:rsid wsp:val=&quot;00012E3F&quot;/&gt;&lt;wsp:rsid wsp:val=&quot;000141E0&quot;/&gt;&lt;wsp:rsid wsp:val=&quot;0001420A&quot;/&gt;&lt;wsp:rsid wsp:val=&quot;0001420E&quot;/&gt;&lt;wsp:rsid wsp:val=&quot;000143B1&quot;/&gt;&lt;wsp:rsid wsp:val=&quot;00014CF7&quot;/&gt;&lt;wsp:rsid wsp:val=&quot;00015A4B&quot;/&gt;&lt;wsp:rsid wsp:val=&quot;000160FD&quot;/&gt;&lt;wsp:rsid wsp:val=&quot;00016243&quot;/&gt;&lt;wsp:rsid wsp:val=&quot;000166D6&quot;/&gt;&lt;wsp:rsid wsp:val=&quot;000167A3&quot;/&gt;&lt;wsp:rsid wsp:val=&quot;00016DAF&quot;/&gt;&lt;wsp:rsid wsp:val=&quot;00016DF4&quot;/&gt;&lt;wsp:rsid wsp:val=&quot;000173EC&quot;/&gt;&lt;wsp:rsid wsp:val=&quot;000174CB&quot;/&gt;&lt;wsp:rsid wsp:val=&quot;00020602&quot;/&gt;&lt;wsp:rsid wsp:val=&quot;00020E0E&quot;/&gt;&lt;wsp:rsid wsp:val=&quot;0002184E&quot;/&gt;&lt;wsp:rsid wsp:val=&quot;000218AC&quot;/&gt;&lt;wsp:rsid wsp:val=&quot;000219ED&quot;/&gt;&lt;wsp:rsid wsp:val=&quot;0002241C&quot;/&gt;&lt;wsp:rsid wsp:val=&quot;000230DA&quot;/&gt;&lt;wsp:rsid wsp:val=&quot;000239B9&quot;/&gt;&lt;wsp:rsid wsp:val=&quot;000239C4&quot;/&gt;&lt;wsp:rsid wsp:val=&quot;00023FC8&quot;/&gt;&lt;wsp:rsid wsp:val=&quot;00025F86&quot;/&gt;&lt;wsp:rsid wsp:val=&quot;0002604E&quot;/&gt;&lt;wsp:rsid wsp:val=&quot;00026A65&quot;/&gt;&lt;wsp:rsid wsp:val=&quot;000270FB&quot;/&gt;&lt;wsp:rsid wsp:val=&quot;00027D03&quot;/&gt;&lt;wsp:rsid wsp:val=&quot;00030800&quot;/&gt;&lt;wsp:rsid wsp:val=&quot;00030E95&quot;/&gt;&lt;wsp:rsid wsp:val=&quot;00031164&quot;/&gt;&lt;wsp:rsid wsp:val=&quot;0003380B&quot;/&gt;&lt;wsp:rsid wsp:val=&quot;00033F28&quot;/&gt;&lt;wsp:rsid wsp:val=&quot;000343BF&quot;/&gt;&lt;wsp:rsid wsp:val=&quot;000345DE&quot;/&gt;&lt;wsp:rsid wsp:val=&quot;000357EE&quot;/&gt;&lt;wsp:rsid wsp:val=&quot;000364DF&quot;/&gt;&lt;wsp:rsid wsp:val=&quot;00037643&quot;/&gt;&lt;wsp:rsid wsp:val=&quot;00040795&quot;/&gt;&lt;wsp:rsid wsp:val=&quot;00041B7A&quot;/&gt;&lt;wsp:rsid wsp:val=&quot;000423B6&quot;/&gt;&lt;wsp:rsid wsp:val=&quot;00042623&quot;/&gt;&lt;wsp:rsid wsp:val=&quot;00043A33&quot;/&gt;&lt;wsp:rsid wsp:val=&quot;00043FF9&quot;/&gt;&lt;wsp:rsid wsp:val=&quot;0004724D&quot;/&gt;&lt;wsp:rsid wsp:val=&quot;0005002E&quot;/&gt;&lt;wsp:rsid wsp:val=&quot;000503AC&quot;/&gt;&lt;wsp:rsid wsp:val=&quot;00050B71&quot;/&gt;&lt;wsp:rsid wsp:val=&quot;00050E06&quot;/&gt;&lt;wsp:rsid wsp:val=&quot;00051D4F&quot;/&gt;&lt;wsp:rsid wsp:val=&quot;00053246&quot;/&gt;&lt;wsp:rsid wsp:val=&quot;00053828&quot;/&gt;&lt;wsp:rsid wsp:val=&quot;00053F3E&quot;/&gt;&lt;wsp:rsid wsp:val=&quot;0005581B&quot;/&gt;&lt;wsp:rsid wsp:val=&quot;00055FE2&quot;/&gt;&lt;wsp:rsid wsp:val=&quot;00056F27&quot;/&gt;&lt;wsp:rsid wsp:val=&quot;00057B45&quot;/&gt;&lt;wsp:rsid wsp:val=&quot;0006059B&quot;/&gt;&lt;wsp:rsid wsp:val=&quot;00060C10&quot;/&gt;&lt;wsp:rsid wsp:val=&quot;000618B6&quot;/&gt;&lt;wsp:rsid wsp:val=&quot;00061C40&quot;/&gt;&lt;wsp:rsid wsp:val=&quot;00061CEC&quot;/&gt;&lt;wsp:rsid wsp:val=&quot;000630BB&quot;/&gt;&lt;wsp:rsid wsp:val=&quot;00063838&quot;/&gt;&lt;wsp:rsid wsp:val=&quot;00064025&quot;/&gt;&lt;wsp:rsid wsp:val=&quot;00064497&quot;/&gt;&lt;wsp:rsid wsp:val=&quot;0006467D&quot;/&gt;&lt;wsp:rsid wsp:val=&quot;000658DD&quot;/&gt;&lt;wsp:rsid wsp:val=&quot;00065B35&quot;/&gt;&lt;wsp:rsid wsp:val=&quot;00065F6B&quot;/&gt;&lt;wsp:rsid wsp:val=&quot;000661AD&quot;/&gt;&lt;wsp:rsid wsp:val=&quot;000664AF&quot;/&gt;&lt;wsp:rsid wsp:val=&quot;00066FE0&quot;/&gt;&lt;wsp:rsid wsp:val=&quot;00067ACA&quot;/&gt;&lt;wsp:rsid wsp:val=&quot;00067B77&quot;/&gt;&lt;wsp:rsid wsp:val=&quot;00067ED5&quot;/&gt;&lt;wsp:rsid wsp:val=&quot;00071238&quot;/&gt;&lt;wsp:rsid wsp:val=&quot;00071CCC&quot;/&gt;&lt;wsp:rsid wsp:val=&quot;00071E3A&quot;/&gt;&lt;wsp:rsid wsp:val=&quot;000738BB&quot;/&gt;&lt;wsp:rsid wsp:val=&quot;00074542&quot;/&gt;&lt;wsp:rsid wsp:val=&quot;00074763&quot;/&gt;&lt;wsp:rsid wsp:val=&quot;00074E52&quot;/&gt;&lt;wsp:rsid wsp:val=&quot;00075CEE&quot;/&gt;&lt;wsp:rsid wsp:val=&quot;00075EF8&quot;/&gt;&lt;wsp:rsid wsp:val=&quot;00076AF2&quot;/&gt;&lt;wsp:rsid wsp:val=&quot;00076D03&quot;/&gt;&lt;wsp:rsid wsp:val=&quot;00076E37&quot;/&gt;&lt;wsp:rsid wsp:val=&quot;0007736C&quot;/&gt;&lt;wsp:rsid wsp:val=&quot;00077E17&quot;/&gt;&lt;wsp:rsid wsp:val=&quot;00077F22&quot;/&gt;&lt;wsp:rsid wsp:val=&quot;00080442&quot;/&gt;&lt;wsp:rsid wsp:val=&quot;00080DF2&quot;/&gt;&lt;wsp:rsid wsp:val=&quot;000811F2&quot;/&gt;&lt;wsp:rsid wsp:val=&quot;000821F3&quot;/&gt;&lt;wsp:rsid wsp:val=&quot;00084E94&quot;/&gt;&lt;wsp:rsid wsp:val=&quot;00084ECC&quot;/&gt;&lt;wsp:rsid wsp:val=&quot;0008539D&quot;/&gt;&lt;wsp:rsid wsp:val=&quot;00085DAB&quot;/&gt;&lt;wsp:rsid wsp:val=&quot;00086DF7&quot;/&gt;&lt;wsp:rsid wsp:val=&quot;000877B7&quot;/&gt;&lt;wsp:rsid wsp:val=&quot;000879BC&quot;/&gt;&lt;wsp:rsid wsp:val=&quot;00087B21&quot;/&gt;&lt;wsp:rsid wsp:val=&quot;000905D3&quot;/&gt;&lt;wsp:rsid wsp:val=&quot;00090B14&quot;/&gt;&lt;wsp:rsid wsp:val=&quot;00091068&quot;/&gt;&lt;wsp:rsid wsp:val=&quot;00093233&quot;/&gt;&lt;wsp:rsid wsp:val=&quot;000934D2&quot;/&gt;&lt;wsp:rsid wsp:val=&quot;000936C3&quot;/&gt;&lt;wsp:rsid wsp:val=&quot;00093E88&quot;/&gt;&lt;wsp:rsid wsp:val=&quot;000947AF&quot;/&gt;&lt;wsp:rsid wsp:val=&quot;000953E6&quot;/&gt;&lt;wsp:rsid wsp:val=&quot;0009732B&quot;/&gt;&lt;wsp:rsid wsp:val=&quot;00097D1F&quot;/&gt;&lt;wsp:rsid wsp:val=&quot;00097F66&quot;/&gt;&lt;wsp:rsid wsp:val=&quot;000A073D&quot;/&gt;&lt;wsp:rsid wsp:val=&quot;000A0D29&quot;/&gt;&lt;wsp:rsid wsp:val=&quot;000A21D5&quot;/&gt;&lt;wsp:rsid wsp:val=&quot;000A233D&quot;/&gt;&lt;wsp:rsid wsp:val=&quot;000A2489&quot;/&gt;&lt;wsp:rsid wsp:val=&quot;000A2968&quot;/&gt;&lt;wsp:rsid wsp:val=&quot;000A4146&quot;/&gt;&lt;wsp:rsid wsp:val=&quot;000A4DDB&quot;/&gt;&lt;wsp:rsid wsp:val=&quot;000A58F5&quot;/&gt;&lt;wsp:rsid wsp:val=&quot;000A59B4&quot;/&gt;&lt;wsp:rsid wsp:val=&quot;000B0F5B&quot;/&gt;&lt;wsp:rsid wsp:val=&quot;000B1B34&quot;/&gt;&lt;wsp:rsid wsp:val=&quot;000B375C&quot;/&gt;&lt;wsp:rsid wsp:val=&quot;000B444D&quot;/&gt;&lt;wsp:rsid wsp:val=&quot;000B4E03&quot;/&gt;&lt;wsp:rsid wsp:val=&quot;000B511D&quot;/&gt;&lt;wsp:rsid wsp:val=&quot;000B5160&quot;/&gt;&lt;wsp:rsid wsp:val=&quot;000B5DDB&quot;/&gt;&lt;wsp:rsid wsp:val=&quot;000B67AD&quot;/&gt;&lt;wsp:rsid wsp:val=&quot;000B6812&quot;/&gt;&lt;wsp:rsid wsp:val=&quot;000B6A64&quot;/&gt;&lt;wsp:rsid wsp:val=&quot;000C0509&quot;/&gt;&lt;wsp:rsid wsp:val=&quot;000C1E55&quot;/&gt;&lt;wsp:rsid wsp:val=&quot;000C1F3A&quot;/&gt;&lt;wsp:rsid wsp:val=&quot;000C28A6&quot;/&gt;&lt;wsp:rsid wsp:val=&quot;000C2C64&quot;/&gt;&lt;wsp:rsid wsp:val=&quot;000C2E5F&quot;/&gt;&lt;wsp:rsid wsp:val=&quot;000C350D&quot;/&gt;&lt;wsp:rsid wsp:val=&quot;000C3DD5&quot;/&gt;&lt;wsp:rsid wsp:val=&quot;000C47A1&quot;/&gt;&lt;wsp:rsid wsp:val=&quot;000C4871&quot;/&gt;&lt;wsp:rsid wsp:val=&quot;000C4F1F&quot;/&gt;&lt;wsp:rsid wsp:val=&quot;000C5008&quot;/&gt;&lt;wsp:rsid wsp:val=&quot;000C51B3&quot;/&gt;&lt;wsp:rsid wsp:val=&quot;000C5B28&quot;/&gt;&lt;wsp:rsid wsp:val=&quot;000C71BA&quot;/&gt;&lt;wsp:rsid wsp:val=&quot;000C72C1&quot;/&gt;&lt;wsp:rsid wsp:val=&quot;000C765C&quot;/&gt;&lt;wsp:rsid wsp:val=&quot;000C785F&quot;/&gt;&lt;wsp:rsid wsp:val=&quot;000C7C15&quot;/&gt;&lt;wsp:rsid wsp:val=&quot;000D02A8&quot;/&gt;&lt;wsp:rsid wsp:val=&quot;000D1543&quot;/&gt;&lt;wsp:rsid wsp:val=&quot;000D1960&quot;/&gt;&lt;wsp:rsid wsp:val=&quot;000D1AE1&quot;/&gt;&lt;wsp:rsid wsp:val=&quot;000D1B17&quot;/&gt;&lt;wsp:rsid wsp:val=&quot;000D2D83&quot;/&gt;&lt;wsp:rsid wsp:val=&quot;000D358B&quot;/&gt;&lt;wsp:rsid wsp:val=&quot;000D3B5C&quot;/&gt;&lt;wsp:rsid wsp:val=&quot;000D498A&quot;/&gt;&lt;wsp:rsid wsp:val=&quot;000D59FC&quot;/&gt;&lt;wsp:rsid wsp:val=&quot;000D5ACB&quot;/&gt;&lt;wsp:rsid wsp:val=&quot;000D5BA4&quot;/&gt;&lt;wsp:rsid wsp:val=&quot;000D6023&quot;/&gt;&lt;wsp:rsid wsp:val=&quot;000D62C1&quot;/&gt;&lt;wsp:rsid wsp:val=&quot;000D6849&quot;/&gt;&lt;wsp:rsid wsp:val=&quot;000D6B4D&quot;/&gt;&lt;wsp:rsid wsp:val=&quot;000D6FCC&quot;/&gt;&lt;wsp:rsid wsp:val=&quot;000E1C74&quot;/&gt;&lt;wsp:rsid wsp:val=&quot;000E37AD&quot;/&gt;&lt;wsp:rsid wsp:val=&quot;000E3D72&quot;/&gt;&lt;wsp:rsid wsp:val=&quot;000E4810&quot;/&gt;&lt;wsp:rsid wsp:val=&quot;000E48D4&quot;/&gt;&lt;wsp:rsid wsp:val=&quot;000E4E37&quot;/&gt;&lt;wsp:rsid wsp:val=&quot;000E59B2&quot;/&gt;&lt;wsp:rsid wsp:val=&quot;000E6280&quot;/&gt;&lt;wsp:rsid wsp:val=&quot;000E7384&quot;/&gt;&lt;wsp:rsid wsp:val=&quot;000E75BF&quot;/&gt;&lt;wsp:rsid wsp:val=&quot;000E796B&quot;/&gt;&lt;wsp:rsid wsp:val=&quot;000F0481&quot;/&gt;&lt;wsp:rsid wsp:val=&quot;000F2588&quot;/&gt;&lt;wsp:rsid wsp:val=&quot;000F27AE&quot;/&gt;&lt;wsp:rsid wsp:val=&quot;000F2FC6&quot;/&gt;&lt;wsp:rsid wsp:val=&quot;000F3656&quot;/&gt;&lt;wsp:rsid wsp:val=&quot;000F3991&quot;/&gt;&lt;wsp:rsid wsp:val=&quot;000F4DB6&quot;/&gt;&lt;wsp:rsid wsp:val=&quot;000F5B4A&quot;/&gt;&lt;wsp:rsid wsp:val=&quot;000F608A&quot;/&gt;&lt;wsp:rsid wsp:val=&quot;000F60E4&quot;/&gt;&lt;wsp:rsid wsp:val=&quot;000F63EF&quot;/&gt;&lt;wsp:rsid wsp:val=&quot;000F7096&quot;/&gt;&lt;wsp:rsid wsp:val=&quot;000F7C01&quot;/&gt;&lt;wsp:rsid wsp:val=&quot;001000E9&quot;/&gt;&lt;wsp:rsid wsp:val=&quot;001002C3&quot;/&gt;&lt;wsp:rsid wsp:val=&quot;00100A0E&quot;/&gt;&lt;wsp:rsid wsp:val=&quot;00101027&quot;/&gt;&lt;wsp:rsid wsp:val=&quot;00101565&quot;/&gt;&lt;wsp:rsid wsp:val=&quot;001018EB&quot;/&gt;&lt;wsp:rsid wsp:val=&quot;00101ED0&quot;/&gt;&lt;wsp:rsid wsp:val=&quot;001027E2&quot;/&gt;&lt;wsp:rsid wsp:val=&quot;00102A29&quot;/&gt;&lt;wsp:rsid wsp:val=&quot;00103B40&quot;/&gt;&lt;wsp:rsid wsp:val=&quot;001055E7&quot;/&gt;&lt;wsp:rsid wsp:val=&quot;001060FA&quot;/&gt;&lt;wsp:rsid wsp:val=&quot;001066E6&quot;/&gt;&lt;wsp:rsid wsp:val=&quot;00107015&quot;/&gt;&lt;wsp:rsid wsp:val=&quot;0010786F&quot;/&gt;&lt;wsp:rsid wsp:val=&quot;001105DB&quot;/&gt;&lt;wsp:rsid wsp:val=&quot;00110BE5&quot;/&gt;&lt;wsp:rsid wsp:val=&quot;0011306B&quot;/&gt;&lt;wsp:rsid wsp:val=&quot;00113AA9&quot;/&gt;&lt;wsp:rsid wsp:val=&quot;00115B56&quot;/&gt;&lt;wsp:rsid wsp:val=&quot;00117148&quot;/&gt;&lt;wsp:rsid wsp:val=&quot;00117308&quot;/&gt;&lt;wsp:rsid wsp:val=&quot;001203CE&quot;/&gt;&lt;wsp:rsid wsp:val=&quot;0012069E&quot;/&gt;&lt;wsp:rsid wsp:val=&quot;00121218&quot;/&gt;&lt;wsp:rsid wsp:val=&quot;00121EB2&quot;/&gt;&lt;wsp:rsid wsp:val=&quot;0012324A&quot;/&gt;&lt;wsp:rsid wsp:val=&quot;001235DC&quot;/&gt;&lt;wsp:rsid wsp:val=&quot;001238EA&quot;/&gt;&lt;wsp:rsid wsp:val=&quot;00124C2E&quot;/&gt;&lt;wsp:rsid wsp:val=&quot;0012540A&quot;/&gt;&lt;wsp:rsid wsp:val=&quot;001264DA&quot;/&gt;&lt;wsp:rsid wsp:val=&quot;00126BE5&quot;/&gt;&lt;wsp:rsid wsp:val=&quot;00126CBF&quot;/&gt;&lt;wsp:rsid wsp:val=&quot;00127C4C&quot;/&gt;&lt;wsp:rsid wsp:val=&quot;001300C9&quot;/&gt;&lt;wsp:rsid wsp:val=&quot;00131859&quot;/&gt;&lt;wsp:rsid wsp:val=&quot;00131F99&quot;/&gt;&lt;wsp:rsid wsp:val=&quot;0013297D&quot;/&gt;&lt;wsp:rsid wsp:val=&quot;00132A2C&quot;/&gt;&lt;wsp:rsid wsp:val=&quot;00132E44&quot;/&gt;&lt;wsp:rsid wsp:val=&quot;00133E6F&quot;/&gt;&lt;wsp:rsid wsp:val=&quot;00134115&quot;/&gt;&lt;wsp:rsid wsp:val=&quot;00134A34&quot;/&gt;&lt;wsp:rsid wsp:val=&quot;00135624&quot;/&gt;&lt;wsp:rsid wsp:val=&quot;001357EE&quot;/&gt;&lt;wsp:rsid wsp:val=&quot;00135837&quot;/&gt;&lt;wsp:rsid wsp:val=&quot;00136115&quot;/&gt;&lt;wsp:rsid wsp:val=&quot;00136C46&quot;/&gt;&lt;wsp:rsid wsp:val=&quot;0013723D&quot;/&gt;&lt;wsp:rsid wsp:val=&quot;001372F8&quot;/&gt;&lt;wsp:rsid wsp:val=&quot;00140589&quot;/&gt;&lt;wsp:rsid wsp:val=&quot;00140A3E&quot;/&gt;&lt;wsp:rsid wsp:val=&quot;00140DF0&quot;/&gt;&lt;wsp:rsid wsp:val=&quot;00140E52&quot;/&gt;&lt;wsp:rsid wsp:val=&quot;00141DE5&quot;/&gt;&lt;wsp:rsid wsp:val=&quot;0014226D&quot;/&gt;&lt;wsp:rsid wsp:val=&quot;00142A54&quot;/&gt;&lt;wsp:rsid wsp:val=&quot;00142A6C&quot;/&gt;&lt;wsp:rsid wsp:val=&quot;001433A3&quot;/&gt;&lt;wsp:rsid wsp:val=&quot;00144BBD&quot;/&gt;&lt;wsp:rsid wsp:val=&quot;00145C48&quot;/&gt;&lt;wsp:rsid wsp:val=&quot;001460EA&quot;/&gt;&lt;wsp:rsid wsp:val=&quot;00146664&quot;/&gt;&lt;wsp:rsid wsp:val=&quot;00150549&quot;/&gt;&lt;wsp:rsid wsp:val=&quot;00150689&quot;/&gt;&lt;wsp:rsid wsp:val=&quot;00150FED&quot;/&gt;&lt;wsp:rsid wsp:val=&quot;001518C6&quot;/&gt;&lt;wsp:rsid wsp:val=&quot;00152047&quot;/&gt;&lt;wsp:rsid wsp:val=&quot;0015240D&quot;/&gt;&lt;wsp:rsid wsp:val=&quot;00153908&quot;/&gt;&lt;wsp:rsid wsp:val=&quot;0015400C&quot;/&gt;&lt;wsp:rsid wsp:val=&quot;00156ECA&quot;/&gt;&lt;wsp:rsid wsp:val=&quot;001574A7&quot;/&gt;&lt;wsp:rsid wsp:val=&quot;001579B5&quot;/&gt;&lt;wsp:rsid wsp:val=&quot;00160731&quot;/&gt;&lt;wsp:rsid wsp:val=&quot;00160989&quot;/&gt;&lt;wsp:rsid wsp:val=&quot;00161EE5&quot;/&gt;&lt;wsp:rsid wsp:val=&quot;00162EA7&quot;/&gt;&lt;wsp:rsid wsp:val=&quot;00163E9E&quot;/&gt;&lt;wsp:rsid wsp:val=&quot;001641E6&quot;/&gt;&lt;wsp:rsid wsp:val=&quot;001648B8&quot;/&gt;&lt;wsp:rsid wsp:val=&quot;001663A9&quot;/&gt;&lt;wsp:rsid wsp:val=&quot;00167584&quot;/&gt;&lt;wsp:rsid wsp:val=&quot;0016783F&quot;/&gt;&lt;wsp:rsid wsp:val=&quot;00170811&quot;/&gt;&lt;wsp:rsid wsp:val=&quot;00170E38&quot;/&gt;&lt;wsp:rsid wsp:val=&quot;0017195B&quot;/&gt;&lt;wsp:rsid wsp:val=&quot;00172A27&quot;/&gt;&lt;wsp:rsid wsp:val=&quot;00173FE6&quot;/&gt;&lt;wsp:rsid wsp:val=&quot;001760C0&quot;/&gt;&lt;wsp:rsid wsp:val=&quot;00177579&quot;/&gt;&lt;wsp:rsid wsp:val=&quot;001775BA&quot;/&gt;&lt;wsp:rsid wsp:val=&quot;001812FE&quot;/&gt;&lt;wsp:rsid wsp:val=&quot;001824AD&quot;/&gt;&lt;wsp:rsid wsp:val=&quot;00182B67&quot;/&gt;&lt;wsp:rsid wsp:val=&quot;001830D1&quot;/&gt;&lt;wsp:rsid wsp:val=&quot;00183408&quot;/&gt;&lt;wsp:rsid wsp:val=&quot;0018358D&quot;/&gt;&lt;wsp:rsid wsp:val=&quot;0018370F&quot;/&gt;&lt;wsp:rsid wsp:val=&quot;0018379F&quot;/&gt;&lt;wsp:rsid wsp:val=&quot;00183960&quot;/&gt;&lt;wsp:rsid wsp:val=&quot;00183D68&quot;/&gt;&lt;wsp:rsid wsp:val=&quot;0018438C&quot;/&gt;&lt;wsp:rsid wsp:val=&quot;001843B5&quot;/&gt;&lt;wsp:rsid wsp:val=&quot;00185704&quot;/&gt;&lt;wsp:rsid wsp:val=&quot;00185C29&quot;/&gt;&lt;wsp:rsid wsp:val=&quot;001866CF&quot;/&gt;&lt;wsp:rsid wsp:val=&quot;001873D7&quot;/&gt;&lt;wsp:rsid wsp:val=&quot;00190117&quot;/&gt;&lt;wsp:rsid wsp:val=&quot;00190B10&quot;/&gt;&lt;wsp:rsid wsp:val=&quot;00190E71&quot;/&gt;&lt;wsp:rsid wsp:val=&quot;0019100A&quot;/&gt;&lt;wsp:rsid wsp:val=&quot;00191658&quot;/&gt;&lt;wsp:rsid wsp:val=&quot;001921F9&quot;/&gt;&lt;wsp:rsid wsp:val=&quot;00192C5F&quot;/&gt;&lt;wsp:rsid wsp:val=&quot;00193C2C&quot;/&gt;&lt;wsp:rsid wsp:val=&quot;0019477E&quot;/&gt;&lt;wsp:rsid wsp:val=&quot;00194827&quot;/&gt;&lt;wsp:rsid wsp:val=&quot;00194FF0&quot;/&gt;&lt;wsp:rsid wsp:val=&quot;00195D37&quot;/&gt;&lt;wsp:rsid wsp:val=&quot;00196250&quot;/&gt;&lt;wsp:rsid wsp:val=&quot;00196432&quot;/&gt;&lt;wsp:rsid wsp:val=&quot;00196DE6&quot;/&gt;&lt;wsp:rsid wsp:val=&quot;001970F4&quot;/&gt;&lt;wsp:rsid wsp:val=&quot;001A060C&quot;/&gt;&lt;wsp:rsid wsp:val=&quot;001A09AB&quot;/&gt;&lt;wsp:rsid wsp:val=&quot;001A125B&quot;/&gt;&lt;wsp:rsid wsp:val=&quot;001A1499&quot;/&gt;&lt;wsp:rsid wsp:val=&quot;001A1A91&quot;/&gt;&lt;wsp:rsid wsp:val=&quot;001A1E11&quot;/&gt;&lt;wsp:rsid wsp:val=&quot;001A2C64&quot;/&gt;&lt;wsp:rsid wsp:val=&quot;001A3316&quot;/&gt;&lt;wsp:rsid wsp:val=&quot;001A33C6&quot;/&gt;&lt;wsp:rsid wsp:val=&quot;001A3943&quot;/&gt;&lt;wsp:rsid wsp:val=&quot;001A3B19&quot;/&gt;&lt;wsp:rsid wsp:val=&quot;001A4D53&quot;/&gt;&lt;wsp:rsid wsp:val=&quot;001A5087&quot;/&gt;&lt;wsp:rsid wsp:val=&quot;001A578A&quot;/&gt;&lt;wsp:rsid wsp:val=&quot;001A6AFF&quot;/&gt;&lt;wsp:rsid wsp:val=&quot;001A756C&quot;/&gt;&lt;wsp:rsid wsp:val=&quot;001A7D14&quot;/&gt;&lt;wsp:rsid wsp:val=&quot;001B10CF&quot;/&gt;&lt;wsp:rsid wsp:val=&quot;001B112D&quot;/&gt;&lt;wsp:rsid wsp:val=&quot;001B1E7B&quot;/&gt;&lt;wsp:rsid wsp:val=&quot;001B21BC&quot;/&gt;&lt;wsp:rsid wsp:val=&quot;001B2AF5&quot;/&gt;&lt;wsp:rsid wsp:val=&quot;001B3183&quot;/&gt;&lt;wsp:rsid wsp:val=&quot;001B32D8&quot;/&gt;&lt;wsp:rsid wsp:val=&quot;001B3735&quot;/&gt;&lt;wsp:rsid wsp:val=&quot;001B3BC5&quot;/&gt;&lt;wsp:rsid wsp:val=&quot;001B3D97&quot;/&gt;&lt;wsp:rsid wsp:val=&quot;001B613F&quot;/&gt;&lt;wsp:rsid wsp:val=&quot;001B7022&quot;/&gt;&lt;wsp:rsid wsp:val=&quot;001B7620&quot;/&gt;&lt;wsp:rsid wsp:val=&quot;001C006B&quot;/&gt;&lt;wsp:rsid wsp:val=&quot;001C115F&quot;/&gt;&lt;wsp:rsid wsp:val=&quot;001C333D&quot;/&gt;&lt;wsp:rsid wsp:val=&quot;001C3545&quot;/&gt;&lt;wsp:rsid wsp:val=&quot;001C5826&quot;/&gt;&lt;wsp:rsid wsp:val=&quot;001C64BB&quot;/&gt;&lt;wsp:rsid wsp:val=&quot;001D0022&quot;/&gt;&lt;wsp:rsid wsp:val=&quot;001D13C3&quot;/&gt;&lt;wsp:rsid wsp:val=&quot;001D1A64&quot;/&gt;&lt;wsp:rsid wsp:val=&quot;001D3266&quot;/&gt;&lt;wsp:rsid wsp:val=&quot;001D3391&quot;/&gt;&lt;wsp:rsid wsp:val=&quot;001D3F26&quot;/&gt;&lt;wsp:rsid wsp:val=&quot;001D4870&quot;/&gt;&lt;wsp:rsid wsp:val=&quot;001D499B&quot;/&gt;&lt;wsp:rsid wsp:val=&quot;001D5694&quot;/&gt;&lt;wsp:rsid wsp:val=&quot;001D64B3&quot;/&gt;&lt;wsp:rsid wsp:val=&quot;001D68B7&quot;/&gt;&lt;wsp:rsid wsp:val=&quot;001D74E7&quot;/&gt;&lt;wsp:rsid wsp:val=&quot;001E0A4B&quot;/&gt;&lt;wsp:rsid wsp:val=&quot;001E0CF5&quot;/&gt;&lt;wsp:rsid wsp:val=&quot;001E169A&quot;/&gt;&lt;wsp:rsid wsp:val=&quot;001E1A7E&quot;/&gt;&lt;wsp:rsid wsp:val=&quot;001E21CD&quot;/&gt;&lt;wsp:rsid wsp:val=&quot;001E221D&quot;/&gt;&lt;wsp:rsid wsp:val=&quot;001E3143&quot;/&gt;&lt;wsp:rsid wsp:val=&quot;001E4156&quot;/&gt;&lt;wsp:rsid wsp:val=&quot;001E5281&quot;/&gt;&lt;wsp:rsid wsp:val=&quot;001E55DD&quot;/&gt;&lt;wsp:rsid wsp:val=&quot;001E5893&quot;/&gt;&lt;wsp:rsid wsp:val=&quot;001E59D9&quot;/&gt;&lt;wsp:rsid wsp:val=&quot;001E5E19&quot;/&gt;&lt;wsp:rsid wsp:val=&quot;001E65F6&quot;/&gt;&lt;wsp:rsid wsp:val=&quot;001E785F&quot;/&gt;&lt;wsp:rsid wsp:val=&quot;001F02A0&quot;/&gt;&lt;wsp:rsid wsp:val=&quot;001F0C91&quot;/&gt;&lt;wsp:rsid wsp:val=&quot;001F192F&quot;/&gt;&lt;wsp:rsid wsp:val=&quot;001F1ABA&quot;/&gt;&lt;wsp:rsid wsp:val=&quot;001F20CA&quot;/&gt;&lt;wsp:rsid wsp:val=&quot;001F271C&quot;/&gt;&lt;wsp:rsid wsp:val=&quot;001F39AA&quot;/&gt;&lt;wsp:rsid wsp:val=&quot;001F3B31&quot;/&gt;&lt;wsp:rsid wsp:val=&quot;001F3C2E&quot;/&gt;&lt;wsp:rsid wsp:val=&quot;001F3D43&quot;/&gt;&lt;wsp:rsid wsp:val=&quot;001F5C10&quot;/&gt;&lt;wsp:rsid wsp:val=&quot;001F5E77&quot;/&gt;&lt;wsp:rsid wsp:val=&quot;001F6A02&quot;/&gt;&lt;wsp:rsid wsp:val=&quot;001F76DB&quot;/&gt;&lt;wsp:rsid wsp:val=&quot;001F7981&quot;/&gt;&lt;wsp:rsid wsp:val=&quot;00200024&quot;/&gt;&lt;wsp:rsid wsp:val=&quot;002007A3&quot;/&gt;&lt;wsp:rsid wsp:val=&quot;00200AC2&quot;/&gt;&lt;wsp:rsid wsp:val=&quot;00200C2C&quot;/&gt;&lt;wsp:rsid wsp:val=&quot;0020122A&quot;/&gt;&lt;wsp:rsid wsp:val=&quot;0020158A&quot;/&gt;&lt;wsp:rsid wsp:val=&quot;00202428&quot;/&gt;&lt;wsp:rsid wsp:val=&quot;00202D45&quot;/&gt;&lt;wsp:rsid wsp:val=&quot;00203278&quot;/&gt;&lt;wsp:rsid wsp:val=&quot;00204658&quot;/&gt;&lt;wsp:rsid wsp:val=&quot;002109B0&quot;/&gt;&lt;wsp:rsid wsp:val=&quot;00210AF7&quot;/&gt;&lt;wsp:rsid wsp:val=&quot;00210F57&quot;/&gt;&lt;wsp:rsid wsp:val=&quot;0021136F&quot;/&gt;&lt;wsp:rsid wsp:val=&quot;0021250B&quot;/&gt;&lt;wsp:rsid wsp:val=&quot;002128AF&quot;/&gt;&lt;wsp:rsid wsp:val=&quot;002133A6&quot;/&gt;&lt;wsp:rsid wsp:val=&quot;00213560&quot;/&gt;&lt;wsp:rsid wsp:val=&quot;00214A28&quot;/&gt;&lt;wsp:rsid wsp:val=&quot;00214A56&quot;/&gt;&lt;wsp:rsid wsp:val=&quot;00214D95&quot;/&gt;&lt;wsp:rsid wsp:val=&quot;00214FD2&quot;/&gt;&lt;wsp:rsid wsp:val=&quot;0021506C&quot;/&gt;&lt;wsp:rsid wsp:val=&quot;002156D1&quot;/&gt;&lt;wsp:rsid wsp:val=&quot;00215E1C&quot;/&gt;&lt;wsp:rsid wsp:val=&quot;00215E4F&quot;/&gt;&lt;wsp:rsid wsp:val=&quot;002164FC&quot;/&gt;&lt;wsp:rsid wsp:val=&quot;00216890&quot;/&gt;&lt;wsp:rsid wsp:val=&quot;00216A1F&quot;/&gt;&lt;wsp:rsid wsp:val=&quot;00217BA3&quot;/&gt;&lt;wsp:rsid wsp:val=&quot;00217C4C&quot;/&gt;&lt;wsp:rsid wsp:val=&quot;00217D46&quot;/&gt;&lt;wsp:rsid wsp:val=&quot;00217D49&quot;/&gt;&lt;wsp:rsid wsp:val=&quot;00217DDF&quot;/&gt;&lt;wsp:rsid wsp:val=&quot;002203CF&quot;/&gt;&lt;wsp:rsid wsp:val=&quot;0022094F&quot;/&gt;&lt;wsp:rsid wsp:val=&quot;00221433&quot;/&gt;&lt;wsp:rsid wsp:val=&quot;00222285&quot;/&gt;&lt;wsp:rsid wsp:val=&quot;002224B1&quot;/&gt;&lt;wsp:rsid wsp:val=&quot;002227F2&quot;/&gt;&lt;wsp:rsid wsp:val=&quot;00223576&quot;/&gt;&lt;wsp:rsid wsp:val=&quot;002248B8&quot;/&gt;&lt;wsp:rsid wsp:val=&quot;00226E1C&quot;/&gt;&lt;wsp:rsid wsp:val=&quot;00227326&quot;/&gt;&lt;wsp:rsid wsp:val=&quot;00227A41&quot;/&gt;&lt;wsp:rsid wsp:val=&quot;00227F36&quot;/&gt;&lt;wsp:rsid wsp:val=&quot;00230D72&quot;/&gt;&lt;wsp:rsid wsp:val=&quot;00230E3C&quot;/&gt;&lt;wsp:rsid wsp:val=&quot;00230ED8&quot;/&gt;&lt;wsp:rsid wsp:val=&quot;002317FA&quot;/&gt;&lt;wsp:rsid wsp:val=&quot;0023202D&quot;/&gt;&lt;wsp:rsid wsp:val=&quot;002331D5&quot;/&gt;&lt;wsp:rsid wsp:val=&quot;00233336&quot;/&gt;&lt;wsp:rsid wsp:val=&quot;002333A2&quot;/&gt;&lt;wsp:rsid wsp:val=&quot;002338B6&quot;/&gt;&lt;wsp:rsid wsp:val=&quot;00234570&quot;/&gt;&lt;wsp:rsid wsp:val=&quot;00234EC8&quot;/&gt;&lt;wsp:rsid wsp:val=&quot;0023534F&quot;/&gt;&lt;wsp:rsid wsp:val=&quot;0023578D&quot;/&gt;&lt;wsp:rsid wsp:val=&quot;00235936&quot;/&gt;&lt;wsp:rsid wsp:val=&quot;002360D0&quot;/&gt;&lt;wsp:rsid wsp:val=&quot;002362CE&quot;/&gt;&lt;wsp:rsid wsp:val=&quot;00236F96&quot;/&gt;&lt;wsp:rsid wsp:val=&quot;00237398&quot;/&gt;&lt;wsp:rsid wsp:val=&quot;0023767F&quot;/&gt;&lt;wsp:rsid wsp:val=&quot;00237FB2&quot;/&gt;&lt;wsp:rsid wsp:val=&quot;002402B5&quot;/&gt;&lt;wsp:rsid wsp:val=&quot;00241285&quot;/&gt;&lt;wsp:rsid wsp:val=&quot;002418EA&quot;/&gt;&lt;wsp:rsid wsp:val=&quot;00241AB8&quot;/&gt;&lt;wsp:rsid wsp:val=&quot;002427B9&quot;/&gt;&lt;wsp:rsid wsp:val=&quot;002432FE&quot;/&gt;&lt;wsp:rsid wsp:val=&quot;002438B7&quot;/&gt;&lt;wsp:rsid wsp:val=&quot;00244C4A&quot;/&gt;&lt;wsp:rsid wsp:val=&quot;00245D84&quot;/&gt;&lt;wsp:rsid wsp:val=&quot;00246269&quot;/&gt;&lt;wsp:rsid wsp:val=&quot;002466B8&quot;/&gt;&lt;wsp:rsid wsp:val=&quot;00246AF0&quot;/&gt;&lt;wsp:rsid wsp:val=&quot;002471DE&quot;/&gt;&lt;wsp:rsid wsp:val=&quot;00247E36&quot;/&gt;&lt;wsp:rsid wsp:val=&quot;00250184&quot;/&gt;&lt;wsp:rsid wsp:val=&quot;00250281&quot;/&gt;&lt;wsp:rsid wsp:val=&quot;00250EC0&quot;/&gt;&lt;wsp:rsid wsp:val=&quot;00251399&quot;/&gt;&lt;wsp:rsid wsp:val=&quot;002519DB&quot;/&gt;&lt;wsp:rsid wsp:val=&quot;00251B70&quot;/&gt;&lt;wsp:rsid wsp:val=&quot;00251EE5&quot;/&gt;&lt;wsp:rsid wsp:val=&quot;00252B5F&quot;/&gt;&lt;wsp:rsid wsp:val=&quot;0025330C&quot;/&gt;&lt;wsp:rsid wsp:val=&quot;0025374D&quot;/&gt;&lt;wsp:rsid wsp:val=&quot;002538AD&quot;/&gt;&lt;wsp:rsid wsp:val=&quot;00253EB1&quot;/&gt;&lt;wsp:rsid wsp:val=&quot;00254C3E&quot;/&gt;&lt;wsp:rsid wsp:val=&quot;00254F8C&quot;/&gt;&lt;wsp:rsid wsp:val=&quot;0025522B&quot;/&gt;&lt;wsp:rsid wsp:val=&quot;002554AA&quot;/&gt;&lt;wsp:rsid wsp:val=&quot;0025586A&quot;/&gt;&lt;wsp:rsid wsp:val=&quot;00255B2C&quot;/&gt;&lt;wsp:rsid wsp:val=&quot;002562F8&quot;/&gt;&lt;wsp:rsid wsp:val=&quot;00260802&quot;/&gt;&lt;wsp:rsid wsp:val=&quot;00260D8B&quot;/&gt;&lt;wsp:rsid wsp:val=&quot;002627DD&quot;/&gt;&lt;wsp:rsid wsp:val=&quot;00262E38&quot;/&gt;&lt;wsp:rsid wsp:val=&quot;00263211&quot;/&gt;&lt;wsp:rsid wsp:val=&quot;002632D9&quot;/&gt;&lt;wsp:rsid wsp:val=&quot;00263444&quot;/&gt;&lt;wsp:rsid wsp:val=&quot;002649F9&quot;/&gt;&lt;wsp:rsid wsp:val=&quot;00264E0A&quot;/&gt;&lt;wsp:rsid wsp:val=&quot;00265995&quot;/&gt;&lt;wsp:rsid wsp:val=&quot;00266650&quot;/&gt;&lt;wsp:rsid wsp:val=&quot;002706D5&quot;/&gt;&lt;wsp:rsid wsp:val=&quot;002709DB&quot;/&gt;&lt;wsp:rsid wsp:val=&quot;00271329&quot;/&gt;&lt;wsp:rsid wsp:val=&quot;002716C9&quot;/&gt;&lt;wsp:rsid wsp:val=&quot;00271D67&quot;/&gt;&lt;wsp:rsid wsp:val=&quot;00271F3E&quot;/&gt;&lt;wsp:rsid wsp:val=&quot;00272926&quot;/&gt;&lt;wsp:rsid wsp:val=&quot;00274F30&quot;/&gt;&lt;wsp:rsid wsp:val=&quot;00275448&quot;/&gt;&lt;wsp:rsid wsp:val=&quot;00276137&quot;/&gt;&lt;wsp:rsid wsp:val=&quot;002764EB&quot;/&gt;&lt;wsp:rsid wsp:val=&quot;00276DEB&quot;/&gt;&lt;wsp:rsid wsp:val=&quot;00280495&quot;/&gt;&lt;wsp:rsid wsp:val=&quot;00280499&quot;/&gt;&lt;wsp:rsid wsp:val=&quot;00281216&quot;/&gt;&lt;wsp:rsid wsp:val=&quot;00281C97&quot;/&gt;&lt;wsp:rsid wsp:val=&quot;00282174&quot;/&gt;&lt;wsp:rsid wsp:val=&quot;00282F3F&quot;/&gt;&lt;wsp:rsid wsp:val=&quot;00284567&quot;/&gt;&lt;wsp:rsid wsp:val=&quot;00284968&quot;/&gt;&lt;wsp:rsid wsp:val=&quot;00285BF9&quot;/&gt;&lt;wsp:rsid wsp:val=&quot;00286EE1&quot;/&gt;&lt;wsp:rsid wsp:val=&quot;00287198&quot;/&gt;&lt;wsp:rsid wsp:val=&quot;00287646&quot;/&gt;&lt;wsp:rsid wsp:val=&quot;00290183&quot;/&gt;&lt;wsp:rsid wsp:val=&quot;00290F8F&quot;/&gt;&lt;wsp:rsid wsp:val=&quot;0029140C&quot;/&gt;&lt;wsp:rsid wsp:val=&quot;002915A8&quot;/&gt;&lt;wsp:rsid wsp:val=&quot;0029277F&quot;/&gt;&lt;wsp:rsid wsp:val=&quot;00292BB0&quot;/&gt;&lt;wsp:rsid wsp:val=&quot;00293014&quot;/&gt;&lt;wsp:rsid wsp:val=&quot;00293108&quot;/&gt;&lt;wsp:rsid wsp:val=&quot;0029321E&quot;/&gt;&lt;wsp:rsid wsp:val=&quot;00293756&quot;/&gt;&lt;wsp:rsid wsp:val=&quot;00293D53&quot;/&gt;&lt;wsp:rsid wsp:val=&quot;00294010&quot;/&gt;&lt;wsp:rsid wsp:val=&quot;002942C8&quot;/&gt;&lt;wsp:rsid wsp:val=&quot;0029431A&quot;/&gt;&lt;wsp:rsid wsp:val=&quot;002948E7&quot;/&gt;&lt;wsp:rsid wsp:val=&quot;00295CEC&quot;/&gt;&lt;wsp:rsid wsp:val=&quot;002964D0&quot;/&gt;&lt;wsp:rsid wsp:val=&quot;0029753A&quot;/&gt;&lt;wsp:rsid wsp:val=&quot;002A0317&quot;/&gt;&lt;wsp:rsid wsp:val=&quot;002A05E8&quot;/&gt;&lt;wsp:rsid wsp:val=&quot;002A0CB9&quot;/&gt;&lt;wsp:rsid wsp:val=&quot;002A0E63&quot;/&gt;&lt;wsp:rsid wsp:val=&quot;002A36AF&quot;/&gt;&lt;wsp:rsid wsp:val=&quot;002A3917&quot;/&gt;&lt;wsp:rsid wsp:val=&quot;002A3D6C&quot;/&gt;&lt;wsp:rsid wsp:val=&quot;002A3E03&quot;/&gt;&lt;wsp:rsid wsp:val=&quot;002A3EBE&quot;/&gt;&lt;wsp:rsid wsp:val=&quot;002A423A&quot;/&gt;&lt;wsp:rsid wsp:val=&quot;002A4AF7&quot;/&gt;&lt;wsp:rsid wsp:val=&quot;002A5149&quot;/&gt;&lt;wsp:rsid wsp:val=&quot;002A52C6&quot;/&gt;&lt;wsp:rsid wsp:val=&quot;002A535A&quot;/&gt;&lt;wsp:rsid wsp:val=&quot;002A5CEA&quot;/&gt;&lt;wsp:rsid wsp:val=&quot;002A6000&quot;/&gt;&lt;wsp:rsid wsp:val=&quot;002B0AD7&quot;/&gt;&lt;wsp:rsid wsp:val=&quot;002B0BF8&quot;/&gt;&lt;wsp:rsid wsp:val=&quot;002B1274&quot;/&gt;&lt;wsp:rsid wsp:val=&quot;002B1E15&quot;/&gt;&lt;wsp:rsid wsp:val=&quot;002B21BB&quot;/&gt;&lt;wsp:rsid wsp:val=&quot;002B2A3F&quot;/&gt;&lt;wsp:rsid wsp:val=&quot;002B2A66&quot;/&gt;&lt;wsp:rsid wsp:val=&quot;002B3DC3&quot;/&gt;&lt;wsp:rsid wsp:val=&quot;002B4A9D&quot;/&gt;&lt;wsp:rsid wsp:val=&quot;002B59BA&quot;/&gt;&lt;wsp:rsid wsp:val=&quot;002B61CB&quot;/&gt;&lt;wsp:rsid wsp:val=&quot;002B6C29&quot;/&gt;&lt;wsp:rsid wsp:val=&quot;002B72CA&quot;/&gt;&lt;wsp:rsid wsp:val=&quot;002C023A&quot;/&gt;&lt;wsp:rsid wsp:val=&quot;002C05F1&quot;/&gt;&lt;wsp:rsid wsp:val=&quot;002C122F&quot;/&gt;&lt;wsp:rsid wsp:val=&quot;002C184D&quot;/&gt;&lt;wsp:rsid wsp:val=&quot;002C1EA0&quot;/&gt;&lt;wsp:rsid wsp:val=&quot;002C2496&quot;/&gt;&lt;wsp:rsid wsp:val=&quot;002C2783&quot;/&gt;&lt;wsp:rsid wsp:val=&quot;002C2F6B&quot;/&gt;&lt;wsp:rsid wsp:val=&quot;002C357A&quot;/&gt;&lt;wsp:rsid wsp:val=&quot;002C4AE9&quot;/&gt;&lt;wsp:rsid wsp:val=&quot;002C4F23&quot;/&gt;&lt;wsp:rsid wsp:val=&quot;002C5EDD&quot;/&gt;&lt;wsp:rsid wsp:val=&quot;002C600E&quot;/&gt;&lt;wsp:rsid wsp:val=&quot;002C7248&quot;/&gt;&lt;wsp:rsid wsp:val=&quot;002C7FAF&quot;/&gt;&lt;wsp:rsid wsp:val=&quot;002D1777&quot;/&gt;&lt;wsp:rsid wsp:val=&quot;002D2016&quot;/&gt;&lt;wsp:rsid wsp:val=&quot;002D372D&quot;/&gt;&lt;wsp:rsid wsp:val=&quot;002D3C53&quot;/&gt;&lt;wsp:rsid wsp:val=&quot;002D43C8&quot;/&gt;&lt;wsp:rsid wsp:val=&quot;002D4704&quot;/&gt;&lt;wsp:rsid wsp:val=&quot;002D70E0&quot;/&gt;&lt;wsp:rsid wsp:val=&quot;002E0C8C&quot;/&gt;&lt;wsp:rsid wsp:val=&quot;002E0E6A&quot;/&gt;&lt;wsp:rsid wsp:val=&quot;002E1268&quot;/&gt;&lt;wsp:rsid wsp:val=&quot;002E12A2&quot;/&gt;&lt;wsp:rsid wsp:val=&quot;002E2372&quot;/&gt;&lt;wsp:rsid wsp:val=&quot;002E23F0&quot;/&gt;&lt;wsp:rsid wsp:val=&quot;002E399A&quot;/&gt;&lt;wsp:rsid wsp:val=&quot;002E3ED8&quot;/&gt;&lt;wsp:rsid wsp:val=&quot;002E4340&quot;/&gt;&lt;wsp:rsid wsp:val=&quot;002E56AA&quot;/&gt;&lt;wsp:rsid wsp:val=&quot;002E6349&quot;/&gt;&lt;wsp:rsid wsp:val=&quot;002E63EC&quot;/&gt;&lt;wsp:rsid wsp:val=&quot;002E6E67&quot;/&gt;&lt;wsp:rsid wsp:val=&quot;002E7235&quot;/&gt;&lt;wsp:rsid wsp:val=&quot;002F08AE&quot;/&gt;&lt;wsp:rsid wsp:val=&quot;002F1AF5&quot;/&gt;&lt;wsp:rsid wsp:val=&quot;002F34AE&quot;/&gt;&lt;wsp:rsid wsp:val=&quot;002F3B14&quot;/&gt;&lt;wsp:rsid wsp:val=&quot;002F579D&quot;/&gt;&lt;wsp:rsid wsp:val=&quot;002F5E51&quot;/&gt;&lt;wsp:rsid wsp:val=&quot;002F5F85&quot;/&gt;&lt;wsp:rsid wsp:val=&quot;002F76FE&quot;/&gt;&lt;wsp:rsid wsp:val=&quot;00300B18&quot;/&gt;&lt;wsp:rsid wsp:val=&quot;00300FC9&quot;/&gt;&lt;wsp:rsid wsp:val=&quot;0030115D&quot;/&gt;&lt;wsp:rsid wsp:val=&quot;003021D7&quot;/&gt;&lt;wsp:rsid wsp:val=&quot;00302676&quot;/&gt;&lt;wsp:rsid wsp:val=&quot;00302A61&quot;/&gt;&lt;wsp:rsid wsp:val=&quot;00302B30&quot;/&gt;&lt;wsp:rsid wsp:val=&quot;00302C3B&quot;/&gt;&lt;wsp:rsid wsp:val=&quot;003040FD&quot;/&gt;&lt;wsp:rsid wsp:val=&quot;00305215&quot;/&gt;&lt;wsp:rsid wsp:val=&quot;003054A9&quot;/&gt;&lt;wsp:rsid wsp:val=&quot;0030565F&quot;/&gt;&lt;wsp:rsid wsp:val=&quot;0030589C&quot;/&gt;&lt;wsp:rsid wsp:val=&quot;00306293&quot;/&gt;&lt;wsp:rsid wsp:val=&quot;0030688C&quot;/&gt;&lt;wsp:rsid wsp:val=&quot;00306FFF&quot;/&gt;&lt;wsp:rsid wsp:val=&quot;003101ED&quot;/&gt;&lt;wsp:rsid wsp:val=&quot;00311058&quot;/&gt;&lt;wsp:rsid wsp:val=&quot;00311650&quot;/&gt;&lt;wsp:rsid wsp:val=&quot;00311E55&quot;/&gt;&lt;wsp:rsid wsp:val=&quot;0031253D&quot;/&gt;&lt;wsp:rsid wsp:val=&quot;003125BB&quot;/&gt;&lt;wsp:rsid wsp:val=&quot;00313371&quot;/&gt;&lt;wsp:rsid wsp:val=&quot;003142BB&quot;/&gt;&lt;wsp:rsid wsp:val=&quot;00314B8D&quot;/&gt;&lt;wsp:rsid wsp:val=&quot;00314BFE&quot;/&gt;&lt;wsp:rsid wsp:val=&quot;00315302&quot;/&gt;&lt;wsp:rsid wsp:val=&quot;003154D5&quot;/&gt;&lt;wsp:rsid wsp:val=&quot;0031722D&quot;/&gt;&lt;wsp:rsid wsp:val=&quot;00320345&quot;/&gt;&lt;wsp:rsid wsp:val=&quot;0032122A&quot;/&gt;&lt;wsp:rsid wsp:val=&quot;00321CF2&quot;/&gt;&lt;wsp:rsid wsp:val=&quot;00321F11&quot;/&gt;&lt;wsp:rsid wsp:val=&quot;0032230F&quot;/&gt;&lt;wsp:rsid wsp:val=&quot;00322BCC&quot;/&gt;&lt;wsp:rsid wsp:val=&quot;00323252&quot;/&gt;&lt;wsp:rsid wsp:val=&quot;00323DC5&quot;/&gt;&lt;wsp:rsid wsp:val=&quot;0032447B&quot;/&gt;&lt;wsp:rsid wsp:val=&quot;003247CC&quot;/&gt;&lt;wsp:rsid wsp:val=&quot;00324D9C&quot;/&gt;&lt;wsp:rsid wsp:val=&quot;00325F7A&quot;/&gt;&lt;wsp:rsid wsp:val=&quot;00326A98&quot;/&gt;&lt;wsp:rsid wsp:val=&quot;0032740D&quot;/&gt;&lt;wsp:rsid wsp:val=&quot;003300E1&quot;/&gt;&lt;wsp:rsid wsp:val=&quot;003305BA&quot;/&gt;&lt;wsp:rsid wsp:val=&quot;00332324&quot;/&gt;&lt;wsp:rsid wsp:val=&quot;00332F73&quot;/&gt;&lt;wsp:rsid wsp:val=&quot;00333072&quot;/&gt;&lt;wsp:rsid wsp:val=&quot;0033368D&quot;/&gt;&lt;wsp:rsid wsp:val=&quot;003338F6&quot;/&gt;&lt;wsp:rsid wsp:val=&quot;003339E0&quot;/&gt;&lt;wsp:rsid wsp:val=&quot;00333A1B&quot;/&gt;&lt;wsp:rsid wsp:val=&quot;00334EA0&quot;/&gt;&lt;wsp:rsid wsp:val=&quot;00335462&quot;/&gt;&lt;wsp:rsid wsp:val=&quot;00335692&quot;/&gt;&lt;wsp:rsid wsp:val=&quot;0033647F&quot;/&gt;&lt;wsp:rsid wsp:val=&quot;00336807&quot;/&gt;&lt;wsp:rsid wsp:val=&quot;00337235&quot;/&gt;&lt;wsp:rsid wsp:val=&quot;00337EE2&quot;/&gt;&lt;wsp:rsid wsp:val=&quot;00337F46&quot;/&gt;&lt;wsp:rsid wsp:val=&quot;00340262&quot;/&gt;&lt;wsp:rsid wsp:val=&quot;003410A9&quot;/&gt;&lt;wsp:rsid wsp:val=&quot;00341A71&quot;/&gt;&lt;wsp:rsid wsp:val=&quot;00342903&quot;/&gt;&lt;wsp:rsid wsp:val=&quot;00343C20&quot;/&gt;&lt;wsp:rsid wsp:val=&quot;00344221&quot;/&gt;&lt;wsp:rsid wsp:val=&quot;00344325&quot;/&gt;&lt;wsp:rsid wsp:val=&quot;00344A6B&quot;/&gt;&lt;wsp:rsid wsp:val=&quot;003454A0&quot;/&gt;&lt;wsp:rsid wsp:val=&quot;00346519&quot;/&gt;&lt;wsp:rsid wsp:val=&quot;003468EB&quot;/&gt;&lt;wsp:rsid wsp:val=&quot;003477C6&quot;/&gt;&lt;wsp:rsid wsp:val=&quot;00350669&quot;/&gt;&lt;wsp:rsid wsp:val=&quot;00350684&quot;/&gt;&lt;wsp:rsid wsp:val=&quot;00350829&quot;/&gt;&lt;wsp:rsid wsp:val=&quot;00350877&quot;/&gt;&lt;wsp:rsid wsp:val=&quot;00351953&quot;/&gt;&lt;wsp:rsid wsp:val=&quot;00351C21&quot;/&gt;&lt;wsp:rsid wsp:val=&quot;003521A6&quot;/&gt;&lt;wsp:rsid wsp:val=&quot;00353709&quot;/&gt;&lt;wsp:rsid wsp:val=&quot;003548EB&quot;/&gt;&lt;wsp:rsid wsp:val=&quot;00355A2A&quot;/&gt;&lt;wsp:rsid wsp:val=&quot;0035613C&quot;/&gt;&lt;wsp:rsid wsp:val=&quot;0035669E&quot;/&gt;&lt;wsp:rsid wsp:val=&quot;00356BDE&quot;/&gt;&lt;wsp:rsid wsp:val=&quot;003579A6&quot;/&gt;&lt;wsp:rsid wsp:val=&quot;00357E9A&quot;/&gt;&lt;wsp:rsid wsp:val=&quot;00360436&quot;/&gt;&lt;wsp:rsid wsp:val=&quot;00360F5F&quot;/&gt;&lt;wsp:rsid wsp:val=&quot;00360FCB&quot;/&gt;&lt;wsp:rsid wsp:val=&quot;00364D59&quot;/&gt;&lt;wsp:rsid wsp:val=&quot;003651C8&quot;/&gt;&lt;wsp:rsid wsp:val=&quot;00365600&quot;/&gt;&lt;wsp:rsid wsp:val=&quot;00365703&quot;/&gt;&lt;wsp:rsid wsp:val=&quot;003657EA&quot;/&gt;&lt;wsp:rsid wsp:val=&quot;00365A13&quot;/&gt;&lt;wsp:rsid wsp:val=&quot;00367122&quot;/&gt;&lt;wsp:rsid wsp:val=&quot;003673F7&quot;/&gt;&lt;wsp:rsid wsp:val=&quot;0036782F&quot;/&gt;&lt;wsp:rsid wsp:val=&quot;003702E2&quot;/&gt;&lt;wsp:rsid wsp:val=&quot;00370A54&quot;/&gt;&lt;wsp:rsid wsp:val=&quot;00371991&quot;/&gt;&lt;wsp:rsid wsp:val=&quot;0037220F&quot;/&gt;&lt;wsp:rsid wsp:val=&quot;00372321&quot;/&gt;&lt;wsp:rsid wsp:val=&quot;00372D69&quot;/&gt;&lt;wsp:rsid wsp:val=&quot;00372F3A&quot;/&gt;&lt;wsp:rsid wsp:val=&quot;00373C7D&quot;/&gt;&lt;wsp:rsid wsp:val=&quot;00373E09&quot;/&gt;&lt;wsp:rsid wsp:val=&quot;00373E48&quot;/&gt;&lt;wsp:rsid wsp:val=&quot;0037583F&quot;/&gt;&lt;wsp:rsid wsp:val=&quot;00375A7C&quot;/&gt;&lt;wsp:rsid wsp:val=&quot;00377325&quot;/&gt;&lt;wsp:rsid wsp:val=&quot;00380001&quot;/&gt;&lt;wsp:rsid wsp:val=&quot;0038002F&quot;/&gt;&lt;wsp:rsid wsp:val=&quot;00382932&quot;/&gt;&lt;wsp:rsid wsp:val=&quot;00382EEE&quot;/&gt;&lt;wsp:rsid wsp:val=&quot;0038429F&quot;/&gt;&lt;wsp:rsid wsp:val=&quot;0038470A&quot;/&gt;&lt;wsp:rsid wsp:val=&quot;00384979&quot;/&gt;&lt;wsp:rsid wsp:val=&quot;00384C95&quot;/&gt;&lt;wsp:rsid wsp:val=&quot;00384D40&quot;/&gt;&lt;wsp:rsid wsp:val=&quot;0038565E&quot;/&gt;&lt;wsp:rsid wsp:val=&quot;00385A70&quot;/&gt;&lt;wsp:rsid wsp:val=&quot;0038631A&quot;/&gt;&lt;wsp:rsid wsp:val=&quot;003864C6&quot;/&gt;&lt;wsp:rsid wsp:val=&quot;00386EAD&quot;/&gt;&lt;wsp:rsid wsp:val=&quot;00387A2A&quot;/&gt;&lt;wsp:rsid wsp:val=&quot;00387B06&quot;/&gt;&lt;wsp:rsid wsp:val=&quot;00387E0D&quot;/&gt;&lt;wsp:rsid wsp:val=&quot;00387FCD&quot;/&gt;&lt;wsp:rsid wsp:val=&quot;003916C7&quot;/&gt;&lt;wsp:rsid wsp:val=&quot;003918F6&quot;/&gt;&lt;wsp:rsid wsp:val=&quot;00392757&quot;/&gt;&lt;wsp:rsid wsp:val=&quot;003930BB&quot;/&gt;&lt;wsp:rsid wsp:val=&quot;00393743&quot;/&gt;&lt;wsp:rsid wsp:val=&quot;00393C5B&quot;/&gt;&lt;wsp:rsid wsp:val=&quot;00393EF4&quot;/&gt;&lt;wsp:rsid wsp:val=&quot;0039542E&quot;/&gt;&lt;wsp:rsid wsp:val=&quot;00396556&quot;/&gt;&lt;wsp:rsid wsp:val=&quot;003969A8&quot;/&gt;&lt;wsp:rsid wsp:val=&quot;00396A23&quot;/&gt;&lt;wsp:rsid wsp:val=&quot;00397533&quot;/&gt;&lt;wsp:rsid wsp:val=&quot;003A139D&quot;/&gt;&lt;wsp:rsid wsp:val=&quot;003A16D0&quot;/&gt;&lt;wsp:rsid wsp:val=&quot;003A1CC2&quot;/&gt;&lt;wsp:rsid wsp:val=&quot;003A1DD4&quot;/&gt;&lt;wsp:rsid wsp:val=&quot;003A3F08&quot;/&gt;&lt;wsp:rsid wsp:val=&quot;003A469D&quot;/&gt;&lt;wsp:rsid wsp:val=&quot;003A480E&quot;/&gt;&lt;wsp:rsid wsp:val=&quot;003A5165&quot;/&gt;&lt;wsp:rsid wsp:val=&quot;003A5492&quot;/&gt;&lt;wsp:rsid wsp:val=&quot;003A6962&quot;/&gt;&lt;wsp:rsid wsp:val=&quot;003A6964&quot;/&gt;&lt;wsp:rsid wsp:val=&quot;003B0967&quot;/&gt;&lt;wsp:rsid wsp:val=&quot;003B2519&quot;/&gt;&lt;wsp:rsid wsp:val=&quot;003B3E3C&quot;/&gt;&lt;wsp:rsid wsp:val=&quot;003B46B4&quot;/&gt;&lt;wsp:rsid wsp:val=&quot;003B49A8&quot;/&gt;&lt;wsp:rsid wsp:val=&quot;003B4B60&quot;/&gt;&lt;wsp:rsid wsp:val=&quot;003B57E2&quot;/&gt;&lt;wsp:rsid wsp:val=&quot;003B6330&quot;/&gt;&lt;wsp:rsid wsp:val=&quot;003B6416&quot;/&gt;&lt;wsp:rsid wsp:val=&quot;003B7818&quot;/&gt;&lt;wsp:rsid wsp:val=&quot;003C01E7&quot;/&gt;&lt;wsp:rsid wsp:val=&quot;003C148E&quot;/&gt;&lt;wsp:rsid wsp:val=&quot;003C164B&quot;/&gt;&lt;wsp:rsid wsp:val=&quot;003C1C45&quot;/&gt;&lt;wsp:rsid wsp:val=&quot;003C271C&quot;/&gt;&lt;wsp:rsid wsp:val=&quot;003C2907&quot;/&gt;&lt;wsp:rsid wsp:val=&quot;003C2F96&quot;/&gt;&lt;wsp:rsid wsp:val=&quot;003C30A9&quot;/&gt;&lt;wsp:rsid wsp:val=&quot;003C3290&quot;/&gt;&lt;wsp:rsid wsp:val=&quot;003C33C5&quot;/&gt;&lt;wsp:rsid wsp:val=&quot;003C3C76&quot;/&gt;&lt;wsp:rsid wsp:val=&quot;003C4296&quot;/&gt;&lt;wsp:rsid wsp:val=&quot;003C4CE8&quot;/&gt;&lt;wsp:rsid wsp:val=&quot;003C5654&quot;/&gt;&lt;wsp:rsid wsp:val=&quot;003C566F&quot;/&gt;&lt;wsp:rsid wsp:val=&quot;003C590D&quot;/&gt;&lt;wsp:rsid wsp:val=&quot;003C5DE7&quot;/&gt;&lt;wsp:rsid wsp:val=&quot;003C7E79&quot;/&gt;&lt;wsp:rsid wsp:val=&quot;003D066D&quot;/&gt;&lt;wsp:rsid wsp:val=&quot;003D1786&quot;/&gt;&lt;wsp:rsid wsp:val=&quot;003D1A22&quot;/&gt;&lt;wsp:rsid wsp:val=&quot;003D1C30&quot;/&gt;&lt;wsp:rsid wsp:val=&quot;003D1F46&quot;/&gt;&lt;wsp:rsid wsp:val=&quot;003D3C2F&quot;/&gt;&lt;wsp:rsid wsp:val=&quot;003D3FAA&quot;/&gt;&lt;wsp:rsid wsp:val=&quot;003D42B5&quot;/&gt;&lt;wsp:rsid wsp:val=&quot;003D4BE3&quot;/&gt;&lt;wsp:rsid wsp:val=&quot;003D5A5B&quot;/&gt;&lt;wsp:rsid wsp:val=&quot;003D5FBB&quot;/&gt;&lt;wsp:rsid wsp:val=&quot;003D5FC0&quot;/&gt;&lt;wsp:rsid wsp:val=&quot;003D666D&quot;/&gt;&lt;wsp:rsid wsp:val=&quot;003D6DB1&quot;/&gt;&lt;wsp:rsid wsp:val=&quot;003D735A&quot;/&gt;&lt;wsp:rsid wsp:val=&quot;003E0015&quot;/&gt;&lt;wsp:rsid wsp:val=&quot;003E0157&quot;/&gt;&lt;wsp:rsid wsp:val=&quot;003E033E&quot;/&gt;&lt;wsp:rsid wsp:val=&quot;003E0AAA&quot;/&gt;&lt;wsp:rsid wsp:val=&quot;003E2057&quot;/&gt;&lt;wsp:rsid wsp:val=&quot;003E2BC7&quot;/&gt;&lt;wsp:rsid wsp:val=&quot;003E4581&quot;/&gt;&lt;wsp:rsid wsp:val=&quot;003E66E5&quot;/&gt;&lt;wsp:rsid wsp:val=&quot;003E6D3B&quot;/&gt;&lt;wsp:rsid wsp:val=&quot;003E7DBA&quot;/&gt;&lt;wsp:rsid wsp:val=&quot;003F123A&quot;/&gt;&lt;wsp:rsid wsp:val=&quot;003F1BCF&quot;/&gt;&lt;wsp:rsid wsp:val=&quot;003F27A2&quot;/&gt;&lt;wsp:rsid wsp:val=&quot;003F336B&quot;/&gt;&lt;wsp:rsid wsp:val=&quot;003F3973&quot;/&gt;&lt;wsp:rsid wsp:val=&quot;003F4402&quot;/&gt;&lt;wsp:rsid wsp:val=&quot;003F54C1&quot;/&gt;&lt;wsp:rsid wsp:val=&quot;003F642C&quot;/&gt;&lt;wsp:rsid wsp:val=&quot;004002EB&quot;/&gt;&lt;wsp:rsid wsp:val=&quot;004009EA&quot;/&gt;&lt;wsp:rsid wsp:val=&quot;00400CBF&quot;/&gt;&lt;wsp:rsid wsp:val=&quot;00401252&quot;/&gt;&lt;wsp:rsid wsp:val=&quot;0040285E&quot;/&gt;&lt;wsp:rsid wsp:val=&quot;00404645&quot;/&gt;&lt;wsp:rsid wsp:val=&quot;00406F64&quot;/&gt;&lt;wsp:rsid wsp:val=&quot;00407D49&quot;/&gt;&lt;wsp:rsid wsp:val=&quot;0041025D&quot;/&gt;&lt;wsp:rsid wsp:val=&quot;00411EB8&quot;/&gt;&lt;wsp:rsid wsp:val=&quot;0041237A&quot;/&gt;&lt;wsp:rsid wsp:val=&quot;00412EEF&quot;/&gt;&lt;wsp:rsid wsp:val=&quot;004131E1&quot;/&gt;&lt;wsp:rsid wsp:val=&quot;004134D6&quot;/&gt;&lt;wsp:rsid wsp:val=&quot;00413821&quot;/&gt;&lt;wsp:rsid wsp:val=&quot;00414246&quot;/&gt;&lt;wsp:rsid wsp:val=&quot;0041472E&quot;/&gt;&lt;wsp:rsid wsp:val=&quot;00415CD2&quot;/&gt;&lt;wsp:rsid wsp:val=&quot;004160CB&quot;/&gt;&lt;wsp:rsid wsp:val=&quot;00416E15&quot;/&gt;&lt;wsp:rsid wsp:val=&quot;00416E69&quot;/&gt;&lt;wsp:rsid wsp:val=&quot;00416F2A&quot;/&gt;&lt;wsp:rsid wsp:val=&quot;004175FB&quot;/&gt;&lt;wsp:rsid wsp:val=&quot;00420235&quot;/&gt;&lt;wsp:rsid wsp:val=&quot;00420D6F&quot;/&gt;&lt;wsp:rsid wsp:val=&quot;00420D8C&quot;/&gt;&lt;wsp:rsid wsp:val=&quot;004223A3&quot;/&gt;&lt;wsp:rsid wsp:val=&quot;004225FC&quot;/&gt;&lt;wsp:rsid wsp:val=&quot;00422E6F&quot;/&gt;&lt;wsp:rsid wsp:val=&quot;00423FD5&quot;/&gt;&lt;wsp:rsid wsp:val=&quot;0042422C&quot;/&gt;&lt;wsp:rsid wsp:val=&quot;00424384&quot;/&gt;&lt;wsp:rsid wsp:val=&quot;004244F3&quot;/&gt;&lt;wsp:rsid wsp:val=&quot;00426930&quot;/&gt;&lt;wsp:rsid wsp:val=&quot;00431B5A&quot;/&gt;&lt;wsp:rsid wsp:val=&quot;00432308&quot;/&gt;&lt;wsp:rsid wsp:val=&quot;0043325C&quot;/&gt;&lt;wsp:rsid wsp:val=&quot;0043374F&quot;/&gt;&lt;wsp:rsid wsp:val=&quot;00433EE9&quot;/&gt;&lt;wsp:rsid wsp:val=&quot;0043471D&quot;/&gt;&lt;wsp:rsid wsp:val=&quot;0043512D&quot;/&gt;&lt;wsp:rsid wsp:val=&quot;0043526A&quot;/&gt;&lt;wsp:rsid wsp:val=&quot;00435707&quot;/&gt;&lt;wsp:rsid wsp:val=&quot;00435FF9&quot;/&gt;&lt;wsp:rsid wsp:val=&quot;00436259&quot;/&gt;&lt;wsp:rsid wsp:val=&quot;00436BCA&quot;/&gt;&lt;wsp:rsid wsp:val=&quot;0043740F&quot;/&gt;&lt;wsp:rsid wsp:val=&quot;00440CE6&quot;/&gt;&lt;wsp:rsid wsp:val=&quot;0044100E&quot;/&gt;&lt;wsp:rsid wsp:val=&quot;004413E2&quot;/&gt;&lt;wsp:rsid wsp:val=&quot;004427B7&quot;/&gt;&lt;wsp:rsid wsp:val=&quot;00442CF4&quot;/&gt;&lt;wsp:rsid wsp:val=&quot;00443389&quot;/&gt;&lt;wsp:rsid wsp:val=&quot;004439EA&quot;/&gt;&lt;wsp:rsid wsp:val=&quot;00443C86&quot;/&gt;&lt;wsp:rsid wsp:val=&quot;00444389&quot;/&gt;&lt;wsp:rsid wsp:val=&quot;00444B95&quot;/&gt;&lt;wsp:rsid wsp:val=&quot;00445A58&quot;/&gt;&lt;wsp:rsid wsp:val=&quot;0044669E&quot;/&gt;&lt;wsp:rsid wsp:val=&quot;00446D82&quot;/&gt;&lt;wsp:rsid wsp:val=&quot;00450C77&quot;/&gt;&lt;wsp:rsid wsp:val=&quot;00451544&quot;/&gt;&lt;wsp:rsid wsp:val=&quot;004518EF&quot;/&gt;&lt;wsp:rsid wsp:val=&quot;00451E6F&quot;/&gt;&lt;wsp:rsid wsp:val=&quot;00453AE7&quot;/&gt;&lt;wsp:rsid wsp:val=&quot;0045431E&quot;/&gt;&lt;wsp:rsid wsp:val=&quot;0045509D&quot;/&gt;&lt;wsp:rsid wsp:val=&quot;004556A5&quot;/&gt;&lt;wsp:rsid wsp:val=&quot;004556FF&quot;/&gt;&lt;wsp:rsid wsp:val=&quot;004557B4&quot;/&gt;&lt;wsp:rsid wsp:val=&quot;00455D55&quot;/&gt;&lt;wsp:rsid wsp:val=&quot;0045635D&quot;/&gt;&lt;wsp:rsid wsp:val=&quot;00456B5F&quot;/&gt;&lt;wsp:rsid wsp:val=&quot;00457A85&quot;/&gt;&lt;wsp:rsid wsp:val=&quot;00460369&quot;/&gt;&lt;wsp:rsid wsp:val=&quot;004609C3&quot;/&gt;&lt;wsp:rsid wsp:val=&quot;00460C62&quot;/&gt;&lt;wsp:rsid wsp:val=&quot;00462290&quot;/&gt;&lt;wsp:rsid wsp:val=&quot;004622D7&quot;/&gt;&lt;wsp:rsid wsp:val=&quot;0046311E&quot;/&gt;&lt;wsp:rsid wsp:val=&quot;0046334B&quot;/&gt;&lt;wsp:rsid wsp:val=&quot;00463AD6&quot;/&gt;&lt;wsp:rsid wsp:val=&quot;00463FB5&quot;/&gt;&lt;wsp:rsid wsp:val=&quot;00465E1A&quot;/&gt;&lt;wsp:rsid wsp:val=&quot;0046644A&quot;/&gt;&lt;wsp:rsid wsp:val=&quot;004665AD&quot;/&gt;&lt;wsp:rsid wsp:val=&quot;00466632&quot;/&gt;&lt;wsp:rsid wsp:val=&quot;004670E6&quot;/&gt;&lt;wsp:rsid wsp:val=&quot;00467CDE&quot;/&gt;&lt;wsp:rsid wsp:val=&quot;00470309&quot;/&gt;&lt;wsp:rsid wsp:val=&quot;00470620&quot;/&gt;&lt;wsp:rsid wsp:val=&quot;004712DC&quot;/&gt;&lt;wsp:rsid wsp:val=&quot;0047147F&quot;/&gt;&lt;wsp:rsid wsp:val=&quot;00471D39&quot;/&gt;&lt;wsp:rsid wsp:val=&quot;004724A5&quot;/&gt;&lt;wsp:rsid wsp:val=&quot;00472565&quot;/&gt;&lt;wsp:rsid wsp:val=&quot;00472C78&quot;/&gt;&lt;wsp:rsid wsp:val=&quot;004736E2&quot;/&gt;&lt;wsp:rsid wsp:val=&quot;0047482A&quot;/&gt;&lt;wsp:rsid wsp:val=&quot;004748D0&quot;/&gt;&lt;wsp:rsid wsp:val=&quot;0047531C&quot;/&gt;&lt;wsp:rsid wsp:val=&quot;00475BB3&quot;/&gt;&lt;wsp:rsid wsp:val=&quot;00476647&quot;/&gt;&lt;wsp:rsid wsp:val=&quot;004768B6&quot;/&gt;&lt;wsp:rsid wsp:val=&quot;00476FC6&quot;/&gt;&lt;wsp:rsid wsp:val=&quot;00477331&quot;/&gt;&lt;wsp:rsid wsp:val=&quot;004803AE&quot;/&gt;&lt;wsp:rsid wsp:val=&quot;004816BF&quot;/&gt;&lt;wsp:rsid wsp:val=&quot;004817C1&quot;/&gt;&lt;wsp:rsid wsp:val=&quot;00483AEA&quot;/&gt;&lt;wsp:rsid wsp:val=&quot;00483CDC&quot;/&gt;&lt;wsp:rsid wsp:val=&quot;00485C64&quot;/&gt;&lt;wsp:rsid wsp:val=&quot;004867C2&quot;/&gt;&lt;wsp:rsid wsp:val=&quot;004868CF&quot;/&gt;&lt;wsp:rsid wsp:val=&quot;00486D36&quot;/&gt;&lt;wsp:rsid wsp:val=&quot;0048761F&quot;/&gt;&lt;wsp:rsid wsp:val=&quot;004879BC&quot;/&gt;&lt;wsp:rsid wsp:val=&quot;00487B52&quot;/&gt;&lt;wsp:rsid wsp:val=&quot;00490D61&quot;/&gt;&lt;wsp:rsid wsp:val=&quot;004915BB&quot;/&gt;&lt;wsp:rsid wsp:val=&quot;00492328&quot;/&gt;&lt;wsp:rsid wsp:val=&quot;00492B7F&quot;/&gt;&lt;wsp:rsid wsp:val=&quot;00492BAB&quot;/&gt;&lt;wsp:rsid wsp:val=&quot;0049355C&quot;/&gt;&lt;wsp:rsid wsp:val=&quot;0049376F&quot;/&gt;&lt;wsp:rsid wsp:val=&quot;00494373&quot;/&gt;&lt;wsp:rsid wsp:val=&quot;004945E1&quot;/&gt;&lt;wsp:rsid wsp:val=&quot;004954E8&quot;/&gt;&lt;wsp:rsid wsp:val=&quot;004959CF&quot;/&gt;&lt;wsp:rsid wsp:val=&quot;00495AD7&quot;/&gt;&lt;wsp:rsid wsp:val=&quot;00495DD1&quot;/&gt;&lt;wsp:rsid wsp:val=&quot;004960FC&quot;/&gt;&lt;wsp:rsid wsp:val=&quot;004961A9&quot;/&gt;&lt;wsp:rsid wsp:val=&quot;0049728A&quot;/&gt;&lt;wsp:rsid wsp:val=&quot;00497998&quot;/&gt;&lt;wsp:rsid wsp:val=&quot;00497FC4&quot;/&gt;&lt;wsp:rsid wsp:val=&quot;004A0039&quot;/&gt;&lt;wsp:rsid wsp:val=&quot;004A0501&quot;/&gt;&lt;wsp:rsid wsp:val=&quot;004A1CF0&quot;/&gt;&lt;wsp:rsid wsp:val=&quot;004A2906&quot;/&gt;&lt;wsp:rsid wsp:val=&quot;004A2DA6&quot;/&gt;&lt;wsp:rsid wsp:val=&quot;004A2DAD&quot;/&gt;&lt;wsp:rsid wsp:val=&quot;004A3E83&quot;/&gt;&lt;wsp:rsid wsp:val=&quot;004A543D&quot;/&gt;&lt;wsp:rsid wsp:val=&quot;004A6A70&quot;/&gt;&lt;wsp:rsid wsp:val=&quot;004A78EC&quot;/&gt;&lt;wsp:rsid wsp:val=&quot;004A7BFB&quot;/&gt;&lt;wsp:rsid wsp:val=&quot;004B0069&quot;/&gt;&lt;wsp:rsid wsp:val=&quot;004B0FE5&quot;/&gt;&lt;wsp:rsid wsp:val=&quot;004B1B5F&quot;/&gt;&lt;wsp:rsid wsp:val=&quot;004B29EF&quot;/&gt;&lt;wsp:rsid wsp:val=&quot;004B2E32&quot;/&gt;&lt;wsp:rsid wsp:val=&quot;004B3332&quot;/&gt;&lt;wsp:rsid wsp:val=&quot;004B3514&quot;/&gt;&lt;wsp:rsid wsp:val=&quot;004B6523&quot;/&gt;&lt;wsp:rsid wsp:val=&quot;004B6FB2&quot;/&gt;&lt;wsp:rsid wsp:val=&quot;004B7AE2&quot;/&gt;&lt;wsp:rsid wsp:val=&quot;004B7ED3&quot;/&gt;&lt;wsp:rsid wsp:val=&quot;004C18F2&quot;/&gt;&lt;wsp:rsid wsp:val=&quot;004C248A&quot;/&gt;&lt;wsp:rsid wsp:val=&quot;004C2C45&quot;/&gt;&lt;wsp:rsid wsp:val=&quot;004C3170&quot;/&gt;&lt;wsp:rsid wsp:val=&quot;004C354E&quot;/&gt;&lt;wsp:rsid wsp:val=&quot;004C3A82&quot;/&gt;&lt;wsp:rsid wsp:val=&quot;004C3DFF&quot;/&gt;&lt;wsp:rsid wsp:val=&quot;004C41C8&quot;/&gt;&lt;wsp:rsid wsp:val=&quot;004C43C2&quot;/&gt;&lt;wsp:rsid wsp:val=&quot;004C4485&quot;/&gt;&lt;wsp:rsid wsp:val=&quot;004C4D9A&quot;/&gt;&lt;wsp:rsid wsp:val=&quot;004C69A3&quot;/&gt;&lt;wsp:rsid wsp:val=&quot;004C77B4&quot;/&gt;&lt;wsp:rsid wsp:val=&quot;004C785D&quot;/&gt;&lt;wsp:rsid wsp:val=&quot;004C7FD0&quot;/&gt;&lt;wsp:rsid wsp:val=&quot;004D0DC6&quot;/&gt;&lt;wsp:rsid wsp:val=&quot;004D1118&quot;/&gt;&lt;wsp:rsid wsp:val=&quot;004D1622&quot;/&gt;&lt;wsp:rsid wsp:val=&quot;004D2C5E&quot;/&gt;&lt;wsp:rsid wsp:val=&quot;004D2D0F&quot;/&gt;&lt;wsp:rsid wsp:val=&quot;004D2D64&quot;/&gt;&lt;wsp:rsid wsp:val=&quot;004D31C2&quot;/&gt;&lt;wsp:rsid wsp:val=&quot;004D325E&quot;/&gt;&lt;wsp:rsid wsp:val=&quot;004D3551&quot;/&gt;&lt;wsp:rsid wsp:val=&quot;004D3660&quot;/&gt;&lt;wsp:rsid wsp:val=&quot;004D3B47&quot;/&gt;&lt;wsp:rsid wsp:val=&quot;004D5A9D&quot;/&gt;&lt;wsp:rsid wsp:val=&quot;004D5AC3&quot;/&gt;&lt;wsp:rsid wsp:val=&quot;004D68AD&quot;/&gt;&lt;wsp:rsid wsp:val=&quot;004D712A&quot;/&gt;&lt;wsp:rsid wsp:val=&quot;004D7DD1&quot;/&gt;&lt;wsp:rsid wsp:val=&quot;004E04B2&quot;/&gt;&lt;wsp:rsid wsp:val=&quot;004E0684&quot;/&gt;&lt;wsp:rsid wsp:val=&quot;004E09D7&quot;/&gt;&lt;wsp:rsid wsp:val=&quot;004E1AFC&quot;/&gt;&lt;wsp:rsid wsp:val=&quot;004E28F7&quot;/&gt;&lt;wsp:rsid wsp:val=&quot;004E2ABD&quot;/&gt;&lt;wsp:rsid wsp:val=&quot;004E2FE9&quot;/&gt;&lt;wsp:rsid wsp:val=&quot;004E384D&quot;/&gt;&lt;wsp:rsid wsp:val=&quot;004E4E36&quot;/&gt;&lt;wsp:rsid wsp:val=&quot;004E5CEC&quot;/&gt;&lt;wsp:rsid wsp:val=&quot;004E6C8B&quot;/&gt;&lt;wsp:rsid wsp:val=&quot;004E6E55&quot;/&gt;&lt;wsp:rsid wsp:val=&quot;004F022A&quot;/&gt;&lt;wsp:rsid wsp:val=&quot;004F0292&quot;/&gt;&lt;wsp:rsid wsp:val=&quot;004F02EA&quot;/&gt;&lt;wsp:rsid wsp:val=&quot;004F19F3&quot;/&gt;&lt;wsp:rsid wsp:val=&quot;004F2CD8&quot;/&gt;&lt;wsp:rsid wsp:val=&quot;004F409D&quot;/&gt;&lt;wsp:rsid wsp:val=&quot;004F43F0&quot;/&gt;&lt;wsp:rsid wsp:val=&quot;004F49A8&quot;/&gt;&lt;wsp:rsid wsp:val=&quot;004F5881&quot;/&gt;&lt;wsp:rsid wsp:val=&quot;004F5B33&quot;/&gt;&lt;wsp:rsid wsp:val=&quot;004F6532&quot;/&gt;&lt;wsp:rsid wsp:val=&quot;004F6872&quot;/&gt;&lt;wsp:rsid wsp:val=&quot;004F741A&quot;/&gt;&lt;wsp:rsid wsp:val=&quot;00500FE8&quot;/&gt;&lt;wsp:rsid wsp:val=&quot;00501338&quot;/&gt;&lt;wsp:rsid wsp:val=&quot;00501BAD&quot;/&gt;&lt;wsp:rsid wsp:val=&quot;00501BB4&quot;/&gt;&lt;wsp:rsid wsp:val=&quot;00502221&quot;/&gt;&lt;wsp:rsid wsp:val=&quot;00502D61&quot;/&gt;&lt;wsp:rsid wsp:val=&quot;00503D65&quot;/&gt;&lt;wsp:rsid wsp:val=&quot;0050418A&quot;/&gt;&lt;wsp:rsid wsp:val=&quot;00505EA3&quot;/&gt;&lt;wsp:rsid wsp:val=&quot;005061DE&quot;/&gt;&lt;wsp:rsid wsp:val=&quot;0050699B&quot;/&gt;&lt;wsp:rsid wsp:val=&quot;00506A90&quot;/&gt;&lt;wsp:rsid wsp:val=&quot;0050744A&quot;/&gt;&lt;wsp:rsid wsp:val=&quot;00510651&quot;/&gt;&lt;wsp:rsid wsp:val=&quot;00510AAB&quot;/&gt;&lt;wsp:rsid wsp:val=&quot;0051127E&quot;/&gt;&lt;wsp:rsid wsp:val=&quot;00511448&quot;/&gt;&lt;wsp:rsid wsp:val=&quot;005114FC&quot;/&gt;&lt;wsp:rsid wsp:val=&quot;00511730&quot;/&gt;&lt;wsp:rsid wsp:val=&quot;00511A0C&quot;/&gt;&lt;wsp:rsid wsp:val=&quot;00513073&quot;/&gt;&lt;wsp:rsid wsp:val=&quot;0051420F&quot;/&gt;&lt;wsp:rsid wsp:val=&quot;00514334&quot;/&gt;&lt;wsp:rsid wsp:val=&quot;005149A4&quot;/&gt;&lt;wsp:rsid wsp:val=&quot;00514A2E&quot;/&gt;&lt;wsp:rsid wsp:val=&quot;00514B67&quot;/&gt;&lt;wsp:rsid wsp:val=&quot;00514DE9&quot;/&gt;&lt;wsp:rsid wsp:val=&quot;0051513E&quot;/&gt;&lt;wsp:rsid wsp:val=&quot;00515EC9&quot;/&gt;&lt;wsp:rsid wsp:val=&quot;005165A4&quot;/&gt;&lt;wsp:rsid wsp:val=&quot;005169F2&quot;/&gt;&lt;wsp:rsid wsp:val=&quot;00516CD2&quot;/&gt;&lt;wsp:rsid wsp:val=&quot;00516DAC&quot;/&gt;&lt;wsp:rsid wsp:val=&quot;00516F8B&quot;/&gt;&lt;wsp:rsid wsp:val=&quot;005170F6&quot;/&gt;&lt;wsp:rsid wsp:val=&quot;00517453&quot;/&gt;&lt;wsp:rsid wsp:val=&quot;00517994&quot;/&gt;&lt;wsp:rsid wsp:val=&quot;00520BAD&quot;/&gt;&lt;wsp:rsid wsp:val=&quot;00521D9E&quot;/&gt;&lt;wsp:rsid wsp:val=&quot;00522546&quot;/&gt;&lt;wsp:rsid wsp:val=&quot;0052261F&quot;/&gt;&lt;wsp:rsid wsp:val=&quot;005229ED&quot;/&gt;&lt;wsp:rsid wsp:val=&quot;00522DDE&quot;/&gt;&lt;wsp:rsid wsp:val=&quot;00522FC7&quot;/&gt;&lt;wsp:rsid wsp:val=&quot;005249FE&quot;/&gt;&lt;wsp:rsid wsp:val=&quot;00524C7A&quot;/&gt;&lt;wsp:rsid wsp:val=&quot;00525688&quot;/&gt;&lt;wsp:rsid wsp:val=&quot;00525F1C&quot;/&gt;&lt;wsp:rsid wsp:val=&quot;00530218&quot;/&gt;&lt;wsp:rsid wsp:val=&quot;0053091F&quot;/&gt;&lt;wsp:rsid wsp:val=&quot;00533413&quot;/&gt;&lt;wsp:rsid wsp:val=&quot;00533417&quot;/&gt;&lt;wsp:rsid wsp:val=&quot;00533E1C&quot;/&gt;&lt;wsp:rsid wsp:val=&quot;005343FC&quot;/&gt;&lt;wsp:rsid wsp:val=&quot;00534855&quot;/&gt;&lt;wsp:rsid wsp:val=&quot;00534A0B&quot;/&gt;&lt;wsp:rsid wsp:val=&quot;00536449&quot;/&gt;&lt;wsp:rsid wsp:val=&quot;00536B59&quot;/&gt;&lt;wsp:rsid wsp:val=&quot;00540279&quot;/&gt;&lt;wsp:rsid wsp:val=&quot;00541054&quot;/&gt;&lt;wsp:rsid wsp:val=&quot;005414C8&quot;/&gt;&lt;wsp:rsid wsp:val=&quot;00542E4C&quot;/&gt;&lt;wsp:rsid wsp:val=&quot;00542EDE&quot;/&gt;&lt;wsp:rsid wsp:val=&quot;005439E5&quot;/&gt;&lt;wsp:rsid wsp:val=&quot;00543D96&quot;/&gt;&lt;wsp:rsid wsp:val=&quot;005441DC&quot;/&gt;&lt;wsp:rsid wsp:val=&quot;005448A4&quot;/&gt;&lt;wsp:rsid wsp:val=&quot;00545000&quot;/&gt;&lt;wsp:rsid wsp:val=&quot;0054524C&quot;/&gt;&lt;wsp:rsid wsp:val=&quot;0054675D&quot;/&gt;&lt;wsp:rsid wsp:val=&quot;005517C5&quot;/&gt;&lt;wsp:rsid wsp:val=&quot;00552462&quot;/&gt;&lt;wsp:rsid wsp:val=&quot;00552D6C&quot;/&gt;&lt;wsp:rsid wsp:val=&quot;005536EC&quot;/&gt;&lt;wsp:rsid wsp:val=&quot;00553D8C&quot;/&gt;&lt;wsp:rsid wsp:val=&quot;0055616D&quot;/&gt;&lt;wsp:rsid wsp:val=&quot;00556431&quot;/&gt;&lt;wsp:rsid wsp:val=&quot;00557E0C&quot;/&gt;&lt;wsp:rsid wsp:val=&quot;00560B8E&quot;/&gt;&lt;wsp:rsid wsp:val=&quot;00561671&quot;/&gt;&lt;wsp:rsid wsp:val=&quot;00561D14&quot;/&gt;&lt;wsp:rsid wsp:val=&quot;00562456&quot;/&gt;&lt;wsp:rsid wsp:val=&quot;00562FAB&quot;/&gt;&lt;wsp:rsid wsp:val=&quot;00563A17&quot;/&gt;&lt;wsp:rsid wsp:val=&quot;00564E26&quot;/&gt;&lt;wsp:rsid wsp:val=&quot;00564F5E&quot;/&gt;&lt;wsp:rsid wsp:val=&quot;00564F7A&quot;/&gt;&lt;wsp:rsid wsp:val=&quot;0056594C&quot;/&gt;&lt;wsp:rsid wsp:val=&quot;00566C9F&quot;/&gt;&lt;wsp:rsid wsp:val=&quot;005676D7&quot;/&gt;&lt;wsp:rsid wsp:val=&quot;0056778D&quot;/&gt;&lt;wsp:rsid wsp:val=&quot;0057069C&quot;/&gt;&lt;wsp:rsid wsp:val=&quot;005706C8&quot;/&gt;&lt;wsp:rsid wsp:val=&quot;00570987&quot;/&gt;&lt;wsp:rsid wsp:val=&quot;0057219D&quot;/&gt;&lt;wsp:rsid wsp:val=&quot;0057235E&quot;/&gt;&lt;wsp:rsid wsp:val=&quot;005730B0&quot;/&gt;&lt;wsp:rsid wsp:val=&quot;00573F75&quot;/&gt;&lt;wsp:rsid wsp:val=&quot;005740DD&quot;/&gt;&lt;wsp:rsid wsp:val=&quot;00574877&quot;/&gt;&lt;wsp:rsid wsp:val=&quot;005755AF&quot;/&gt;&lt;wsp:rsid wsp:val=&quot;00575C16&quot;/&gt;&lt;wsp:rsid wsp:val=&quot;00576AD7&quot;/&gt;&lt;wsp:rsid wsp:val=&quot;00576E78&quot;/&gt;&lt;wsp:rsid wsp:val=&quot;0057737B&quot;/&gt;&lt;wsp:rsid wsp:val=&quot;00577BD2&quot;/&gt;&lt;wsp:rsid wsp:val=&quot;005801F8&quot;/&gt;&lt;wsp:rsid wsp:val=&quot;0058097A&quot;/&gt;&lt;wsp:rsid wsp:val=&quot;00581B02&quot;/&gt;&lt;wsp:rsid wsp:val=&quot;00582647&quot;/&gt;&lt;wsp:rsid wsp:val=&quot;0058293E&quot;/&gt;&lt;wsp:rsid wsp:val=&quot;005845E0&quot;/&gt;&lt;wsp:rsid wsp:val=&quot;00584DA0&quot;/&gt;&lt;wsp:rsid wsp:val=&quot;00585202&quot;/&gt;&lt;wsp:rsid wsp:val=&quot;00585519&quot;/&gt;&lt;wsp:rsid wsp:val=&quot;0058577D&quot;/&gt;&lt;wsp:rsid wsp:val=&quot;0058601B&quot;/&gt;&lt;wsp:rsid wsp:val=&quot;0058696A&quot;/&gt;&lt;wsp:rsid wsp:val=&quot;005872AF&quot;/&gt;&lt;wsp:rsid wsp:val=&quot;00587659&quot;/&gt;&lt;wsp:rsid wsp:val=&quot;00587DBD&quot;/&gt;&lt;wsp:rsid wsp:val=&quot;00590135&quot;/&gt;&lt;wsp:rsid wsp:val=&quot;005917F9&quot;/&gt;&lt;wsp:rsid wsp:val=&quot;0059295C&quot;/&gt;&lt;wsp:rsid wsp:val=&quot;00592A4D&quot;/&gt;&lt;wsp:rsid wsp:val=&quot;005931B5&quot;/&gt;&lt;wsp:rsid wsp:val=&quot;00593F6E&quot;/&gt;&lt;wsp:rsid wsp:val=&quot;005958D4&quot;/&gt;&lt;wsp:rsid wsp:val=&quot;00595C11&quot;/&gt;&lt;wsp:rsid wsp:val=&quot;00596000&quot;/&gt;&lt;wsp:rsid wsp:val=&quot;005973F2&quot;/&gt;&lt;wsp:rsid wsp:val=&quot;00597B8A&quot;/&gt;&lt;wsp:rsid wsp:val=&quot;005A04E0&quot;/&gt;&lt;wsp:rsid wsp:val=&quot;005A0E7D&quot;/&gt;&lt;wsp:rsid wsp:val=&quot;005A0FC4&quot;/&gt;&lt;wsp:rsid wsp:val=&quot;005A138F&quot;/&gt;&lt;wsp:rsid wsp:val=&quot;005A1795&quot;/&gt;&lt;wsp:rsid wsp:val=&quot;005A1A0A&quot;/&gt;&lt;wsp:rsid wsp:val=&quot;005A204D&quot;/&gt;&lt;wsp:rsid wsp:val=&quot;005A26BD&quot;/&gt;&lt;wsp:rsid wsp:val=&quot;005A5693&quot;/&gt;&lt;wsp:rsid wsp:val=&quot;005A5839&quot;/&gt;&lt;wsp:rsid wsp:val=&quot;005A5856&quot;/&gt;&lt;wsp:rsid wsp:val=&quot;005A75FE&quot;/&gt;&lt;wsp:rsid wsp:val=&quot;005A765F&quot;/&gt;&lt;wsp:rsid wsp:val=&quot;005A7871&quot;/&gt;&lt;wsp:rsid wsp:val=&quot;005A7897&quot;/&gt;&lt;wsp:rsid wsp:val=&quot;005A7E29&quot;/&gt;&lt;wsp:rsid wsp:val=&quot;005B00D3&quot;/&gt;&lt;wsp:rsid wsp:val=&quot;005B1D34&quot;/&gt;&lt;wsp:rsid wsp:val=&quot;005B3A86&quot;/&gt;&lt;wsp:rsid wsp:val=&quot;005B3D94&quot;/&gt;&lt;wsp:rsid wsp:val=&quot;005B4F9C&quot;/&gt;&lt;wsp:rsid wsp:val=&quot;005B55C0&quot;/&gt;&lt;wsp:rsid wsp:val=&quot;005B7463&quot;/&gt;&lt;wsp:rsid wsp:val=&quot;005C0BF6&quot;/&gt;&lt;wsp:rsid wsp:val=&quot;005C0E3B&quot;/&gt;&lt;wsp:rsid wsp:val=&quot;005C128E&quot;/&gt;&lt;wsp:rsid wsp:val=&quot;005C175B&quot;/&gt;&lt;wsp:rsid wsp:val=&quot;005C2C21&quot;/&gt;&lt;wsp:rsid wsp:val=&quot;005C3266&quot;/&gt;&lt;wsp:rsid wsp:val=&quot;005C4825&quot;/&gt;&lt;wsp:rsid wsp:val=&quot;005C5202&quot;/&gt;&lt;wsp:rsid wsp:val=&quot;005C5919&quot;/&gt;&lt;wsp:rsid wsp:val=&quot;005C65B2&quot;/&gt;&lt;wsp:rsid wsp:val=&quot;005C696B&quot;/&gt;&lt;wsp:rsid wsp:val=&quot;005D173E&quot;/&gt;&lt;wsp:rsid wsp:val=&quot;005D29E3&quot;/&gt;&lt;wsp:rsid wsp:val=&quot;005D30DD&quot;/&gt;&lt;wsp:rsid wsp:val=&quot;005D3C05&quot;/&gt;&lt;wsp:rsid wsp:val=&quot;005D53CD&quot;/&gt;&lt;wsp:rsid wsp:val=&quot;005D6552&quot;/&gt;&lt;wsp:rsid wsp:val=&quot;005D6821&quot;/&gt;&lt;wsp:rsid wsp:val=&quot;005D6B63&quot;/&gt;&lt;wsp:rsid wsp:val=&quot;005D7845&quot;/&gt;&lt;wsp:rsid wsp:val=&quot;005D7ABF&quot;/&gt;&lt;wsp:rsid wsp:val=&quot;005E078F&quot;/&gt;&lt;wsp:rsid wsp:val=&quot;005E0B5E&quot;/&gt;&lt;wsp:rsid wsp:val=&quot;005E183F&quot;/&gt;&lt;wsp:rsid wsp:val=&quot;005E1D74&quot;/&gt;&lt;wsp:rsid wsp:val=&quot;005E204A&quot;/&gt;&lt;wsp:rsid wsp:val=&quot;005E269A&quot;/&gt;&lt;wsp:rsid wsp:val=&quot;005E2FD3&quot;/&gt;&lt;wsp:rsid wsp:val=&quot;005E361C&quot;/&gt;&lt;wsp:rsid wsp:val=&quot;005E3ACA&quot;/&gt;&lt;wsp:rsid wsp:val=&quot;005E3E8D&quot;/&gt;&lt;wsp:rsid wsp:val=&quot;005E41F7&quot;/&gt;&lt;wsp:rsid wsp:val=&quot;005E4D9B&quot;/&gt;&lt;wsp:rsid wsp:val=&quot;005E563B&quot;/&gt;&lt;wsp:rsid wsp:val=&quot;005E6901&quot;/&gt;&lt;wsp:rsid wsp:val=&quot;005E69BA&quot;/&gt;&lt;wsp:rsid wsp:val=&quot;005E715F&quot;/&gt;&lt;wsp:rsid wsp:val=&quot;005E7E28&quot;/&gt;&lt;wsp:rsid wsp:val=&quot;005F0914&quot;/&gt;&lt;wsp:rsid wsp:val=&quot;005F0CF5&quot;/&gt;&lt;wsp:rsid wsp:val=&quot;005F1CD5&quot;/&gt;&lt;wsp:rsid wsp:val=&quot;005F2731&quot;/&gt;&lt;wsp:rsid wsp:val=&quot;005F2BA2&quot;/&gt;&lt;wsp:rsid wsp:val=&quot;005F44BC&quot;/&gt;&lt;wsp:rsid wsp:val=&quot;005F49D3&quot;/&gt;&lt;wsp:rsid wsp:val=&quot;005F4C26&quot;/&gt;&lt;wsp:rsid wsp:val=&quot;005F5315&quot;/&gt;&lt;wsp:rsid wsp:val=&quot;005F57D7&quot;/&gt;&lt;wsp:rsid wsp:val=&quot;005F6338&quot;/&gt;&lt;wsp:rsid wsp:val=&quot;005F7999&quot;/&gt;&lt;wsp:rsid wsp:val=&quot;006014F7&quot;/&gt;&lt;wsp:rsid wsp:val=&quot;00602C8C&quot;/&gt;&lt;wsp:rsid wsp:val=&quot;0060423F&quot;/&gt;&lt;wsp:rsid wsp:val=&quot;006049B8&quot;/&gt;&lt;wsp:rsid wsp:val=&quot;00604A5B&quot;/&gt;&lt;wsp:rsid wsp:val=&quot;00604BFB&quot;/&gt;&lt;wsp:rsid wsp:val=&quot;00605345&quot;/&gt;&lt;wsp:rsid wsp:val=&quot;00605C8A&quot;/&gt;&lt;wsp:rsid wsp:val=&quot;0060629F&quot;/&gt;&lt;wsp:rsid wsp:val=&quot;006062D6&quot;/&gt;&lt;wsp:rsid wsp:val=&quot;00606B97&quot;/&gt;&lt;wsp:rsid wsp:val=&quot;00610431&quot;/&gt;&lt;wsp:rsid wsp:val=&quot;006114DF&quot;/&gt;&lt;wsp:rsid wsp:val=&quot;006115CE&quot;/&gt;&lt;wsp:rsid wsp:val=&quot;006115F0&quot;/&gt;&lt;wsp:rsid wsp:val=&quot;006116AD&quot;/&gt;&lt;wsp:rsid wsp:val=&quot;00614087&quot;/&gt;&lt;wsp:rsid wsp:val=&quot;00614161&quot;/&gt;&lt;wsp:rsid wsp:val=&quot;00614926&quot;/&gt;&lt;wsp:rsid wsp:val=&quot;0061525C&quot;/&gt;&lt;wsp:rsid wsp:val=&quot;00615FE6&quot;/&gt;&lt;wsp:rsid wsp:val=&quot;006162D0&quot;/&gt;&lt;wsp:rsid wsp:val=&quot;00616DDB&quot;/&gt;&lt;wsp:rsid wsp:val=&quot;00617744&quot;/&gt;&lt;wsp:rsid wsp:val=&quot;00617DCB&quot;/&gt;&lt;wsp:rsid wsp:val=&quot;00620335&quot;/&gt;&lt;wsp:rsid wsp:val=&quot;006209BF&quot;/&gt;&lt;wsp:rsid wsp:val=&quot;00620B75&quot;/&gt;&lt;wsp:rsid wsp:val=&quot;0062128A&quot;/&gt;&lt;wsp:rsid wsp:val=&quot;0062194A&quot;/&gt;&lt;wsp:rsid wsp:val=&quot;00621FB5&quot;/&gt;&lt;wsp:rsid wsp:val=&quot;006223BE&quot;/&gt;&lt;wsp:rsid wsp:val=&quot;00622961&quot;/&gt;&lt;wsp:rsid wsp:val=&quot;0062313E&quot;/&gt;&lt;wsp:rsid wsp:val=&quot;006234AD&quot;/&gt;&lt;wsp:rsid wsp:val=&quot;00623B0D&quot;/&gt;&lt;wsp:rsid wsp:val=&quot;0062457D&quot;/&gt;&lt;wsp:rsid wsp:val=&quot;00624590&quot;/&gt;&lt;wsp:rsid wsp:val=&quot;00624BAA&quot;/&gt;&lt;wsp:rsid wsp:val=&quot;006252CC&quot;/&gt;&lt;wsp:rsid wsp:val=&quot;00625486&quot;/&gt;&lt;wsp:rsid wsp:val=&quot;0062674A&quot;/&gt;&lt;wsp:rsid wsp:val=&quot;00627880&quot;/&gt;&lt;wsp:rsid wsp:val=&quot;00627D86&quot;/&gt;&lt;wsp:rsid wsp:val=&quot;00627DE9&quot;/&gt;&lt;wsp:rsid wsp:val=&quot;00630FCC&quot;/&gt;&lt;wsp:rsid wsp:val=&quot;00631A16&quot;/&gt;&lt;wsp:rsid wsp:val=&quot;00632465&quot;/&gt;&lt;wsp:rsid wsp:val=&quot;00632A80&quot;/&gt;&lt;wsp:rsid wsp:val=&quot;00632BAA&quot;/&gt;&lt;wsp:rsid wsp:val=&quot;00632BAB&quot;/&gt;&lt;wsp:rsid wsp:val=&quot;0063376F&quot;/&gt;&lt;wsp:rsid wsp:val=&quot;006341EB&quot;/&gt;&lt;wsp:rsid wsp:val=&quot;006351C3&quot;/&gt;&lt;wsp:rsid wsp:val=&quot;006354AB&quot;/&gt;&lt;wsp:rsid wsp:val=&quot;0063558E&quot;/&gt;&lt;wsp:rsid wsp:val=&quot;006356D4&quot;/&gt;&lt;wsp:rsid wsp:val=&quot;006357EA&quot;/&gt;&lt;wsp:rsid wsp:val=&quot;00635966&quot;/&gt;&lt;wsp:rsid wsp:val=&quot;00636031&quot;/&gt;&lt;wsp:rsid wsp:val=&quot;00636A31&quot;/&gt;&lt;wsp:rsid wsp:val=&quot;00636D7B&quot;/&gt;&lt;wsp:rsid wsp:val=&quot;0063795B&quot;/&gt;&lt;wsp:rsid wsp:val=&quot;006404E6&quot;/&gt;&lt;wsp:rsid wsp:val=&quot;0064069B&quot;/&gt;&lt;wsp:rsid wsp:val=&quot;00643405&quot;/&gt;&lt;wsp:rsid wsp:val=&quot;00644141&quot;/&gt;&lt;wsp:rsid wsp:val=&quot;00644728&quot;/&gt;&lt;wsp:rsid wsp:val=&quot;00644A4D&quot;/&gt;&lt;wsp:rsid wsp:val=&quot;00644F1A&quot;/&gt;&lt;wsp:rsid wsp:val=&quot;0064563D&quot;/&gt;&lt;wsp:rsid wsp:val=&quot;00645BD5&quot;/&gt;&lt;wsp:rsid wsp:val=&quot;006462BC&quot;/&gt;&lt;wsp:rsid wsp:val=&quot;006466B7&quot;/&gt;&lt;wsp:rsid wsp:val=&quot;00646C09&quot;/&gt;&lt;wsp:rsid wsp:val=&quot;00647C50&quot;/&gt;&lt;wsp:rsid wsp:val=&quot;006503FD&quot;/&gt;&lt;wsp:rsid wsp:val=&quot;00650DCA&quot;/&gt;&lt;wsp:rsid wsp:val=&quot;00651295&quot;/&gt;&lt;wsp:rsid wsp:val=&quot;0065152C&quot;/&gt;&lt;wsp:rsid wsp:val=&quot;006516BC&quot;/&gt;&lt;wsp:rsid wsp:val=&quot;00652D2A&quot;/&gt;&lt;wsp:rsid wsp:val=&quot;00653280&quot;/&gt;&lt;wsp:rsid wsp:val=&quot;00655131&quot;/&gt;&lt;wsp:rsid wsp:val=&quot;006554E3&quot;/&gt;&lt;wsp:rsid wsp:val=&quot;00655F93&quot;/&gt;&lt;wsp:rsid wsp:val=&quot;006571BA&quot;/&gt;&lt;wsp:rsid wsp:val=&quot;00657CAE&quot;/&gt;&lt;wsp:rsid wsp:val=&quot;00660941&quot;/&gt;&lt;wsp:rsid wsp:val=&quot;00661234&quot;/&gt;&lt;wsp:rsid wsp:val=&quot;00662666&quot;/&gt;&lt;wsp:rsid wsp:val=&quot;006631DF&quot;/&gt;&lt;wsp:rsid wsp:val=&quot;0066331B&quot;/&gt;&lt;wsp:rsid wsp:val=&quot;00663A10&quot;/&gt;&lt;wsp:rsid wsp:val=&quot;00663BD6&quot;/&gt;&lt;wsp:rsid wsp:val=&quot;00663FF4&quot;/&gt;&lt;wsp:rsid wsp:val=&quot;0066415D&quot;/&gt;&lt;wsp:rsid wsp:val=&quot;006648AA&quot;/&gt;&lt;wsp:rsid wsp:val=&quot;00665D85&quot;/&gt;&lt;wsp:rsid wsp:val=&quot;00666CB7&quot;/&gt;&lt;wsp:rsid wsp:val=&quot;00667989&quot;/&gt;&lt;wsp:rsid wsp:val=&quot;00667C3E&quot;/&gt;&lt;wsp:rsid wsp:val=&quot;00667DAF&quot;/&gt;&lt;wsp:rsid wsp:val=&quot;00667E81&quot;/&gt;&lt;wsp:rsid wsp:val=&quot;00670DF7&quot;/&gt;&lt;wsp:rsid wsp:val=&quot;0067344A&quot;/&gt;&lt;wsp:rsid wsp:val=&quot;00673C9F&quot;/&gt;&lt;wsp:rsid wsp:val=&quot;00674F80&quot;/&gt;&lt;wsp:rsid wsp:val=&quot;006754ED&quot;/&gt;&lt;wsp:rsid wsp:val=&quot;006759E8&quot;/&gt;&lt;wsp:rsid wsp:val=&quot;00676D52&quot;/&gt;&lt;wsp:rsid wsp:val=&quot;00680B5B&quot;/&gt;&lt;wsp:rsid wsp:val=&quot;00680F1F&quot;/&gt;&lt;wsp:rsid wsp:val=&quot;00681FF9&quot;/&gt;&lt;wsp:rsid wsp:val=&quot;00682030&quot;/&gt;&lt;wsp:rsid wsp:val=&quot;006832AD&quot;/&gt;&lt;wsp:rsid wsp:val=&quot;0068337D&quot;/&gt;&lt;wsp:rsid wsp:val=&quot;00683F0B&quot;/&gt;&lt;wsp:rsid wsp:val=&quot;00683F22&quot;/&gt;&lt;wsp:rsid wsp:val=&quot;0068450E&quot;/&gt;&lt;wsp:rsid wsp:val=&quot;00685184&quot;/&gt;&lt;wsp:rsid wsp:val=&quot;00685DD7&quot;/&gt;&lt;wsp:rsid wsp:val=&quot;00686B6B&quot;/&gt;&lt;wsp:rsid wsp:val=&quot;00690FB4&quot;/&gt;&lt;wsp:rsid wsp:val=&quot;00691AB3&quot;/&gt;&lt;wsp:rsid wsp:val=&quot;00692F82&quot;/&gt;&lt;wsp:rsid wsp:val=&quot;006932BA&quot;/&gt;&lt;wsp:rsid wsp:val=&quot;0069478A&quot;/&gt;&lt;wsp:rsid wsp:val=&quot;0069518D&quot;/&gt;&lt;wsp:rsid wsp:val=&quot;00695558&quot;/&gt;&lt;wsp:rsid wsp:val=&quot;00695C61&quot;/&gt;&lt;wsp:rsid wsp:val=&quot;006A00AB&quot;/&gt;&lt;wsp:rsid wsp:val=&quot;006A0126&quot;/&gt;&lt;wsp:rsid wsp:val=&quot;006A1DEF&quot;/&gt;&lt;wsp:rsid wsp:val=&quot;006A381A&quot;/&gt;&lt;wsp:rsid wsp:val=&quot;006A4720&quot;/&gt;&lt;wsp:rsid wsp:val=&quot;006A4F25&quot;/&gt;&lt;wsp:rsid wsp:val=&quot;006A59F0&quot;/&gt;&lt;wsp:rsid wsp:val=&quot;006A6A4E&quot;/&gt;&lt;wsp:rsid wsp:val=&quot;006B0A77&quot;/&gt;&lt;wsp:rsid wsp:val=&quot;006B1D1F&quot;/&gt;&lt;wsp:rsid wsp:val=&quot;006B25B7&quot;/&gt;&lt;wsp:rsid wsp:val=&quot;006B2730&quot;/&gt;&lt;wsp:rsid wsp:val=&quot;006B3189&quot;/&gt;&lt;wsp:rsid wsp:val=&quot;006B445B&quot;/&gt;&lt;wsp:rsid wsp:val=&quot;006B44E8&quot;/&gt;&lt;wsp:rsid wsp:val=&quot;006B4EF7&quot;/&gt;&lt;wsp:rsid wsp:val=&quot;006B62CC&quot;/&gt;&lt;wsp:rsid wsp:val=&quot;006B69BB&quot;/&gt;&lt;wsp:rsid wsp:val=&quot;006B69DC&quot;/&gt;&lt;wsp:rsid wsp:val=&quot;006B69FF&quot;/&gt;&lt;wsp:rsid wsp:val=&quot;006B705C&quot;/&gt;&lt;wsp:rsid wsp:val=&quot;006B79CD&quot;/&gt;&lt;wsp:rsid wsp:val=&quot;006C0564&quot;/&gt;&lt;wsp:rsid wsp:val=&quot;006C1328&quot;/&gt;&lt;wsp:rsid wsp:val=&quot;006C1433&quot;/&gt;&lt;wsp:rsid wsp:val=&quot;006C24BB&quot;/&gt;&lt;wsp:rsid wsp:val=&quot;006C3396&quot;/&gt;&lt;wsp:rsid wsp:val=&quot;006C3C65&quot;/&gt;&lt;wsp:rsid wsp:val=&quot;006C416D&quot;/&gt;&lt;wsp:rsid wsp:val=&quot;006C480D&quot;/&gt;&lt;wsp:rsid wsp:val=&quot;006C544E&quot;/&gt;&lt;wsp:rsid wsp:val=&quot;006C57D3&quot;/&gt;&lt;wsp:rsid wsp:val=&quot;006C5B7A&quot;/&gt;&lt;wsp:rsid wsp:val=&quot;006C7BD8&quot;/&gt;&lt;wsp:rsid wsp:val=&quot;006D25EB&quot;/&gt;&lt;wsp:rsid wsp:val=&quot;006D26B0&quot;/&gt;&lt;wsp:rsid wsp:val=&quot;006D2886&quot;/&gt;&lt;wsp:rsid wsp:val=&quot;006D2AB9&quot;/&gt;&lt;wsp:rsid wsp:val=&quot;006D3B65&quot;/&gt;&lt;wsp:rsid wsp:val=&quot;006D3DE6&quot;/&gt;&lt;wsp:rsid wsp:val=&quot;006D5276&quot;/&gt;&lt;wsp:rsid wsp:val=&quot;006D57B0&quot;/&gt;&lt;wsp:rsid wsp:val=&quot;006D6931&quot;/&gt;&lt;wsp:rsid wsp:val=&quot;006D7B4F&quot;/&gt;&lt;wsp:rsid wsp:val=&quot;006D7EAB&quot;/&gt;&lt;wsp:rsid wsp:val=&quot;006D7F53&quot;/&gt;&lt;wsp:rsid wsp:val=&quot;006E0348&quot;/&gt;&lt;wsp:rsid wsp:val=&quot;006E0F26&quot;/&gt;&lt;wsp:rsid wsp:val=&quot;006E147D&quot;/&gt;&lt;wsp:rsid wsp:val=&quot;006E1AB9&quot;/&gt;&lt;wsp:rsid wsp:val=&quot;006E2E77&quot;/&gt;&lt;wsp:rsid wsp:val=&quot;006E2F87&quot;/&gt;&lt;wsp:rsid wsp:val=&quot;006E33B4&quot;/&gt;&lt;wsp:rsid wsp:val=&quot;006E3E16&quot;/&gt;&lt;wsp:rsid wsp:val=&quot;006F136A&quot;/&gt;&lt;wsp:rsid wsp:val=&quot;006F13BC&quot;/&gt;&lt;wsp:rsid wsp:val=&quot;006F142A&quot;/&gt;&lt;wsp:rsid wsp:val=&quot;006F20DF&quot;/&gt;&lt;wsp:rsid wsp:val=&quot;006F2C32&quot;/&gt;&lt;wsp:rsid wsp:val=&quot;006F3142&quot;/&gt;&lt;wsp:rsid wsp:val=&quot;006F4561&quot;/&gt;&lt;wsp:rsid wsp:val=&quot;006F61D9&quot;/&gt;&lt;wsp:rsid wsp:val=&quot;006F64C3&quot;/&gt;&lt;wsp:rsid wsp:val=&quot;006F675F&quot;/&gt;&lt;wsp:rsid wsp:val=&quot;00700A01&quot;/&gt;&lt;wsp:rsid wsp:val=&quot;00701995&quot;/&gt;&lt;wsp:rsid wsp:val=&quot;007020FC&quot;/&gt;&lt;wsp:rsid wsp:val=&quot;00703054&quot;/&gt;&lt;wsp:rsid wsp:val=&quot;00704D3F&quot;/&gt;&lt;wsp:rsid wsp:val=&quot;00705382&quot;/&gt;&lt;wsp:rsid wsp:val=&quot;00705544&quot;/&gt;&lt;wsp:rsid wsp:val=&quot;00705F3D&quot;/&gt;&lt;wsp:rsid wsp:val=&quot;00706286&quot;/&gt;&lt;wsp:rsid wsp:val=&quot;00710291&quot;/&gt;&lt;wsp:rsid wsp:val=&quot;0071059F&quot;/&gt;&lt;wsp:rsid wsp:val=&quot;00711EAA&quot;/&gt;&lt;wsp:rsid wsp:val=&quot;0071231D&quot;/&gt;&lt;wsp:rsid wsp:val=&quot;007124C4&quot;/&gt;&lt;wsp:rsid wsp:val=&quot;007136FF&quot;/&gt;&lt;wsp:rsid wsp:val=&quot;00713A3A&quot;/&gt;&lt;wsp:rsid wsp:val=&quot;00713F57&quot;/&gt;&lt;wsp:rsid wsp:val=&quot;00714BB8&quot;/&gt;&lt;wsp:rsid wsp:val=&quot;00716BB8&quot;/&gt;&lt;wsp:rsid wsp:val=&quot;00717D38&quot;/&gt;&lt;wsp:rsid wsp:val=&quot;00717E03&quot;/&gt;&lt;wsp:rsid wsp:val=&quot;007200C2&quot;/&gt;&lt;wsp:rsid wsp:val=&quot;00720825&quot;/&gt;&lt;wsp:rsid wsp:val=&quot;00721BEF&quot;/&gt;&lt;wsp:rsid wsp:val=&quot;0072294E&quot;/&gt;&lt;wsp:rsid wsp:val=&quot;00724E05&quot;/&gt;&lt;wsp:rsid wsp:val=&quot;00724F6D&quot;/&gt;&lt;wsp:rsid wsp:val=&quot;0072549C&quot;/&gt;&lt;wsp:rsid wsp:val=&quot;00726742&quot;/&gt;&lt;wsp:rsid wsp:val=&quot;0072725C&quot;/&gt;&lt;wsp:rsid wsp:val=&quot;00730362&quot;/&gt;&lt;wsp:rsid wsp:val=&quot;007305C2&quot;/&gt;&lt;wsp:rsid wsp:val=&quot;00730E60&quot;/&gt;&lt;wsp:rsid wsp:val=&quot;00731121&quot;/&gt;&lt;wsp:rsid wsp:val=&quot;00731458&quot;/&gt;&lt;wsp:rsid wsp:val=&quot;0073148C&quot;/&gt;&lt;wsp:rsid wsp:val=&quot;0073374C&quot;/&gt;&lt;wsp:rsid wsp:val=&quot;00733AB2&quot;/&gt;&lt;wsp:rsid wsp:val=&quot;007343D5&quot;/&gt;&lt;wsp:rsid wsp:val=&quot;00734CB8&quot;/&gt;&lt;wsp:rsid wsp:val=&quot;00735085&quot;/&gt;&lt;wsp:rsid wsp:val=&quot;00735389&quot;/&gt;&lt;wsp:rsid wsp:val=&quot;00735F2D&quot;/&gt;&lt;wsp:rsid wsp:val=&quot;00736435&quot;/&gt;&lt;wsp:rsid wsp:val=&quot;00736E62&quot;/&gt;&lt;wsp:rsid wsp:val=&quot;00737378&quot;/&gt;&lt;wsp:rsid wsp:val=&quot;00737590&quot;/&gt;&lt;wsp:rsid wsp:val=&quot;00737D72&quot;/&gt;&lt;wsp:rsid wsp:val=&quot;007410EE&quot;/&gt;&lt;wsp:rsid wsp:val=&quot;00741515&quot;/&gt;&lt;wsp:rsid wsp:val=&quot;007417F8&quot;/&gt;&lt;wsp:rsid wsp:val=&quot;007435BD&quot;/&gt;&lt;wsp:rsid wsp:val=&quot;00744208&quot;/&gt;&lt;wsp:rsid wsp:val=&quot;007446C1&quot;/&gt;&lt;wsp:rsid wsp:val=&quot;0074483F&quot;/&gt;&lt;wsp:rsid wsp:val=&quot;00745FD9&quot;/&gt;&lt;wsp:rsid wsp:val=&quot;007478BF&quot;/&gt;&lt;wsp:rsid wsp:val=&quot;00750225&quot;/&gt;&lt;wsp:rsid wsp:val=&quot;007536AB&quot;/&gt;&lt;wsp:rsid wsp:val=&quot;00753ED0&quot;/&gt;&lt;wsp:rsid wsp:val=&quot;00756DBB&quot;/&gt;&lt;wsp:rsid wsp:val=&quot;00757481&quot;/&gt;&lt;wsp:rsid wsp:val=&quot;00757BB9&quot;/&gt;&lt;wsp:rsid wsp:val=&quot;00757EDD&quot;/&gt;&lt;wsp:rsid wsp:val=&quot;00760203&quot;/&gt;&lt;wsp:rsid wsp:val=&quot;00762445&quot;/&gt;&lt;wsp:rsid wsp:val=&quot;007625DE&quot;/&gt;&lt;wsp:rsid wsp:val=&quot;00763019&quot;/&gt;&lt;wsp:rsid wsp:val=&quot;00763944&quot;/&gt;&lt;wsp:rsid wsp:val=&quot;0076486C&quot;/&gt;&lt;wsp:rsid wsp:val=&quot;00766554&quot;/&gt;&lt;wsp:rsid wsp:val=&quot;0076691C&quot;/&gt;&lt;wsp:rsid wsp:val=&quot;00766BF4&quot;/&gt;&lt;wsp:rsid wsp:val=&quot;007674C2&quot;/&gt;&lt;wsp:rsid wsp:val=&quot;007675BA&quot;/&gt;&lt;wsp:rsid wsp:val=&quot;00767F77&quot;/&gt;&lt;wsp:rsid wsp:val=&quot;00770475&quot;/&gt;&lt;wsp:rsid wsp:val=&quot;00770A9B&quot;/&gt;&lt;wsp:rsid wsp:val=&quot;00771754&quot;/&gt;&lt;wsp:rsid wsp:val=&quot;0077216D&quot;/&gt;&lt;wsp:rsid wsp:val=&quot;00772A7C&quot;/&gt;&lt;wsp:rsid wsp:val=&quot;00772F6B&quot;/&gt;&lt;wsp:rsid wsp:val=&quot;007737B2&quot;/&gt;&lt;wsp:rsid wsp:val=&quot;0077388A&quot;/&gt;&lt;wsp:rsid wsp:val=&quot;007752AA&quot;/&gt;&lt;wsp:rsid wsp:val=&quot;00775722&quot;/&gt;&lt;wsp:rsid wsp:val=&quot;00775E67&quot;/&gt;&lt;wsp:rsid wsp:val=&quot;00776E0A&quot;/&gt;&lt;wsp:rsid wsp:val=&quot;0077710E&quot;/&gt;&lt;wsp:rsid wsp:val=&quot;00780550&quot;/&gt;&lt;wsp:rsid wsp:val=&quot;00781C06&quot;/&gt;&lt;wsp:rsid wsp:val=&quot;00783075&quot;/&gt;&lt;wsp:rsid wsp:val=&quot;0078525B&quot;/&gt;&lt;wsp:rsid wsp:val=&quot;007853E6&quot;/&gt;&lt;wsp:rsid wsp:val=&quot;00785AB2&quot;/&gt;&lt;wsp:rsid wsp:val=&quot;00785D9D&quot;/&gt;&lt;wsp:rsid wsp:val=&quot;0078676C&quot;/&gt;&lt;wsp:rsid wsp:val=&quot;00786FA8&quot;/&gt;&lt;wsp:rsid wsp:val=&quot;00787268&quot;/&gt;&lt;wsp:rsid wsp:val=&quot;007873F0&quot;/&gt;&lt;wsp:rsid wsp:val=&quot;007879D1&quot;/&gt;&lt;wsp:rsid wsp:val=&quot;00791169&quot;/&gt;&lt;wsp:rsid wsp:val=&quot;00791A0D&quot;/&gt;&lt;wsp:rsid wsp:val=&quot;0079210B&quot;/&gt;&lt;wsp:rsid wsp:val=&quot;00792539&quot;/&gt;&lt;wsp:rsid wsp:val=&quot;00792A93&quot;/&gt;&lt;wsp:rsid wsp:val=&quot;00792B7B&quot;/&gt;&lt;wsp:rsid wsp:val=&quot;007936EA&quot;/&gt;&lt;wsp:rsid wsp:val=&quot;00793990&quot;/&gt;&lt;wsp:rsid wsp:val=&quot;00793DA9&quot;/&gt;&lt;wsp:rsid wsp:val=&quot;00796A60&quot;/&gt;&lt;wsp:rsid wsp:val=&quot;007A0297&quot;/&gt;&lt;wsp:rsid wsp:val=&quot;007A085D&quot;/&gt;&lt;wsp:rsid wsp:val=&quot;007A0BF0&quot;/&gt;&lt;wsp:rsid wsp:val=&quot;007A0BF2&quot;/&gt;&lt;wsp:rsid wsp:val=&quot;007A0FD4&quot;/&gt;&lt;wsp:rsid wsp:val=&quot;007A187D&quot;/&gt;&lt;wsp:rsid wsp:val=&quot;007A3050&quot;/&gt;&lt;wsp:rsid wsp:val=&quot;007A3914&quot;/&gt;&lt;wsp:rsid wsp:val=&quot;007A3982&quot;/&gt;&lt;wsp:rsid wsp:val=&quot;007A4494&quot;/&gt;&lt;wsp:rsid wsp:val=&quot;007A44DE&quot;/&gt;&lt;wsp:rsid wsp:val=&quot;007A49EC&quot;/&gt;&lt;wsp:rsid wsp:val=&quot;007A51C4&quot;/&gt;&lt;wsp:rsid wsp:val=&quot;007A664C&quot;/&gt;&lt;wsp:rsid wsp:val=&quot;007A744B&quot;/&gt;&lt;wsp:rsid wsp:val=&quot;007B0D02&quot;/&gt;&lt;wsp:rsid wsp:val=&quot;007B1397&quot;/&gt;&lt;wsp:rsid wsp:val=&quot;007B1A8D&quot;/&gt;&lt;wsp:rsid wsp:val=&quot;007B1FB9&quot;/&gt;&lt;wsp:rsid wsp:val=&quot;007B28CB&quot;/&gt;&lt;wsp:rsid wsp:val=&quot;007B3099&quot;/&gt;&lt;wsp:rsid wsp:val=&quot;007B36D0&quot;/&gt;&lt;wsp:rsid wsp:val=&quot;007B4070&quot;/&gt;&lt;wsp:rsid wsp:val=&quot;007B4682&quot;/&gt;&lt;wsp:rsid wsp:val=&quot;007B596C&quot;/&gt;&lt;wsp:rsid wsp:val=&quot;007B61B4&quot;/&gt;&lt;wsp:rsid wsp:val=&quot;007B6541&quot;/&gt;&lt;wsp:rsid wsp:val=&quot;007B73A6&quot;/&gt;&lt;wsp:rsid wsp:val=&quot;007B7792&quot;/&gt;&lt;wsp:rsid wsp:val=&quot;007B7C00&quot;/&gt;&lt;wsp:rsid wsp:val=&quot;007B7D1D&quot;/&gt;&lt;wsp:rsid wsp:val=&quot;007C0CDD&quot;/&gt;&lt;wsp:rsid wsp:val=&quot;007C2566&quot;/&gt;&lt;wsp:rsid wsp:val=&quot;007C25EE&quot;/&gt;&lt;wsp:rsid wsp:val=&quot;007C281D&quot;/&gt;&lt;wsp:rsid wsp:val=&quot;007C28C3&quot;/&gt;&lt;wsp:rsid wsp:val=&quot;007C302B&quot;/&gt;&lt;wsp:rsid wsp:val=&quot;007C4156&quot;/&gt;&lt;wsp:rsid wsp:val=&quot;007C55C9&quot;/&gt;&lt;wsp:rsid wsp:val=&quot;007C6542&quot;/&gt;&lt;wsp:rsid wsp:val=&quot;007C684A&quot;/&gt;&lt;wsp:rsid wsp:val=&quot;007C6D2D&quot;/&gt;&lt;wsp:rsid wsp:val=&quot;007C6DC9&quot;/&gt;&lt;wsp:rsid wsp:val=&quot;007C776F&quot;/&gt;&lt;wsp:rsid wsp:val=&quot;007C7C08&quot;/&gt;&lt;wsp:rsid wsp:val=&quot;007D006C&quot;/&gt;&lt;wsp:rsid wsp:val=&quot;007D05BB&quot;/&gt;&lt;wsp:rsid wsp:val=&quot;007D0878&quot;/&gt;&lt;wsp:rsid wsp:val=&quot;007D0B36&quot;/&gt;&lt;wsp:rsid wsp:val=&quot;007D1290&quot;/&gt;&lt;wsp:rsid wsp:val=&quot;007D28CF&quot;/&gt;&lt;wsp:rsid wsp:val=&quot;007D298B&quot;/&gt;&lt;wsp:rsid wsp:val=&quot;007D2F79&quot;/&gt;&lt;wsp:rsid wsp:val=&quot;007D3022&quot;/&gt;&lt;wsp:rsid wsp:val=&quot;007D33C8&quot;/&gt;&lt;wsp:rsid wsp:val=&quot;007D3479&quot;/&gt;&lt;wsp:rsid wsp:val=&quot;007D3DF9&quot;/&gt;&lt;wsp:rsid wsp:val=&quot;007D4C5C&quot;/&gt;&lt;wsp:rsid wsp:val=&quot;007D56ED&quot;/&gt;&lt;wsp:rsid wsp:val=&quot;007D6E12&quot;/&gt;&lt;wsp:rsid wsp:val=&quot;007E0641&quot;/&gt;&lt;wsp:rsid wsp:val=&quot;007E0997&quot;/&gt;&lt;wsp:rsid wsp:val=&quot;007E1C4A&quot;/&gt;&lt;wsp:rsid wsp:val=&quot;007E1D5E&quot;/&gt;&lt;wsp:rsid wsp:val=&quot;007E21CC&quot;/&gt;&lt;wsp:rsid wsp:val=&quot;007E26FB&quot;/&gt;&lt;wsp:rsid wsp:val=&quot;007E3FF8&quot;/&gt;&lt;wsp:rsid wsp:val=&quot;007E41DC&quot;/&gt;&lt;wsp:rsid wsp:val=&quot;007E48DA&quot;/&gt;&lt;wsp:rsid wsp:val=&quot;007E4B9C&quot;/&gt;&lt;wsp:rsid wsp:val=&quot;007E4F03&quot;/&gt;&lt;wsp:rsid wsp:val=&quot;007E57DE&quot;/&gt;&lt;wsp:rsid wsp:val=&quot;007E5BA0&quot;/&gt;&lt;wsp:rsid wsp:val=&quot;007E5C15&quot;/&gt;&lt;wsp:rsid wsp:val=&quot;007E5C85&quot;/&gt;&lt;wsp:rsid wsp:val=&quot;007E5F36&quot;/&gt;&lt;wsp:rsid wsp:val=&quot;007E6961&quot;/&gt;&lt;wsp:rsid wsp:val=&quot;007E750F&quot;/&gt;&lt;wsp:rsid wsp:val=&quot;007E7527&quot;/&gt;&lt;wsp:rsid wsp:val=&quot;007E7A92&quot;/&gt;&lt;wsp:rsid wsp:val=&quot;007F19BB&quot;/&gt;&lt;wsp:rsid wsp:val=&quot;007F225C&quot;/&gt;&lt;wsp:rsid wsp:val=&quot;007F2BA0&quot;/&gt;&lt;wsp:rsid wsp:val=&quot;007F3126&quot;/&gt;&lt;wsp:rsid wsp:val=&quot;007F32E7&quot;/&gt;&lt;wsp:rsid wsp:val=&quot;007F33C7&quot;/&gt;&lt;wsp:rsid wsp:val=&quot;007F44E0&quot;/&gt;&lt;wsp:rsid wsp:val=&quot;007F470C&quot;/&gt;&lt;wsp:rsid wsp:val=&quot;007F52B3&quot;/&gt;&lt;wsp:rsid wsp:val=&quot;007F616B&quot;/&gt;&lt;wsp:rsid wsp:val=&quot;007F64A9&quot;/&gt;&lt;wsp:rsid wsp:val=&quot;007F6CC1&quot;/&gt;&lt;wsp:rsid wsp:val=&quot;007F6CF3&quot;/&gt;&lt;wsp:rsid wsp:val=&quot;007F7559&quot;/&gt;&lt;wsp:rsid wsp:val=&quot;007F78F9&quot;/&gt;&lt;wsp:rsid wsp:val=&quot;007F7AC1&quot;/&gt;&lt;wsp:rsid wsp:val=&quot;00800126&quot;/&gt;&lt;wsp:rsid wsp:val=&quot;00800DB9&quot;/&gt;&lt;wsp:rsid wsp:val=&quot;00802B18&quot;/&gt;&lt;wsp:rsid wsp:val=&quot;00804776&quot;/&gt;&lt;wsp:rsid wsp:val=&quot;008051CA&quot;/&gt;&lt;wsp:rsid wsp:val=&quot;008112CD&quot;/&gt;&lt;wsp:rsid wsp:val=&quot;00811543&quot;/&gt;&lt;wsp:rsid wsp:val=&quot;00811903&quot;/&gt;&lt;wsp:rsid wsp:val=&quot;00812741&quot;/&gt;&lt;wsp:rsid wsp:val=&quot;0081326E&quot;/&gt;&lt;wsp:rsid wsp:val=&quot;0081376A&quot;/&gt;&lt;wsp:rsid wsp:val=&quot;00814820&quot;/&gt;&lt;wsp:rsid wsp:val=&quot;0081496C&quot;/&gt;&lt;wsp:rsid wsp:val=&quot;00815CC6&quot;/&gt;&lt;wsp:rsid wsp:val=&quot;00816505&quot;/&gt;&lt;wsp:rsid wsp:val=&quot;00816928&quot;/&gt;&lt;wsp:rsid wsp:val=&quot;0082232D&quot;/&gt;&lt;wsp:rsid wsp:val=&quot;00823124&quot;/&gt;&lt;wsp:rsid wsp:val=&quot;008241ED&quot;/&gt;&lt;wsp:rsid wsp:val=&quot;008249F9&quot;/&gt;&lt;wsp:rsid wsp:val=&quot;0082713F&quot;/&gt;&lt;wsp:rsid wsp:val=&quot;00827251&quot;/&gt;&lt;wsp:rsid wsp:val=&quot;008273D3&quot;/&gt;&lt;wsp:rsid wsp:val=&quot;00827BB5&quot;/&gt;&lt;wsp:rsid wsp:val=&quot;008305DF&quot;/&gt;&lt;wsp:rsid wsp:val=&quot;008309E6&quot;/&gt;&lt;wsp:rsid wsp:val=&quot;00830A4A&quot;/&gt;&lt;wsp:rsid wsp:val=&quot;00830E98&quot;/&gt;&lt;wsp:rsid wsp:val=&quot;008313F0&quot;/&gt;&lt;wsp:rsid wsp:val=&quot;00831484&quot;/&gt;&lt;wsp:rsid wsp:val=&quot;00831826&quot;/&gt;&lt;wsp:rsid wsp:val=&quot;00831E66&quot;/&gt;&lt;wsp:rsid wsp:val=&quot;008320D6&quot;/&gt;&lt;wsp:rsid wsp:val=&quot;008328DA&quot;/&gt;&lt;wsp:rsid wsp:val=&quot;00832A42&quot;/&gt;&lt;wsp:rsid wsp:val=&quot;00833273&quot;/&gt;&lt;wsp:rsid wsp:val=&quot;00834345&quot;/&gt;&lt;wsp:rsid wsp:val=&quot;00834842&quot;/&gt;&lt;wsp:rsid wsp:val=&quot;00835378&quot;/&gt;&lt;wsp:rsid wsp:val=&quot;00835A24&quot;/&gt;&lt;wsp:rsid wsp:val=&quot;00836AE4&quot;/&gt;&lt;wsp:rsid wsp:val=&quot;008370EF&quot;/&gt;&lt;wsp:rsid wsp:val=&quot;00837A7E&quot;/&gt;&lt;wsp:rsid wsp:val=&quot;0084054F&quot;/&gt;&lt;wsp:rsid wsp:val=&quot;00840ACA&quot;/&gt;&lt;wsp:rsid wsp:val=&quot;00842A2B&quot;/&gt;&lt;wsp:rsid wsp:val=&quot;008435DB&quot;/&gt;&lt;wsp:rsid wsp:val=&quot;00844E6B&quot;/&gt;&lt;wsp:rsid wsp:val=&quot;00844F22&quot;/&gt;&lt;wsp:rsid wsp:val=&quot;00844F3E&quot;/&gt;&lt;wsp:rsid wsp:val=&quot;008452F2&quot;/&gt;&lt;wsp:rsid wsp:val=&quot;00846146&quot;/&gt;&lt;wsp:rsid wsp:val=&quot;00847141&quot;/&gt;&lt;wsp:rsid wsp:val=&quot;008474BF&quot;/&gt;&lt;wsp:rsid wsp:val=&quot;00850B99&quot;/&gt;&lt;wsp:rsid wsp:val=&quot;00851392&quot;/&gt;&lt;wsp:rsid wsp:val=&quot;00851DE9&quot;/&gt;&lt;wsp:rsid wsp:val=&quot;00852AC7&quot;/&gt;&lt;wsp:rsid wsp:val=&quot;00852C09&quot;/&gt;&lt;wsp:rsid wsp:val=&quot;0085316E&quot;/&gt;&lt;wsp:rsid wsp:val=&quot;008537E5&quot;/&gt;&lt;wsp:rsid wsp:val=&quot;00853D7B&quot;/&gt;&lt;wsp:rsid wsp:val=&quot;00854B8F&quot;/&gt;&lt;wsp:rsid wsp:val=&quot;00854BBD&quot;/&gt;&lt;wsp:rsid wsp:val=&quot;00855532&quot;/&gt;&lt;wsp:rsid wsp:val=&quot;00855A08&quot;/&gt;&lt;wsp:rsid wsp:val=&quot;008566D6&quot;/&gt;&lt;wsp:rsid wsp:val=&quot;008571B7&quot;/&gt;&lt;wsp:rsid wsp:val=&quot;00857801&quot;/&gt;&lt;wsp:rsid wsp:val=&quot;00857ED4&quot;/&gt;&lt;wsp:rsid wsp:val=&quot;0086048E&quot;/&gt;&lt;wsp:rsid wsp:val=&quot;008608E1&quot;/&gt;&lt;wsp:rsid wsp:val=&quot;00860E3B&quot;/&gt;&lt;wsp:rsid wsp:val=&quot;008619A4&quot;/&gt;&lt;wsp:rsid wsp:val=&quot;00861C0A&quot;/&gt;&lt;wsp:rsid wsp:val=&quot;00861D00&quot;/&gt;&lt;wsp:rsid wsp:val=&quot;008631AB&quot;/&gt;&lt;wsp:rsid wsp:val=&quot;00863830&quot;/&gt;&lt;wsp:rsid wsp:val=&quot;008646DC&quot;/&gt;&lt;wsp:rsid wsp:val=&quot;00864855&quot;/&gt;&lt;wsp:rsid wsp:val=&quot;0086499D&quot;/&gt;&lt;wsp:rsid wsp:val=&quot;00865808&quot;/&gt;&lt;wsp:rsid wsp:val=&quot;008664CE&quot;/&gt;&lt;wsp:rsid wsp:val=&quot;00866CBB&quot;/&gt;&lt;wsp:rsid wsp:val=&quot;00866DF0&quot;/&gt;&lt;wsp:rsid wsp:val=&quot;00866EB9&quot;/&gt;&lt;wsp:rsid wsp:val=&quot;00867206&quot;/&gt;&lt;wsp:rsid wsp:val=&quot;00867DBF&quot;/&gt;&lt;wsp:rsid wsp:val=&quot;00870215&quot;/&gt;&lt;wsp:rsid wsp:val=&quot;00870645&quot;/&gt;&lt;wsp:rsid wsp:val=&quot;00872554&quot;/&gt;&lt;wsp:rsid wsp:val=&quot;0087364A&quot;/&gt;&lt;wsp:rsid wsp:val=&quot;00873EEB&quot;/&gt;&lt;wsp:rsid wsp:val=&quot;00874463&quot;/&gt;&lt;wsp:rsid wsp:val=&quot;00874B26&quot;/&gt;&lt;wsp:rsid wsp:val=&quot;00874F7B&quot;/&gt;&lt;wsp:rsid wsp:val=&quot;00875C6D&quot;/&gt;&lt;wsp:rsid wsp:val=&quot;008779CB&quot;/&gt;&lt;wsp:rsid wsp:val=&quot;0088063C&quot;/&gt;&lt;wsp:rsid wsp:val=&quot;00880BBA&quot;/&gt;&lt;wsp:rsid wsp:val=&quot;00881F70&quot;/&gt;&lt;wsp:rsid wsp:val=&quot;0088293C&quot;/&gt;&lt;wsp:rsid wsp:val=&quot;00882C19&quot;/&gt;&lt;wsp:rsid wsp:val=&quot;00882E8C&quot;/&gt;&lt;wsp:rsid wsp:val=&quot;00882EA7&quot;/&gt;&lt;wsp:rsid wsp:val=&quot;0088309D&quot;/&gt;&lt;wsp:rsid wsp:val=&quot;00883EB7&quot;/&gt;&lt;wsp:rsid wsp:val=&quot;008840A1&quot;/&gt;&lt;wsp:rsid wsp:val=&quot;0088494C&quot;/&gt;&lt;wsp:rsid wsp:val=&quot;00884F47&quot;/&gt;&lt;wsp:rsid wsp:val=&quot;00885087&quot;/&gt;&lt;wsp:rsid wsp:val=&quot;0088515A&quot;/&gt;&lt;wsp:rsid wsp:val=&quot;0088556C&quot;/&gt;&lt;wsp:rsid wsp:val=&quot;00886C62&quot;/&gt;&lt;wsp:rsid wsp:val=&quot;00887DA4&quot;/&gt;&lt;wsp:rsid wsp:val=&quot;00890A17&quot;/&gt;&lt;wsp:rsid wsp:val=&quot;00890B29&quot;/&gt;&lt;wsp:rsid wsp:val=&quot;00890ED9&quot;/&gt;&lt;wsp:rsid wsp:val=&quot;0089195E&quot;/&gt;&lt;wsp:rsid wsp:val=&quot;00891AA3&quot;/&gt;&lt;wsp:rsid wsp:val=&quot;0089244C&quot;/&gt;&lt;wsp:rsid wsp:val=&quot;008926C3&quot;/&gt;&lt;wsp:rsid wsp:val=&quot;00892996&quot;/&gt;&lt;wsp:rsid wsp:val=&quot;008933FF&quot;/&gt;&lt;wsp:rsid wsp:val=&quot;008935DC&quot;/&gt;&lt;wsp:rsid wsp:val=&quot;0089489F&quot;/&gt;&lt;wsp:rsid wsp:val=&quot;00894EA3&quot;/&gt;&lt;wsp:rsid wsp:val=&quot;00895795&quot;/&gt;&lt;wsp:rsid wsp:val=&quot;00895EAD&quot;/&gt;&lt;wsp:rsid wsp:val=&quot;008961B6&quot;/&gt;&lt;wsp:rsid wsp:val=&quot;00897729&quot;/&gt;&lt;wsp:rsid wsp:val=&quot;00897A8E&quot;/&gt;&lt;wsp:rsid wsp:val=&quot;00897C99&quot;/&gt;&lt;wsp:rsid wsp:val=&quot;008A0F2A&quot;/&gt;&lt;wsp:rsid wsp:val=&quot;008A10A6&quot;/&gt;&lt;wsp:rsid wsp:val=&quot;008A1330&quot;/&gt;&lt;wsp:rsid wsp:val=&quot;008A2797&quot;/&gt;&lt;wsp:rsid wsp:val=&quot;008A288D&quot;/&gt;&lt;wsp:rsid wsp:val=&quot;008A3833&quot;/&gt;&lt;wsp:rsid wsp:val=&quot;008A41FA&quot;/&gt;&lt;wsp:rsid wsp:val=&quot;008A5B06&quot;/&gt;&lt;wsp:rsid wsp:val=&quot;008A615B&quot;/&gt;&lt;wsp:rsid wsp:val=&quot;008A63C4&quot;/&gt;&lt;wsp:rsid wsp:val=&quot;008B06AA&quot;/&gt;&lt;wsp:rsid wsp:val=&quot;008B24F3&quot;/&gt;&lt;wsp:rsid wsp:val=&quot;008B3667&quot;/&gt;&lt;wsp:rsid wsp:val=&quot;008B366C&quot;/&gt;&lt;wsp:rsid wsp:val=&quot;008B3741&quot;/&gt;&lt;wsp:rsid wsp:val=&quot;008B380B&quot;/&gt;&lt;wsp:rsid wsp:val=&quot;008B430F&quot;/&gt;&lt;wsp:rsid wsp:val=&quot;008B466F&quot;/&gt;&lt;wsp:rsid wsp:val=&quot;008B4920&quot;/&gt;&lt;wsp:rsid wsp:val=&quot;008B4DA6&quot;/&gt;&lt;wsp:rsid wsp:val=&quot;008B6660&quot;/&gt;&lt;wsp:rsid wsp:val=&quot;008B6928&quot;/&gt;&lt;wsp:rsid wsp:val=&quot;008B76B1&quot;/&gt;&lt;wsp:rsid wsp:val=&quot;008B77CD&quot;/&gt;&lt;wsp:rsid wsp:val=&quot;008B7F60&quot;/&gt;&lt;wsp:rsid wsp:val=&quot;008C03FB&quot;/&gt;&lt;wsp:rsid wsp:val=&quot;008C040F&quot;/&gt;&lt;wsp:rsid wsp:val=&quot;008C1463&quot;/&gt;&lt;wsp:rsid wsp:val=&quot;008C1720&quot;/&gt;&lt;wsp:rsid wsp:val=&quot;008C235F&quot;/&gt;&lt;wsp:rsid wsp:val=&quot;008C2439&quot;/&gt;&lt;wsp:rsid wsp:val=&quot;008C3E75&quot;/&gt;&lt;wsp:rsid wsp:val=&quot;008C3F62&quot;/&gt;&lt;wsp:rsid wsp:val=&quot;008C48BD&quot;/&gt;&lt;wsp:rsid wsp:val=&quot;008C4F23&quot;/&gt;&lt;wsp:rsid wsp:val=&quot;008C53CA&quot;/&gt;&lt;wsp:rsid wsp:val=&quot;008C5B8C&quot;/&gt;&lt;wsp:rsid wsp:val=&quot;008C6279&quot;/&gt;&lt;wsp:rsid wsp:val=&quot;008C6FE9&quot;/&gt;&lt;wsp:rsid wsp:val=&quot;008D0BE2&quot;/&gt;&lt;wsp:rsid wsp:val=&quot;008D1234&quot;/&gt;&lt;wsp:rsid wsp:val=&quot;008D2505&quot;/&gt;&lt;wsp:rsid wsp:val=&quot;008D342B&quot;/&gt;&lt;wsp:rsid wsp:val=&quot;008D407E&quot;/&gt;&lt;wsp:rsid wsp:val=&quot;008D4A4F&quot;/&gt;&lt;wsp:rsid wsp:val=&quot;008D4DDC&quot;/&gt;&lt;wsp:rsid wsp:val=&quot;008D4EE4&quot;/&gt;&lt;wsp:rsid wsp:val=&quot;008D5DB2&quot;/&gt;&lt;wsp:rsid wsp:val=&quot;008D5E9C&quot;/&gt;&lt;wsp:rsid wsp:val=&quot;008D6037&quot;/&gt;&lt;wsp:rsid wsp:val=&quot;008D65C9&quot;/&gt;&lt;wsp:rsid wsp:val=&quot;008D7EB4&quot;/&gt;&lt;wsp:rsid wsp:val=&quot;008E0168&quot;/&gt;&lt;wsp:rsid wsp:val=&quot;008E1789&quot;/&gt;&lt;wsp:rsid wsp:val=&quot;008E1A6E&quot;/&gt;&lt;wsp:rsid wsp:val=&quot;008E1B84&quot;/&gt;&lt;wsp:rsid wsp:val=&quot;008E1D40&quot;/&gt;&lt;wsp:rsid wsp:val=&quot;008E23A3&quot;/&gt;&lt;wsp:rsid wsp:val=&quot;008E23AA&quot;/&gt;&lt;wsp:rsid wsp:val=&quot;008E44DC&quot;/&gt;&lt;wsp:rsid wsp:val=&quot;008E5E60&quot;/&gt;&lt;wsp:rsid wsp:val=&quot;008F0492&quot;/&gt;&lt;wsp:rsid wsp:val=&quot;008F2C2E&quot;/&gt;&lt;wsp:rsid wsp:val=&quot;008F2D03&quot;/&gt;&lt;wsp:rsid wsp:val=&quot;008F5271&quot;/&gt;&lt;wsp:rsid wsp:val=&quot;008F613D&quot;/&gt;&lt;wsp:rsid wsp:val=&quot;008F662D&quot;/&gt;&lt;wsp:rsid wsp:val=&quot;008F7052&quot;/&gt;&lt;wsp:rsid wsp:val=&quot;008F741E&quot;/&gt;&lt;wsp:rsid wsp:val=&quot;009002A7&quot;/&gt;&lt;wsp:rsid wsp:val=&quot;0090050C&quot;/&gt;&lt;wsp:rsid wsp:val=&quot;00903916&quot;/&gt;&lt;wsp:rsid wsp:val=&quot;00904213&quot;/&gt;&lt;wsp:rsid wsp:val=&quot;00904AFF&quot;/&gt;&lt;wsp:rsid wsp:val=&quot;00904F63&quot;/&gt;&lt;wsp:rsid wsp:val=&quot;00905324&quot;/&gt;&lt;wsp:rsid wsp:val=&quot;00905C27&quot;/&gt;&lt;wsp:rsid wsp:val=&quot;009060DC&quot;/&gt;&lt;wsp:rsid wsp:val=&quot;00906188&quot;/&gt;&lt;wsp:rsid wsp:val=&quot;00906409&quot;/&gt;&lt;wsp:rsid wsp:val=&quot;0090692A&quot;/&gt;&lt;wsp:rsid wsp:val=&quot;00907C2C&quot;/&gt;&lt;wsp:rsid wsp:val=&quot;00910471&quot;/&gt;&lt;wsp:rsid wsp:val=&quot;009109C1&quot;/&gt;&lt;wsp:rsid wsp:val=&quot;00910E40&quot;/&gt;&lt;wsp:rsid wsp:val=&quot;00911225&quot;/&gt;&lt;wsp:rsid wsp:val=&quot;00912D49&quot;/&gt;&lt;wsp:rsid wsp:val=&quot;0091383D&quot;/&gt;&lt;wsp:rsid wsp:val=&quot;00913888&quot;/&gt;&lt;wsp:rsid wsp:val=&quot;00913950&quot;/&gt;&lt;wsp:rsid wsp:val=&quot;00913B0A&quot;/&gt;&lt;wsp:rsid wsp:val=&quot;0091426B&quot;/&gt;&lt;wsp:rsid wsp:val=&quot;00914B0F&quot;/&gt;&lt;wsp:rsid wsp:val=&quot;00915407&quot;/&gt;&lt;wsp:rsid wsp:val=&quot;009171F7&quot;/&gt;&lt;wsp:rsid wsp:val=&quot;009174E9&quot;/&gt;&lt;wsp:rsid wsp:val=&quot;009178C5&quot;/&gt;&lt;wsp:rsid wsp:val=&quot;00921A75&quot;/&gt;&lt;wsp:rsid wsp:val=&quot;00922F77&quot;/&gt;&lt;wsp:rsid wsp:val=&quot;00923A25&quot;/&gt;&lt;wsp:rsid wsp:val=&quot;00924476&quot;/&gt;&lt;wsp:rsid wsp:val=&quot;00924549&quot;/&gt;&lt;wsp:rsid wsp:val=&quot;00924855&quot;/&gt;&lt;wsp:rsid wsp:val=&quot;0092600B&quot;/&gt;&lt;wsp:rsid wsp:val=&quot;009275E8&quot;/&gt;&lt;wsp:rsid wsp:val=&quot;00930D9E&quot;/&gt;&lt;wsp:rsid wsp:val=&quot;00931EA4&quot;/&gt;&lt;wsp:rsid wsp:val=&quot;00932256&quot;/&gt;&lt;wsp:rsid wsp:val=&quot;009333A5&quot;/&gt;&lt;wsp:rsid wsp:val=&quot;00933BD4&quot;/&gt;&lt;wsp:rsid wsp:val=&quot;009345FA&quot;/&gt;&lt;wsp:rsid wsp:val=&quot;00934CA8&quot;/&gt;&lt;wsp:rsid wsp:val=&quot;00934CCA&quot;/&gt;&lt;wsp:rsid wsp:val=&quot;009353B3&quot;/&gt;&lt;wsp:rsid wsp:val=&quot;009354A2&quot;/&gt;&lt;wsp:rsid wsp:val=&quot;009356E6&quot;/&gt;&lt;wsp:rsid wsp:val=&quot;009362D1&quot;/&gt;&lt;wsp:rsid wsp:val=&quot;0094278D&quot;/&gt;&lt;wsp:rsid wsp:val=&quot;00944411&quot;/&gt;&lt;wsp:rsid wsp:val=&quot;009473E9&quot;/&gt;&lt;wsp:rsid wsp:val=&quot;00947463&quot;/&gt;&lt;wsp:rsid wsp:val=&quot;00947CE8&quot;/&gt;&lt;wsp:rsid wsp:val=&quot;00950525&quot;/&gt;&lt;wsp:rsid wsp:val=&quot;00951837&quot;/&gt;&lt;wsp:rsid wsp:val=&quot;00951DCB&quot;/&gt;&lt;wsp:rsid wsp:val=&quot;009522D2&quot;/&gt;&lt;wsp:rsid wsp:val=&quot;009527F9&quot;/&gt;&lt;wsp:rsid wsp:val=&quot;00952E0D&quot;/&gt;&lt;wsp:rsid wsp:val=&quot;00953184&quot;/&gt;&lt;wsp:rsid wsp:val=&quot;00953DDC&quot;/&gt;&lt;wsp:rsid wsp:val=&quot;00955286&quot;/&gt;&lt;wsp:rsid wsp:val=&quot;0095576D&quot;/&gt;&lt;wsp:rsid wsp:val=&quot;00955AE7&quot;/&gt;&lt;wsp:rsid wsp:val=&quot;00955F9A&quot;/&gt;&lt;wsp:rsid wsp:val=&quot;00956AEC&quot;/&gt;&lt;wsp:rsid wsp:val=&quot;0095780D&quot;/&gt;&lt;wsp:rsid wsp:val=&quot;00961F82&quot;/&gt;&lt;wsp:rsid wsp:val=&quot;0096207A&quot;/&gt;&lt;wsp:rsid wsp:val=&quot;00962248&quot;/&gt;&lt;wsp:rsid wsp:val=&quot;009630ED&quot;/&gt;&lt;wsp:rsid wsp:val=&quot;00963677&quot;/&gt;&lt;wsp:rsid wsp:val=&quot;009643CD&quot;/&gt;&lt;wsp:rsid wsp:val=&quot;009658C8&quot;/&gt;&lt;wsp:rsid wsp:val=&quot;009658F1&quot;/&gt;&lt;wsp:rsid wsp:val=&quot;0096622B&quot;/&gt;&lt;wsp:rsid wsp:val=&quot;0096658E&quot;/&gt;&lt;wsp:rsid wsp:val=&quot;00966BAA&quot;/&gt;&lt;wsp:rsid wsp:val=&quot;00967C62&quot;/&gt;&lt;wsp:rsid wsp:val=&quot;00970DD8&quot;/&gt;&lt;wsp:rsid wsp:val=&quot;00971511&quot;/&gt;&lt;wsp:rsid wsp:val=&quot;00971C52&quot;/&gt;&lt;wsp:rsid wsp:val=&quot;00971FE7&quot;/&gt;&lt;wsp:rsid wsp:val=&quot;00972297&quot;/&gt;&lt;wsp:rsid wsp:val=&quot;0097245E&quot;/&gt;&lt;wsp:rsid wsp:val=&quot;0097261B&quot;/&gt;&lt;wsp:rsid wsp:val=&quot;00973C55&quot;/&gt;&lt;wsp:rsid wsp:val=&quot;0097411A&quot;/&gt;&lt;wsp:rsid wsp:val=&quot;0097499E&quot;/&gt;&lt;wsp:rsid wsp:val=&quot;00974D13&quot;/&gt;&lt;wsp:rsid wsp:val=&quot;0097502B&quot;/&gt;&lt;wsp:rsid wsp:val=&quot;0097581D&quot;/&gt;&lt;wsp:rsid wsp:val=&quot;009760B4&quot;/&gt;&lt;wsp:rsid wsp:val=&quot;009773DF&quot;/&gt;&lt;wsp:rsid wsp:val=&quot;00977E17&quot;/&gt;&lt;wsp:rsid wsp:val=&quot;009818B0&quot;/&gt;&lt;wsp:rsid wsp:val=&quot;009825DC&quot;/&gt;&lt;wsp:rsid wsp:val=&quot;009834BA&quot;/&gt;&lt;wsp:rsid wsp:val=&quot;00983BF4&quot;/&gt;&lt;wsp:rsid wsp:val=&quot;00984B35&quot;/&gt;&lt;wsp:rsid wsp:val=&quot;00984C60&quot;/&gt;&lt;wsp:rsid wsp:val=&quot;00984C8A&quot;/&gt;&lt;wsp:rsid wsp:val=&quot;00985175&quot;/&gt;&lt;wsp:rsid wsp:val=&quot;0098556C&quot;/&gt;&lt;wsp:rsid wsp:val=&quot;00985692&quot;/&gt;&lt;wsp:rsid wsp:val=&quot;009860EB&quot;/&gt;&lt;wsp:rsid wsp:val=&quot;00986878&quot;/&gt;&lt;wsp:rsid wsp:val=&quot;009878B6&quot;/&gt;&lt;wsp:rsid wsp:val=&quot;00987CFD&quot;/&gt;&lt;wsp:rsid wsp:val=&quot;00987D39&quot;/&gt;&lt;wsp:rsid wsp:val=&quot;009905CB&quot;/&gt;&lt;wsp:rsid wsp:val=&quot;009922D4&quot;/&gt;&lt;wsp:rsid wsp:val=&quot;00992416&quot;/&gt;&lt;wsp:rsid wsp:val=&quot;00992C00&quot;/&gt;&lt;wsp:rsid wsp:val=&quot;0099324D&quot;/&gt;&lt;wsp:rsid wsp:val=&quot;009936C6&quot;/&gt;&lt;wsp:rsid wsp:val=&quot;009949DE&quot;/&gt;&lt;wsp:rsid wsp:val=&quot;009954D0&quot;/&gt;&lt;wsp:rsid wsp:val=&quot;00995C2B&quot;/&gt;&lt;wsp:rsid wsp:val=&quot;0099664C&quot;/&gt;&lt;wsp:rsid wsp:val=&quot;009967D2&quot;/&gt;&lt;wsp:rsid wsp:val=&quot;0099690F&quot;/&gt;&lt;wsp:rsid wsp:val=&quot;009A04E2&quot;/&gt;&lt;wsp:rsid wsp:val=&quot;009A1222&quot;/&gt;&lt;wsp:rsid wsp:val=&quot;009A1ECD&quot;/&gt;&lt;wsp:rsid wsp:val=&quot;009A227A&quot;/&gt;&lt;wsp:rsid wsp:val=&quot;009A2D3E&quot;/&gt;&lt;wsp:rsid wsp:val=&quot;009A2EE4&quot;/&gt;&lt;wsp:rsid wsp:val=&quot;009A407D&quot;/&gt;&lt;wsp:rsid wsp:val=&quot;009A5584&quot;/&gt;&lt;wsp:rsid wsp:val=&quot;009A5F8E&quot;/&gt;&lt;wsp:rsid wsp:val=&quot;009A6B67&quot;/&gt;&lt;wsp:rsid wsp:val=&quot;009A727A&quot;/&gt;&lt;wsp:rsid wsp:val=&quot;009A78C7&quot;/&gt;&lt;wsp:rsid wsp:val=&quot;009A7F65&quot;/&gt;&lt;wsp:rsid wsp:val=&quot;009B0291&quot;/&gt;&lt;wsp:rsid wsp:val=&quot;009B046E&quot;/&gt;&lt;wsp:rsid wsp:val=&quot;009B05CD&quot;/&gt;&lt;wsp:rsid wsp:val=&quot;009B0F88&quot;/&gt;&lt;wsp:rsid wsp:val=&quot;009B14EE&quot;/&gt;&lt;wsp:rsid wsp:val=&quot;009B2250&quot;/&gt;&lt;wsp:rsid wsp:val=&quot;009B50F6&quot;/&gt;&lt;wsp:rsid wsp:val=&quot;009B5D1A&quot;/&gt;&lt;wsp:rsid wsp:val=&quot;009B720A&quot;/&gt;&lt;wsp:rsid wsp:val=&quot;009B7636&quot;/&gt;&lt;wsp:rsid wsp:val=&quot;009B7FB5&quot;/&gt;&lt;wsp:rsid wsp:val=&quot;009C0E14&quot;/&gt;&lt;wsp:rsid wsp:val=&quot;009C1301&quot;/&gt;&lt;wsp:rsid wsp:val=&quot;009C2221&quot;/&gt;&lt;wsp:rsid wsp:val=&quot;009C3687&quot;/&gt;&lt;wsp:rsid wsp:val=&quot;009C4898&quot;/&gt;&lt;wsp:rsid wsp:val=&quot;009C51B6&quot;/&gt;&lt;wsp:rsid wsp:val=&quot;009C54D6&quot;/&gt;&lt;wsp:rsid wsp:val=&quot;009C5E23&quot;/&gt;&lt;wsp:rsid wsp:val=&quot;009C681F&quot;/&gt;&lt;wsp:rsid wsp:val=&quot;009C6AB9&quot;/&gt;&lt;wsp:rsid wsp:val=&quot;009C70C9&quot;/&gt;&lt;wsp:rsid wsp:val=&quot;009D0324&quot;/&gt;&lt;wsp:rsid wsp:val=&quot;009D0FE7&quot;/&gt;&lt;wsp:rsid wsp:val=&quot;009D1977&quot;/&gt;&lt;wsp:rsid wsp:val=&quot;009D1CD3&quot;/&gt;&lt;wsp:rsid wsp:val=&quot;009D1E87&quot;/&gt;&lt;wsp:rsid wsp:val=&quot;009D2263&quot;/&gt;&lt;wsp:rsid wsp:val=&quot;009D2427&quot;/&gt;&lt;wsp:rsid wsp:val=&quot;009D293E&quot;/&gt;&lt;wsp:rsid wsp:val=&quot;009D2E47&quot;/&gt;&lt;wsp:rsid wsp:val=&quot;009D4492&quot;/&gt;&lt;wsp:rsid wsp:val=&quot;009D4D9C&quot;/&gt;&lt;wsp:rsid wsp:val=&quot;009D57AD&quot;/&gt;&lt;wsp:rsid wsp:val=&quot;009D5895&quot;/&gt;&lt;wsp:rsid wsp:val=&quot;009D795E&quot;/&gt;&lt;wsp:rsid wsp:val=&quot;009D7F11&quot;/&gt;&lt;wsp:rsid wsp:val=&quot;009E0A37&quot;/&gt;&lt;wsp:rsid wsp:val=&quot;009E0C22&quot;/&gt;&lt;wsp:rsid wsp:val=&quot;009E136E&quot;/&gt;&lt;wsp:rsid wsp:val=&quot;009E16F6&quot;/&gt;&lt;wsp:rsid wsp:val=&quot;009E243C&quot;/&gt;&lt;wsp:rsid wsp:val=&quot;009E3A48&quot;/&gt;&lt;wsp:rsid wsp:val=&quot;009E4FEF&quot;/&gt;&lt;wsp:rsid wsp:val=&quot;009E516C&quot;/&gt;&lt;wsp:rsid wsp:val=&quot;009E56F4&quot;/&gt;&lt;wsp:rsid wsp:val=&quot;009E5DBB&quot;/&gt;&lt;wsp:rsid wsp:val=&quot;009E6445&quot;/&gt;&lt;wsp:rsid wsp:val=&quot;009E6939&quot;/&gt;&lt;wsp:rsid wsp:val=&quot;009E6965&quot;/&gt;&lt;wsp:rsid wsp:val=&quot;009F198E&quot;/&gt;&lt;wsp:rsid wsp:val=&quot;009F1AC0&quot;/&gt;&lt;wsp:rsid wsp:val=&quot;009F1B38&quot;/&gt;&lt;wsp:rsid wsp:val=&quot;009F221B&quot;/&gt;&lt;wsp:rsid wsp:val=&quot;009F2F9A&quot;/&gt;&lt;wsp:rsid wsp:val=&quot;009F2FE5&quot;/&gt;&lt;wsp:rsid wsp:val=&quot;009F39F8&quot;/&gt;&lt;wsp:rsid wsp:val=&quot;009F3F7A&quot;/&gt;&lt;wsp:rsid wsp:val=&quot;009F4274&quot;/&gt;&lt;wsp:rsid wsp:val=&quot;009F451A&quot;/&gt;&lt;wsp:rsid wsp:val=&quot;009F4839&quot;/&gt;&lt;wsp:rsid wsp:val=&quot;009F4CDA&quot;/&gt;&lt;wsp:rsid wsp:val=&quot;009F5BEC&quot;/&gt;&lt;wsp:rsid wsp:val=&quot;009F7B3F&quot;/&gt;&lt;wsp:rsid wsp:val=&quot;00A007ED&quot;/&gt;&lt;wsp:rsid wsp:val=&quot;00A00C90&quot;/&gt;&lt;wsp:rsid wsp:val=&quot;00A0127F&quot;/&gt;&lt;wsp:rsid wsp:val=&quot;00A0129F&quot;/&gt;&lt;wsp:rsid wsp:val=&quot;00A018B1&quot;/&gt;&lt;wsp:rsid wsp:val=&quot;00A01B4B&quot;/&gt;&lt;wsp:rsid wsp:val=&quot;00A024E2&quot;/&gt;&lt;wsp:rsid wsp:val=&quot;00A0365E&quot;/&gt;&lt;wsp:rsid wsp:val=&quot;00A03976&quot;/&gt;&lt;wsp:rsid wsp:val=&quot;00A045C2&quot;/&gt;&lt;wsp:rsid wsp:val=&quot;00A04650&quot;/&gt;&lt;wsp:rsid wsp:val=&quot;00A04D5B&quot;/&gt;&lt;wsp:rsid wsp:val=&quot;00A05560&quot;/&gt;&lt;wsp:rsid wsp:val=&quot;00A055FB&quot;/&gt;&lt;wsp:rsid wsp:val=&quot;00A0632A&quot;/&gt;&lt;wsp:rsid wsp:val=&quot;00A06945&quot;/&gt;&lt;wsp:rsid wsp:val=&quot;00A10DB4&quot;/&gt;&lt;wsp:rsid wsp:val=&quot;00A11152&quot;/&gt;&lt;wsp:rsid wsp:val=&quot;00A11319&quot;/&gt;&lt;wsp:rsid wsp:val=&quot;00A1163C&quot;/&gt;&lt;wsp:rsid wsp:val=&quot;00A118E3&quot;/&gt;&lt;wsp:rsid wsp:val=&quot;00A12132&quot;/&gt;&lt;wsp:rsid wsp:val=&quot;00A137F3&quot;/&gt;&lt;wsp:rsid wsp:val=&quot;00A14FBA&quot;/&gt;&lt;wsp:rsid wsp:val=&quot;00A17B92&quot;/&gt;&lt;wsp:rsid wsp:val=&quot;00A17E32&quot;/&gt;&lt;wsp:rsid wsp:val=&quot;00A20071&quot;/&gt;&lt;wsp:rsid wsp:val=&quot;00A20574&quot;/&gt;&lt;wsp:rsid wsp:val=&quot;00A210D4&quot;/&gt;&lt;wsp:rsid wsp:val=&quot;00A2231A&quot;/&gt;&lt;wsp:rsid wsp:val=&quot;00A2288E&quot;/&gt;&lt;wsp:rsid wsp:val=&quot;00A231B1&quot;/&gt;&lt;wsp:rsid wsp:val=&quot;00A2331F&quot;/&gt;&lt;wsp:rsid wsp:val=&quot;00A2342F&quot;/&gt;&lt;wsp:rsid wsp:val=&quot;00A23947&quot;/&gt;&lt;wsp:rsid wsp:val=&quot;00A23B0B&quot;/&gt;&lt;wsp:rsid wsp:val=&quot;00A23CAA&quot;/&gt;&lt;wsp:rsid wsp:val=&quot;00A24136&quot;/&gt;&lt;wsp:rsid wsp:val=&quot;00A25045&quot;/&gt;&lt;wsp:rsid wsp:val=&quot;00A25198&quot;/&gt;&lt;wsp:rsid wsp:val=&quot;00A25D65&quot;/&gt;&lt;wsp:rsid wsp:val=&quot;00A2605E&quot;/&gt;&lt;wsp:rsid wsp:val=&quot;00A274D9&quot;/&gt;&lt;wsp:rsid wsp:val=&quot;00A27BD1&quot;/&gt;&lt;wsp:rsid wsp:val=&quot;00A27C3F&quot;/&gt;&lt;wsp:rsid wsp:val=&quot;00A30330&quot;/&gt;&lt;wsp:rsid wsp:val=&quot;00A30F9B&quot;/&gt;&lt;wsp:rsid wsp:val=&quot;00A31438&quot;/&gt;&lt;wsp:rsid wsp:val=&quot;00A32693&quot;/&gt;&lt;wsp:rsid wsp:val=&quot;00A32D6D&quot;/&gt;&lt;wsp:rsid wsp:val=&quot;00A32ED7&quot;/&gt;&lt;wsp:rsid wsp:val=&quot;00A332CF&quot;/&gt;&lt;wsp:rsid wsp:val=&quot;00A33445&quot;/&gt;&lt;wsp:rsid wsp:val=&quot;00A35281&quot;/&gt;&lt;wsp:rsid wsp:val=&quot;00A360E4&quot;/&gt;&lt;wsp:rsid wsp:val=&quot;00A361BC&quot;/&gt;&lt;wsp:rsid wsp:val=&quot;00A3628C&quot;/&gt;&lt;wsp:rsid wsp:val=&quot;00A36395&quot;/&gt;&lt;wsp:rsid wsp:val=&quot;00A36500&quot;/&gt;&lt;wsp:rsid wsp:val=&quot;00A40C7E&quot;/&gt;&lt;wsp:rsid wsp:val=&quot;00A41037&quot;/&gt;&lt;wsp:rsid wsp:val=&quot;00A410DA&quot;/&gt;&lt;wsp:rsid wsp:val=&quot;00A41A19&quot;/&gt;&lt;wsp:rsid wsp:val=&quot;00A421ED&quot;/&gt;&lt;wsp:rsid wsp:val=&quot;00A42956&quot;/&gt;&lt;wsp:rsid wsp:val=&quot;00A43B47&quot;/&gt;&lt;wsp:rsid wsp:val=&quot;00A43F03&quot;/&gt;&lt;wsp:rsid wsp:val=&quot;00A44B9D&quot;/&gt;&lt;wsp:rsid wsp:val=&quot;00A44FC1&quot;/&gt;&lt;wsp:rsid wsp:val=&quot;00A4558D&quot;/&gt;&lt;wsp:rsid wsp:val=&quot;00A461E4&quot;/&gt;&lt;wsp:rsid wsp:val=&quot;00A4770F&quot;/&gt;&lt;wsp:rsid wsp:val=&quot;00A50FA0&quot;/&gt;&lt;wsp:rsid wsp:val=&quot;00A51097&quot;/&gt;&lt;wsp:rsid wsp:val=&quot;00A52511&quot;/&gt;&lt;wsp:rsid wsp:val=&quot;00A53363&quot;/&gt;&lt;wsp:rsid wsp:val=&quot;00A54612&quot;/&gt;&lt;wsp:rsid wsp:val=&quot;00A557A0&quot;/&gt;&lt;wsp:rsid wsp:val=&quot;00A559EF&quot;/&gt;&lt;wsp:rsid wsp:val=&quot;00A567E3&quot;/&gt;&lt;wsp:rsid wsp:val=&quot;00A572F7&quot;/&gt;&lt;wsp:rsid wsp:val=&quot;00A60386&quot;/&gt;&lt;wsp:rsid wsp:val=&quot;00A60669&quot;/&gt;&lt;wsp:rsid wsp:val=&quot;00A60887&quot;/&gt;&lt;wsp:rsid wsp:val=&quot;00A60A0F&quot;/&gt;&lt;wsp:rsid wsp:val=&quot;00A60E11&quot;/&gt;&lt;wsp:rsid wsp:val=&quot;00A61870&quot;/&gt;&lt;wsp:rsid wsp:val=&quot;00A61ECC&quot;/&gt;&lt;wsp:rsid wsp:val=&quot;00A620D7&quot;/&gt;&lt;wsp:rsid wsp:val=&quot;00A62F81&quot;/&gt;&lt;wsp:rsid wsp:val=&quot;00A63249&quot;/&gt;&lt;wsp:rsid wsp:val=&quot;00A64078&quot;/&gt;&lt;wsp:rsid wsp:val=&quot;00A64419&quot;/&gt;&lt;wsp:rsid wsp:val=&quot;00A647DE&quot;/&gt;&lt;wsp:rsid wsp:val=&quot;00A65F3C&quot;/&gt;&lt;wsp:rsid wsp:val=&quot;00A669C2&quot;/&gt;&lt;wsp:rsid wsp:val=&quot;00A6757B&quot;/&gt;&lt;wsp:rsid wsp:val=&quot;00A67A27&quot;/&gt;&lt;wsp:rsid wsp:val=&quot;00A67B9E&quot;/&gt;&lt;wsp:rsid wsp:val=&quot;00A70256&quot;/&gt;&lt;wsp:rsid wsp:val=&quot;00A7067C&quot;/&gt;&lt;wsp:rsid wsp:val=&quot;00A70939&quot;/&gt;&lt;wsp:rsid wsp:val=&quot;00A7149C&quot;/&gt;&lt;wsp:rsid wsp:val=&quot;00A72282&quot;/&gt;&lt;wsp:rsid wsp:val=&quot;00A72288&quot;/&gt;&lt;wsp:rsid wsp:val=&quot;00A726CF&quot;/&gt;&lt;wsp:rsid wsp:val=&quot;00A732FB&quot;/&gt;&lt;wsp:rsid wsp:val=&quot;00A750C2&quot;/&gt;&lt;wsp:rsid wsp:val=&quot;00A75E3B&quot;/&gt;&lt;wsp:rsid wsp:val=&quot;00A765CF&quot;/&gt;&lt;wsp:rsid wsp:val=&quot;00A77478&quot;/&gt;&lt;wsp:rsid wsp:val=&quot;00A80961&quot;/&gt;&lt;wsp:rsid wsp:val=&quot;00A80E3F&quot;/&gt;&lt;wsp:rsid wsp:val=&quot;00A8172D&quot;/&gt;&lt;wsp:rsid wsp:val=&quot;00A81984&quot;/&gt;&lt;wsp:rsid wsp:val=&quot;00A8249D&quot;/&gt;&lt;wsp:rsid wsp:val=&quot;00A82A57&quot;/&gt;&lt;wsp:rsid wsp:val=&quot;00A8314F&quot;/&gt;&lt;wsp:rsid wsp:val=&quot;00A8376F&quot;/&gt;&lt;wsp:rsid wsp:val=&quot;00A83D74&quot;/&gt;&lt;wsp:rsid wsp:val=&quot;00A83DE5&quot;/&gt;&lt;wsp:rsid wsp:val=&quot;00A8476F&quot;/&gt;&lt;wsp:rsid wsp:val=&quot;00A8502A&quot;/&gt;&lt;wsp:rsid wsp:val=&quot;00A867EB&quot;/&gt;&lt;wsp:rsid wsp:val=&quot;00A901B9&quot;/&gt;&lt;wsp:rsid wsp:val=&quot;00A90A0E&quot;/&gt;&lt;wsp:rsid wsp:val=&quot;00A90BEA&quot;/&gt;&lt;wsp:rsid wsp:val=&quot;00A91051&quot;/&gt;&lt;wsp:rsid wsp:val=&quot;00A910AC&quot;/&gt;&lt;wsp:rsid wsp:val=&quot;00A914F0&quot;/&gt;&lt;wsp:rsid wsp:val=&quot;00A92B36&quot;/&gt;&lt;wsp:rsid wsp:val=&quot;00A933CE&quot;/&gt;&lt;wsp:rsid wsp:val=&quot;00A9425D&quot;/&gt;&lt;wsp:rsid wsp:val=&quot;00A943CC&quot;/&gt;&lt;wsp:rsid wsp:val=&quot;00A953FA&quot;/&gt;&lt;wsp:rsid wsp:val=&quot;00A977C5&quot;/&gt;&lt;wsp:rsid wsp:val=&quot;00AA1383&quot;/&gt;&lt;wsp:rsid wsp:val=&quot;00AA1AF4&quot;/&gt;&lt;wsp:rsid wsp:val=&quot;00AA2952&quot;/&gt;&lt;wsp:rsid wsp:val=&quot;00AA3742&quot;/&gt;&lt;wsp:rsid wsp:val=&quot;00AA39DC&quot;/&gt;&lt;wsp:rsid wsp:val=&quot;00AA3A04&quot;/&gt;&lt;wsp:rsid wsp:val=&quot;00AA3B6F&quot;/&gt;&lt;wsp:rsid wsp:val=&quot;00AA45EA&quot;/&gt;&lt;wsp:rsid wsp:val=&quot;00AA4C54&quot;/&gt;&lt;wsp:rsid wsp:val=&quot;00AA4CA2&quot;/&gt;&lt;wsp:rsid wsp:val=&quot;00AA5B3B&quot;/&gt;&lt;wsp:rsid wsp:val=&quot;00AA7789&quot;/&gt;&lt;wsp:rsid wsp:val=&quot;00AB0760&quot;/&gt;&lt;wsp:rsid wsp:val=&quot;00AB121A&quot;/&gt;&lt;wsp:rsid wsp:val=&quot;00AB1D86&quot;/&gt;&lt;wsp:rsid wsp:val=&quot;00AB1E01&quot;/&gt;&lt;wsp:rsid wsp:val=&quot;00AB243A&quot;/&gt;&lt;wsp:rsid wsp:val=&quot;00AB2D8E&quot;/&gt;&lt;wsp:rsid wsp:val=&quot;00AB3375&quot;/&gt;&lt;wsp:rsid wsp:val=&quot;00AB3CC7&quot;/&gt;&lt;wsp:rsid wsp:val=&quot;00AB44C5&quot;/&gt;&lt;wsp:rsid wsp:val=&quot;00AB44F1&quot;/&gt;&lt;wsp:rsid wsp:val=&quot;00AB5416&quot;/&gt;&lt;wsp:rsid wsp:val=&quot;00AB5EAD&quot;/&gt;&lt;wsp:rsid wsp:val=&quot;00AB75CC&quot;/&gt;&lt;wsp:rsid wsp:val=&quot;00AB77AD&quot;/&gt;&lt;wsp:rsid wsp:val=&quot;00AC1797&quot;/&gt;&lt;wsp:rsid wsp:val=&quot;00AC3670&quot;/&gt;&lt;wsp:rsid wsp:val=&quot;00AC3C86&quot;/&gt;&lt;wsp:rsid wsp:val=&quot;00AC4902&quot;/&gt;&lt;wsp:rsid wsp:val=&quot;00AC522A&quot;/&gt;&lt;wsp:rsid wsp:val=&quot;00AC779E&quot;/&gt;&lt;wsp:rsid wsp:val=&quot;00AC7D6B&quot;/&gt;&lt;wsp:rsid wsp:val=&quot;00AD048A&quot;/&gt;&lt;wsp:rsid wsp:val=&quot;00AD09A5&quot;/&gt;&lt;wsp:rsid wsp:val=&quot;00AD0F57&quot;/&gt;&lt;wsp:rsid wsp:val=&quot;00AD1209&quot;/&gt;&lt;wsp:rsid wsp:val=&quot;00AD2366&quot;/&gt;&lt;wsp:rsid wsp:val=&quot;00AD24AE&quot;/&gt;&lt;wsp:rsid wsp:val=&quot;00AD27C1&quot;/&gt;&lt;wsp:rsid wsp:val=&quot;00AD3912&quot;/&gt;&lt;wsp:rsid wsp:val=&quot;00AD47FA&quot;/&gt;&lt;wsp:rsid wsp:val=&quot;00AD4F48&quot;/&gt;&lt;wsp:rsid wsp:val=&quot;00AD5A9B&quot;/&gt;&lt;wsp:rsid wsp:val=&quot;00AD5F7D&quot;/&gt;&lt;wsp:rsid wsp:val=&quot;00AD6271&quot;/&gt;&lt;wsp:rsid wsp:val=&quot;00AD6479&quot;/&gt;&lt;wsp:rsid wsp:val=&quot;00AD6656&quot;/&gt;&lt;wsp:rsid wsp:val=&quot;00AD7E9E&quot;/&gt;&lt;wsp:rsid wsp:val=&quot;00AE01A8&quot;/&gt;&lt;wsp:rsid wsp:val=&quot;00AE0DEB&quot;/&gt;&lt;wsp:rsid wsp:val=&quot;00AE1436&quot;/&gt;&lt;wsp:rsid wsp:val=&quot;00AE14CD&quot;/&gt;&lt;wsp:rsid wsp:val=&quot;00AE23DE&quot;/&gt;&lt;wsp:rsid wsp:val=&quot;00AE2848&quot;/&gt;&lt;wsp:rsid wsp:val=&quot;00AE2F5E&quot;/&gt;&lt;wsp:rsid wsp:val=&quot;00AE34B4&quot;/&gt;&lt;wsp:rsid wsp:val=&quot;00AE4E81&quot;/&gt;&lt;wsp:rsid wsp:val=&quot;00AE662C&quot;/&gt;&lt;wsp:rsid wsp:val=&quot;00AE672C&quot;/&gt;&lt;wsp:rsid wsp:val=&quot;00AE6865&quot;/&gt;&lt;wsp:rsid wsp:val=&quot;00AE7BBE&quot;/&gt;&lt;wsp:rsid wsp:val=&quot;00AE7E61&quot;/&gt;&lt;wsp:rsid wsp:val=&quot;00AF0281&quot;/&gt;&lt;wsp:rsid wsp:val=&quot;00AF04BD&quot;/&gt;&lt;wsp:rsid wsp:val=&quot;00AF10C6&quot;/&gt;&lt;wsp:rsid wsp:val=&quot;00AF17F8&quot;/&gt;&lt;wsp:rsid wsp:val=&quot;00AF234A&quot;/&gt;&lt;wsp:rsid wsp:val=&quot;00AF2404&quot;/&gt;&lt;wsp:rsid wsp:val=&quot;00AF298B&quot;/&gt;&lt;wsp:rsid wsp:val=&quot;00AF34BB&quot;/&gt;&lt;wsp:rsid wsp:val=&quot;00AF390C&quot;/&gt;&lt;wsp:rsid wsp:val=&quot;00AF631B&quot;/&gt;&lt;wsp:rsid wsp:val=&quot;00AF6469&quot;/&gt;&lt;wsp:rsid wsp:val=&quot;00B003E4&quot;/&gt;&lt;wsp:rsid wsp:val=&quot;00B00CF2&quot;/&gt;&lt;wsp:rsid wsp:val=&quot;00B0125E&quot;/&gt;&lt;wsp:rsid wsp:val=&quot;00B012C3&quot;/&gt;&lt;wsp:rsid wsp:val=&quot;00B01509&quot;/&gt;&lt;wsp:rsid wsp:val=&quot;00B02103&quot;/&gt;&lt;wsp:rsid wsp:val=&quot;00B04BCD&quot;/&gt;&lt;wsp:rsid wsp:val=&quot;00B059E3&quot;/&gt;&lt;wsp:rsid wsp:val=&quot;00B06031&quot;/&gt;&lt;wsp:rsid wsp:val=&quot;00B063FB&quot;/&gt;&lt;wsp:rsid wsp:val=&quot;00B06518&quot;/&gt;&lt;wsp:rsid wsp:val=&quot;00B06BD3&quot;/&gt;&lt;wsp:rsid wsp:val=&quot;00B06F3C&quot;/&gt;&lt;wsp:rsid wsp:val=&quot;00B07266&quot;/&gt;&lt;wsp:rsid wsp:val=&quot;00B114E4&quot;/&gt;&lt;wsp:rsid wsp:val=&quot;00B12112&quot;/&gt;&lt;wsp:rsid wsp:val=&quot;00B137D8&quot;/&gt;&lt;wsp:rsid wsp:val=&quot;00B13B8B&quot;/&gt;&lt;wsp:rsid wsp:val=&quot;00B14390&quot;/&gt;&lt;wsp:rsid wsp:val=&quot;00B14E1F&quot;/&gt;&lt;wsp:rsid wsp:val=&quot;00B1608D&quot;/&gt;&lt;wsp:rsid wsp:val=&quot;00B162E5&quot;/&gt;&lt;wsp:rsid wsp:val=&quot;00B16345&quot;/&gt;&lt;wsp:rsid wsp:val=&quot;00B20172&quot;/&gt;&lt;wsp:rsid wsp:val=&quot;00B20A19&quot;/&gt;&lt;wsp:rsid wsp:val=&quot;00B2121C&quot;/&gt;&lt;wsp:rsid wsp:val=&quot;00B22197&quot;/&gt;&lt;wsp:rsid wsp:val=&quot;00B2230B&quot;/&gt;&lt;wsp:rsid wsp:val=&quot;00B2343A&quot;/&gt;&lt;wsp:rsid wsp:val=&quot;00B23718&quot;/&gt;&lt;wsp:rsid wsp:val=&quot;00B25C1F&quot;/&gt;&lt;wsp:rsid wsp:val=&quot;00B26D6C&quot;/&gt;&lt;wsp:rsid wsp:val=&quot;00B307A1&quot;/&gt;&lt;wsp:rsid wsp:val=&quot;00B30A08&quot;/&gt;&lt;wsp:rsid wsp:val=&quot;00B32B18&quot;/&gt;&lt;wsp:rsid wsp:val=&quot;00B33116&quot;/&gt;&lt;wsp:rsid wsp:val=&quot;00B33614&quot;/&gt;&lt;wsp:rsid wsp:val=&quot;00B3462F&quot;/&gt;&lt;wsp:rsid wsp:val=&quot;00B35994&quot;/&gt;&lt;wsp:rsid wsp:val=&quot;00B36D52&quot;/&gt;&lt;wsp:rsid wsp:val=&quot;00B37798&quot;/&gt;&lt;wsp:rsid wsp:val=&quot;00B37875&quot;/&gt;&lt;wsp:rsid wsp:val=&quot;00B43695&quot;/&gt;&lt;wsp:rsid wsp:val=&quot;00B43A87&quot;/&gt;&lt;wsp:rsid wsp:val=&quot;00B44385&quot;/&gt;&lt;wsp:rsid wsp:val=&quot;00B46747&quot;/&gt;&lt;wsp:rsid wsp:val=&quot;00B47FAC&quot;/&gt;&lt;wsp:rsid wsp:val=&quot;00B501D3&quot;/&gt;&lt;wsp:rsid wsp:val=&quot;00B511EC&quot;/&gt;&lt;wsp:rsid wsp:val=&quot;00B51700&quot;/&gt;&lt;wsp:rsid wsp:val=&quot;00B522CE&quot;/&gt;&lt;wsp:rsid wsp:val=&quot;00B5304B&quot;/&gt;&lt;wsp:rsid wsp:val=&quot;00B54B51&quot;/&gt;&lt;wsp:rsid wsp:val=&quot;00B56BF4&quot;/&gt;&lt;wsp:rsid wsp:val=&quot;00B5740A&quot;/&gt;&lt;wsp:rsid wsp:val=&quot;00B60421&quot;/&gt;&lt;wsp:rsid wsp:val=&quot;00B6086A&quot;/&gt;&lt;wsp:rsid wsp:val=&quot;00B60916&quot;/&gt;&lt;wsp:rsid wsp:val=&quot;00B6170E&quot;/&gt;&lt;wsp:rsid wsp:val=&quot;00B62244&quot;/&gt;&lt;wsp:rsid wsp:val=&quot;00B62FB2&quot;/&gt;&lt;wsp:rsid wsp:val=&quot;00B63010&quot;/&gt;&lt;wsp:rsid wsp:val=&quot;00B66479&quot;/&gt;&lt;wsp:rsid wsp:val=&quot;00B66645&quot;/&gt;&lt;wsp:rsid wsp:val=&quot;00B70188&quot;/&gt;&lt;wsp:rsid wsp:val=&quot;00B7035B&quot;/&gt;&lt;wsp:rsid wsp:val=&quot;00B706FA&quot;/&gt;&lt;wsp:rsid wsp:val=&quot;00B713E9&quot;/&gt;&lt;wsp:rsid wsp:val=&quot;00B714E3&quot;/&gt;&lt;wsp:rsid wsp:val=&quot;00B71FA1&quot;/&gt;&lt;wsp:rsid wsp:val=&quot;00B728E8&quot;/&gt;&lt;wsp:rsid wsp:val=&quot;00B749C7&quot;/&gt;&lt;wsp:rsid wsp:val=&quot;00B74BF5&quot;/&gt;&lt;wsp:rsid wsp:val=&quot;00B74BFA&quot;/&gt;&lt;wsp:rsid wsp:val=&quot;00B74E45&quot;/&gt;&lt;wsp:rsid wsp:val=&quot;00B75E58&quot;/&gt;&lt;wsp:rsid wsp:val=&quot;00B76625&quot;/&gt;&lt;wsp:rsid wsp:val=&quot;00B76AC2&quot;/&gt;&lt;wsp:rsid wsp:val=&quot;00B774D6&quot;/&gt;&lt;wsp:rsid wsp:val=&quot;00B77719&quot;/&gt;&lt;wsp:rsid wsp:val=&quot;00B7796A&quot;/&gt;&lt;wsp:rsid wsp:val=&quot;00B806BB&quot;/&gt;&lt;wsp:rsid wsp:val=&quot;00B80F85&quot;/&gt;&lt;wsp:rsid wsp:val=&quot;00B81B11&quot;/&gt;&lt;wsp:rsid wsp:val=&quot;00B81ECA&quot;/&gt;&lt;wsp:rsid wsp:val=&quot;00B82BE6&quot;/&gt;&lt;wsp:rsid wsp:val=&quot;00B835AD&quot;/&gt;&lt;wsp:rsid wsp:val=&quot;00B838B6&quot;/&gt;&lt;wsp:rsid wsp:val=&quot;00B83DE1&quot;/&gt;&lt;wsp:rsid wsp:val=&quot;00B83E3C&quot;/&gt;&lt;wsp:rsid wsp:val=&quot;00B83F12&quot;/&gt;&lt;wsp:rsid wsp:val=&quot;00B84333&quot;/&gt;&lt;wsp:rsid wsp:val=&quot;00B87142&quot;/&gt;&lt;wsp:rsid wsp:val=&quot;00B910F7&quot;/&gt;&lt;wsp:rsid wsp:val=&quot;00B92201&quot;/&gt;&lt;wsp:rsid wsp:val=&quot;00B92317&quot;/&gt;&lt;wsp:rsid wsp:val=&quot;00B92885&quot;/&gt;&lt;wsp:rsid wsp:val=&quot;00B93AB9&quot;/&gt;&lt;wsp:rsid wsp:val=&quot;00B93D0E&quot;/&gt;&lt;wsp:rsid wsp:val=&quot;00B95312&quot;/&gt;&lt;wsp:rsid wsp:val=&quot;00B961FD&quot;/&gt;&lt;wsp:rsid wsp:val=&quot;00B9632F&quot;/&gt;&lt;wsp:rsid wsp:val=&quot;00B970B4&quot;/&gt;&lt;wsp:rsid wsp:val=&quot;00B97252&quot;/&gt;&lt;wsp:rsid wsp:val=&quot;00B9729C&quot;/&gt;&lt;wsp:rsid wsp:val=&quot;00B972E4&quot;/&gt;&lt;wsp:rsid wsp:val=&quot;00B97867&quot;/&gt;&lt;wsp:rsid wsp:val=&quot;00B97931&quot;/&gt;&lt;wsp:rsid wsp:val=&quot;00B97E99&quot;/&gt;&lt;wsp:rsid wsp:val=&quot;00B97FEE&quot;/&gt;&lt;wsp:rsid wsp:val=&quot;00BA0E73&quot;/&gt;&lt;wsp:rsid wsp:val=&quot;00BA1267&quot;/&gt;&lt;wsp:rsid wsp:val=&quot;00BA1976&quot;/&gt;&lt;wsp:rsid wsp:val=&quot;00BA1F38&quot;/&gt;&lt;wsp:rsid wsp:val=&quot;00BA26E2&quot;/&gt;&lt;wsp:rsid wsp:val=&quot;00BA2E26&quot;/&gt;&lt;wsp:rsid wsp:val=&quot;00BA3759&quot;/&gt;&lt;wsp:rsid wsp:val=&quot;00BA49B1&quot;/&gt;&lt;wsp:rsid wsp:val=&quot;00BA4EA4&quot;/&gt;&lt;wsp:rsid wsp:val=&quot;00BA577D&quot;/&gt;&lt;wsp:rsid wsp:val=&quot;00BA6008&quot;/&gt;&lt;wsp:rsid wsp:val=&quot;00BA6830&quot;/&gt;&lt;wsp:rsid wsp:val=&quot;00BA6B4A&quot;/&gt;&lt;wsp:rsid wsp:val=&quot;00BA6C30&quot;/&gt;&lt;wsp:rsid wsp:val=&quot;00BA715C&quot;/&gt;&lt;wsp:rsid wsp:val=&quot;00BA780A&quot;/&gt;&lt;wsp:rsid wsp:val=&quot;00BA7FF2&quot;/&gt;&lt;wsp:rsid wsp:val=&quot;00BB1E5A&quot;/&gt;&lt;wsp:rsid wsp:val=&quot;00BB2F24&quot;/&gt;&lt;wsp:rsid wsp:val=&quot;00BB4EF2&quot;/&gt;&lt;wsp:rsid wsp:val=&quot;00BB5797&quot;/&gt;&lt;wsp:rsid wsp:val=&quot;00BB5948&quot;/&gt;&lt;wsp:rsid wsp:val=&quot;00BB5FEA&quot;/&gt;&lt;wsp:rsid wsp:val=&quot;00BB6854&quot;/&gt;&lt;wsp:rsid wsp:val=&quot;00BB7438&quot;/&gt;&lt;wsp:rsid wsp:val=&quot;00BB7D63&quot;/&gt;&lt;wsp:rsid wsp:val=&quot;00BC036A&quot;/&gt;&lt;wsp:rsid wsp:val=&quot;00BC0E24&quot;/&gt;&lt;wsp:rsid wsp:val=&quot;00BC1124&quot;/&gt;&lt;wsp:rsid wsp:val=&quot;00BC16F4&quot;/&gt;&lt;wsp:rsid wsp:val=&quot;00BC28FE&quot;/&gt;&lt;wsp:rsid wsp:val=&quot;00BC44EF&quot;/&gt;&lt;wsp:rsid wsp:val=&quot;00BC5583&quot;/&gt;&lt;wsp:rsid wsp:val=&quot;00BC5A43&quot;/&gt;&lt;wsp:rsid wsp:val=&quot;00BC6841&quot;/&gt;&lt;wsp:rsid wsp:val=&quot;00BC7DBA&quot;/&gt;&lt;wsp:rsid wsp:val=&quot;00BD0C37&quot;/&gt;&lt;wsp:rsid wsp:val=&quot;00BD1260&quot;/&gt;&lt;wsp:rsid wsp:val=&quot;00BD55BD&quot;/&gt;&lt;wsp:rsid wsp:val=&quot;00BD5725&quot;/&gt;&lt;wsp:rsid wsp:val=&quot;00BD5B85&quot;/&gt;&lt;wsp:rsid wsp:val=&quot;00BD5EBA&quot;/&gt;&lt;wsp:rsid wsp:val=&quot;00BD6727&quot;/&gt;&lt;wsp:rsid wsp:val=&quot;00BD69FD&quot;/&gt;&lt;wsp:rsid wsp:val=&quot;00BE023F&quot;/&gt;&lt;wsp:rsid wsp:val=&quot;00BE3168&quot;/&gt;&lt;wsp:rsid wsp:val=&quot;00BE3538&quot;/&gt;&lt;wsp:rsid wsp:val=&quot;00BE4D71&quot;/&gt;&lt;wsp:rsid wsp:val=&quot;00BE518C&quot;/&gt;&lt;wsp:rsid wsp:val=&quot;00BE5B5F&quot;/&gt;&lt;wsp:rsid wsp:val=&quot;00BE6070&quot;/&gt;&lt;wsp:rsid wsp:val=&quot;00BE6810&quot;/&gt;&lt;wsp:rsid wsp:val=&quot;00BE6CFB&quot;/&gt;&lt;wsp:rsid wsp:val=&quot;00BF20A6&quot;/&gt;&lt;wsp:rsid wsp:val=&quot;00BF20DB&quot;/&gt;&lt;wsp:rsid wsp:val=&quot;00BF2341&quot;/&gt;&lt;wsp:rsid wsp:val=&quot;00BF2DFF&quot;/&gt;&lt;wsp:rsid wsp:val=&quot;00BF3703&quot;/&gt;&lt;wsp:rsid wsp:val=&quot;00BF38B3&quot;/&gt;&lt;wsp:rsid wsp:val=&quot;00BF3AB8&quot;/&gt;&lt;wsp:rsid wsp:val=&quot;00BF3ACD&quot;/&gt;&lt;wsp:rsid wsp:val=&quot;00BF3D9B&quot;/&gt;&lt;wsp:rsid wsp:val=&quot;00BF41F9&quot;/&gt;&lt;wsp:rsid wsp:val=&quot;00BF4DAC&quot;/&gt;&lt;wsp:rsid wsp:val=&quot;00BF520E&quot;/&gt;&lt;wsp:rsid wsp:val=&quot;00BF66F4&quot;/&gt;&lt;wsp:rsid wsp:val=&quot;00BF6DD5&quot;/&gt;&lt;wsp:rsid wsp:val=&quot;00BF6F03&quot;/&gt;&lt;wsp:rsid wsp:val=&quot;00BF7264&quot;/&gt;&lt;wsp:rsid wsp:val=&quot;00C00B6E&quot;/&gt;&lt;wsp:rsid wsp:val=&quot;00C01734&quot;/&gt;&lt;wsp:rsid wsp:val=&quot;00C01F17&quot;/&gt;&lt;wsp:rsid wsp:val=&quot;00C0214E&quot;/&gt;&lt;wsp:rsid wsp:val=&quot;00C02AA1&quot;/&gt;&lt;wsp:rsid wsp:val=&quot;00C02D2E&quot;/&gt;&lt;wsp:rsid wsp:val=&quot;00C02D5B&quot;/&gt;&lt;wsp:rsid wsp:val=&quot;00C046D8&quot;/&gt;&lt;wsp:rsid wsp:val=&quot;00C05234&quot;/&gt;&lt;wsp:rsid wsp:val=&quot;00C06958&quot;/&gt;&lt;wsp:rsid wsp:val=&quot;00C101BB&quot;/&gt;&lt;wsp:rsid wsp:val=&quot;00C1034E&quot;/&gt;&lt;wsp:rsid wsp:val=&quot;00C10F6A&quot;/&gt;&lt;wsp:rsid wsp:val=&quot;00C116A1&quot;/&gt;&lt;wsp:rsid wsp:val=&quot;00C117AF&quot;/&gt;&lt;wsp:rsid wsp:val=&quot;00C117B2&quot;/&gt;&lt;wsp:rsid wsp:val=&quot;00C12448&quot;/&gt;&lt;wsp:rsid wsp:val=&quot;00C12C1C&quot;/&gt;&lt;wsp:rsid wsp:val=&quot;00C1331F&quot;/&gt;&lt;wsp:rsid wsp:val=&quot;00C1371D&quot;/&gt;&lt;wsp:rsid wsp:val=&quot;00C138A0&quot;/&gt;&lt;wsp:rsid wsp:val=&quot;00C1396B&quot;/&gt;&lt;wsp:rsid wsp:val=&quot;00C14037&quot;/&gt;&lt;wsp:rsid wsp:val=&quot;00C15031&quot;/&gt;&lt;wsp:rsid wsp:val=&quot;00C16146&quot;/&gt;&lt;wsp:rsid wsp:val=&quot;00C16BB2&quot;/&gt;&lt;wsp:rsid wsp:val=&quot;00C17169&quot;/&gt;&lt;wsp:rsid wsp:val=&quot;00C20E7B&quot;/&gt;&lt;wsp:rsid wsp:val=&quot;00C2238A&quot;/&gt;&lt;wsp:rsid wsp:val=&quot;00C225FE&quot;/&gt;&lt;wsp:rsid wsp:val=&quot;00C234DF&quot;/&gt;&lt;wsp:rsid wsp:val=&quot;00C239A4&quot;/&gt;&lt;wsp:rsid wsp:val=&quot;00C23D09&quot;/&gt;&lt;wsp:rsid wsp:val=&quot;00C24156&quot;/&gt;&lt;wsp:rsid wsp:val=&quot;00C2447E&quot;/&gt;&lt;wsp:rsid wsp:val=&quot;00C24564&quot;/&gt;&lt;wsp:rsid wsp:val=&quot;00C24715&quot;/&gt;&lt;wsp:rsid wsp:val=&quot;00C25DDA&quot;/&gt;&lt;wsp:rsid wsp:val=&quot;00C26027&quot;/&gt;&lt;wsp:rsid wsp:val=&quot;00C26050&quot;/&gt;&lt;wsp:rsid wsp:val=&quot;00C2610E&quot;/&gt;&lt;wsp:rsid wsp:val=&quot;00C26515&quot;/&gt;&lt;wsp:rsid wsp:val=&quot;00C27A6A&quot;/&gt;&lt;wsp:rsid wsp:val=&quot;00C27AF6&quot;/&gt;&lt;wsp:rsid wsp:val=&quot;00C30660&quot;/&gt;&lt;wsp:rsid wsp:val=&quot;00C30F98&quot;/&gt;&lt;wsp:rsid wsp:val=&quot;00C312E6&quot;/&gt;&lt;wsp:rsid wsp:val=&quot;00C3238F&quot;/&gt;&lt;wsp:rsid wsp:val=&quot;00C32F78&quot;/&gt;&lt;wsp:rsid wsp:val=&quot;00C33FC9&quot;/&gt;&lt;wsp:rsid wsp:val=&quot;00C34FC2&quot;/&gt;&lt;wsp:rsid wsp:val=&quot;00C35384&quot;/&gt;&lt;wsp:rsid wsp:val=&quot;00C357F5&quot;/&gt;&lt;wsp:rsid wsp:val=&quot;00C35AF3&quot;/&gt;&lt;wsp:rsid wsp:val=&quot;00C35D43&quot;/&gt;&lt;wsp:rsid wsp:val=&quot;00C3629E&quot;/&gt;&lt;wsp:rsid wsp:val=&quot;00C37BF5&quot;/&gt;&lt;wsp:rsid wsp:val=&quot;00C40887&quot;/&gt;&lt;wsp:rsid wsp:val=&quot;00C409E6&quot;/&gt;&lt;wsp:rsid wsp:val=&quot;00C4102B&quot;/&gt;&lt;wsp:rsid wsp:val=&quot;00C42C0D&quot;/&gt;&lt;wsp:rsid wsp:val=&quot;00C4491D&quot;/&gt;&lt;wsp:rsid wsp:val=&quot;00C45153&quot;/&gt;&lt;wsp:rsid wsp:val=&quot;00C4584C&quot;/&gt;&lt;wsp:rsid wsp:val=&quot;00C45CB3&quot;/&gt;&lt;wsp:rsid wsp:val=&quot;00C4635B&quot;/&gt;&lt;wsp:rsid wsp:val=&quot;00C463BE&quot;/&gt;&lt;wsp:rsid wsp:val=&quot;00C46728&quot;/&gt;&lt;wsp:rsid wsp:val=&quot;00C468F3&quot;/&gt;&lt;wsp:rsid wsp:val=&quot;00C47799&quot;/&gt;&lt;wsp:rsid wsp:val=&quot;00C47A34&quot;/&gt;&lt;wsp:rsid wsp:val=&quot;00C505AD&quot;/&gt;&lt;wsp:rsid wsp:val=&quot;00C50768&quot;/&gt;&lt;wsp:rsid wsp:val=&quot;00C51DA0&quot;/&gt;&lt;wsp:rsid wsp:val=&quot;00C521AB&quot;/&gt;&lt;wsp:rsid wsp:val=&quot;00C525F7&quot;/&gt;&lt;wsp:rsid wsp:val=&quot;00C52A9C&quot;/&gt;&lt;wsp:rsid wsp:val=&quot;00C53054&quot;/&gt;&lt;wsp:rsid wsp:val=&quot;00C53DB0&quot;/&gt;&lt;wsp:rsid wsp:val=&quot;00C53E18&quot;/&gt;&lt;wsp:rsid wsp:val=&quot;00C53FB1&quot;/&gt;&lt;wsp:rsid wsp:val=&quot;00C549FF&quot;/&gt;&lt;wsp:rsid wsp:val=&quot;00C55F1F&quot;/&gt;&lt;wsp:rsid wsp:val=&quot;00C564C3&quot;/&gt;&lt;wsp:rsid wsp:val=&quot;00C5720E&quot;/&gt;&lt;wsp:rsid wsp:val=&quot;00C57359&quot;/&gt;&lt;wsp:rsid wsp:val=&quot;00C57740&quot;/&gt;&lt;wsp:rsid wsp:val=&quot;00C62887&quot;/&gt;&lt;wsp:rsid wsp:val=&quot;00C63AFA&quot;/&gt;&lt;wsp:rsid wsp:val=&quot;00C64C2E&quot;/&gt;&lt;wsp:rsid wsp:val=&quot;00C655B1&quot;/&gt;&lt;wsp:rsid wsp:val=&quot;00C6597F&quot;/&gt;&lt;wsp:rsid wsp:val=&quot;00C6699B&quot;/&gt;&lt;wsp:rsid wsp:val=&quot;00C66B8E&quot;/&gt;&lt;wsp:rsid wsp:val=&quot;00C6772D&quot;/&gt;&lt;wsp:rsid wsp:val=&quot;00C677C0&quot;/&gt;&lt;wsp:rsid wsp:val=&quot;00C74162&quot;/&gt;&lt;wsp:rsid wsp:val=&quot;00C7484D&quot;/&gt;&lt;wsp:rsid wsp:val=&quot;00C74E28&quot;/&gt;&lt;wsp:rsid wsp:val=&quot;00C759A6&quot;/&gt;&lt;wsp:rsid wsp:val=&quot;00C76417&quot;/&gt;&lt;wsp:rsid wsp:val=&quot;00C76515&quot;/&gt;&lt;wsp:rsid wsp:val=&quot;00C76D8A&quot;/&gt;&lt;wsp:rsid wsp:val=&quot;00C76DF0&quot;/&gt;&lt;wsp:rsid wsp:val=&quot;00C76F3D&quot;/&gt;&lt;wsp:rsid wsp:val=&quot;00C77143&quot;/&gt;&lt;wsp:rsid wsp:val=&quot;00C77223&quot;/&gt;&lt;wsp:rsid wsp:val=&quot;00C7732A&quot;/&gt;&lt;wsp:rsid wsp:val=&quot;00C77941&quot;/&gt;&lt;wsp:rsid wsp:val=&quot;00C77FBB&quot;/&gt;&lt;wsp:rsid wsp:val=&quot;00C81B50&quot;/&gt;&lt;wsp:rsid wsp:val=&quot;00C83BDA&quot;/&gt;&lt;wsp:rsid wsp:val=&quot;00C842E8&quot;/&gt;&lt;wsp:rsid wsp:val=&quot;00C84BCA&quot;/&gt;&lt;wsp:rsid wsp:val=&quot;00C85C31&quot;/&gt;&lt;wsp:rsid wsp:val=&quot;00C86210&quot;/&gt;&lt;wsp:rsid wsp:val=&quot;00C86D60&quot;/&gt;&lt;wsp:rsid wsp:val=&quot;00C87300&quot;/&gt;&lt;wsp:rsid wsp:val=&quot;00C873B9&quot;/&gt;&lt;wsp:rsid wsp:val=&quot;00C9017A&quot;/&gt;&lt;wsp:rsid wsp:val=&quot;00C91217&quot;/&gt;&lt;wsp:rsid wsp:val=&quot;00C92298&quot;/&gt;&lt;wsp:rsid wsp:val=&quot;00C92657&quot;/&gt;&lt;wsp:rsid wsp:val=&quot;00C92F31&quot;/&gt;&lt;wsp:rsid wsp:val=&quot;00C939BC&quot;/&gt;&lt;wsp:rsid wsp:val=&quot;00C93CC5&quot;/&gt;&lt;wsp:rsid wsp:val=&quot;00C95C05&quot;/&gt;&lt;wsp:rsid wsp:val=&quot;00C95D28&quot;/&gt;&lt;wsp:rsid wsp:val=&quot;00C95E98&quot;/&gt;&lt;wsp:rsid wsp:val=&quot;00C9642F&quot;/&gt;&lt;wsp:rsid wsp:val=&quot;00C969DE&quot;/&gt;&lt;wsp:rsid wsp:val=&quot;00CA162D&quot;/&gt;&lt;wsp:rsid wsp:val=&quot;00CA3143&quot;/&gt;&lt;wsp:rsid wsp:val=&quot;00CA3491&quot;/&gt;&lt;wsp:rsid wsp:val=&quot;00CA3EA4&quot;/&gt;&lt;wsp:rsid wsp:val=&quot;00CA5028&quot;/&gt;&lt;wsp:rsid wsp:val=&quot;00CA5533&quot;/&gt;&lt;wsp:rsid wsp:val=&quot;00CA640A&quot;/&gt;&lt;wsp:rsid wsp:val=&quot;00CA6BAD&quot;/&gt;&lt;wsp:rsid wsp:val=&quot;00CA77EF&quot;/&gt;&lt;wsp:rsid wsp:val=&quot;00CB01F6&quot;/&gt;&lt;wsp:rsid wsp:val=&quot;00CB0FB2&quot;/&gt;&lt;wsp:rsid wsp:val=&quot;00CB0FBC&quot;/&gt;&lt;wsp:rsid wsp:val=&quot;00CB1351&quot;/&gt;&lt;wsp:rsid wsp:val=&quot;00CB18B3&quot;/&gt;&lt;wsp:rsid wsp:val=&quot;00CB223C&quot;/&gt;&lt;wsp:rsid wsp:val=&quot;00CB26FB&quot;/&gt;&lt;wsp:rsid wsp:val=&quot;00CB3768&quot;/&gt;&lt;wsp:rsid wsp:val=&quot;00CB394B&quot;/&gt;&lt;wsp:rsid wsp:val=&quot;00CB3E29&quot;/&gt;&lt;wsp:rsid wsp:val=&quot;00CB4151&quot;/&gt;&lt;wsp:rsid wsp:val=&quot;00CB4341&quot;/&gt;&lt;wsp:rsid wsp:val=&quot;00CB4A87&quot;/&gt;&lt;wsp:rsid wsp:val=&quot;00CB5F4A&quot;/&gt;&lt;wsp:rsid wsp:val=&quot;00CB7176&quot;/&gt;&lt;wsp:rsid wsp:val=&quot;00CB764B&quot;/&gt;&lt;wsp:rsid wsp:val=&quot;00CC0160&quot;/&gt;&lt;wsp:rsid wsp:val=&quot;00CC064E&quot;/&gt;&lt;wsp:rsid wsp:val=&quot;00CC0AA4&quot;/&gt;&lt;wsp:rsid wsp:val=&quot;00CC101A&quot;/&gt;&lt;wsp:rsid wsp:val=&quot;00CC14A9&quot;/&gt;&lt;wsp:rsid wsp:val=&quot;00CC1A4F&quot;/&gt;&lt;wsp:rsid wsp:val=&quot;00CC1C5F&quot;/&gt;&lt;wsp:rsid wsp:val=&quot;00CC2064&quot;/&gt;&lt;wsp:rsid wsp:val=&quot;00CC394C&quot;/&gt;&lt;wsp:rsid wsp:val=&quot;00CC3B33&quot;/&gt;&lt;wsp:rsid wsp:val=&quot;00CC484E&quot;/&gt;&lt;wsp:rsid wsp:val=&quot;00CC49D4&quot;/&gt;&lt;wsp:rsid wsp:val=&quot;00CC4AEC&quot;/&gt;&lt;wsp:rsid wsp:val=&quot;00CC4FF9&quot;/&gt;&lt;wsp:rsid wsp:val=&quot;00CC64B1&quot;/&gt;&lt;wsp:rsid wsp:val=&quot;00CC6735&quot;/&gt;&lt;wsp:rsid wsp:val=&quot;00CC67E9&quot;/&gt;&lt;wsp:rsid wsp:val=&quot;00CC69C1&quot;/&gt;&lt;wsp:rsid wsp:val=&quot;00CD073A&quot;/&gt;&lt;wsp:rsid wsp:val=&quot;00CD2528&quot;/&gt;&lt;wsp:rsid wsp:val=&quot;00CD2933&quot;/&gt;&lt;wsp:rsid wsp:val=&quot;00CD2BB3&quot;/&gt;&lt;wsp:rsid wsp:val=&quot;00CD4514&quot;/&gt;&lt;wsp:rsid wsp:val=&quot;00CD52B0&quot;/&gt;&lt;wsp:rsid wsp:val=&quot;00CD72A8&quot;/&gt;&lt;wsp:rsid wsp:val=&quot;00CD774B&quot;/&gt;&lt;wsp:rsid wsp:val=&quot;00CD7FB5&quot;/&gt;&lt;wsp:rsid wsp:val=&quot;00CE0492&quot;/&gt;&lt;wsp:rsid wsp:val=&quot;00CE0579&quot;/&gt;&lt;wsp:rsid wsp:val=&quot;00CE2150&quot;/&gt;&lt;wsp:rsid wsp:val=&quot;00CE2EA9&quot;/&gt;&lt;wsp:rsid wsp:val=&quot;00CE42F7&quot;/&gt;&lt;wsp:rsid wsp:val=&quot;00CE4C26&quot;/&gt;&lt;wsp:rsid wsp:val=&quot;00CE5DF8&quot;/&gt;&lt;wsp:rsid wsp:val=&quot;00CE6972&quot;/&gt;&lt;wsp:rsid wsp:val=&quot;00CE758B&quot;/&gt;&lt;wsp:rsid wsp:val=&quot;00CE7BCA&quot;/&gt;&lt;wsp:rsid wsp:val=&quot;00CF08A9&quot;/&gt;&lt;wsp:rsid wsp:val=&quot;00CF1541&quot;/&gt;&lt;wsp:rsid wsp:val=&quot;00CF1EA2&quot;/&gt;&lt;wsp:rsid wsp:val=&quot;00CF214C&quot;/&gt;&lt;wsp:rsid wsp:val=&quot;00CF369F&quot;/&gt;&lt;wsp:rsid wsp:val=&quot;00CF449C&quot;/&gt;&lt;wsp:rsid wsp:val=&quot;00CF4AE4&quot;/&gt;&lt;wsp:rsid wsp:val=&quot;00CF4B1B&quot;/&gt;&lt;wsp:rsid wsp:val=&quot;00CF565F&quot;/&gt;&lt;wsp:rsid wsp:val=&quot;00CF5EBD&quot;/&gt;&lt;wsp:rsid wsp:val=&quot;00CF5F85&quot;/&gt;&lt;wsp:rsid wsp:val=&quot;00CF7C05&quot;/&gt;&lt;wsp:rsid wsp:val=&quot;00D00224&quot;/&gt;&lt;wsp:rsid wsp:val=&quot;00D00616&quot;/&gt;&lt;wsp:rsid wsp:val=&quot;00D0140B&quot;/&gt;&lt;wsp:rsid wsp:val=&quot;00D01907&quot;/&gt;&lt;wsp:rsid wsp:val=&quot;00D0223E&quot;/&gt;&lt;wsp:rsid wsp:val=&quot;00D02703&quot;/&gt;&lt;wsp:rsid wsp:val=&quot;00D02710&quot;/&gt;&lt;wsp:rsid wsp:val=&quot;00D02E42&quot;/&gt;&lt;wsp:rsid wsp:val=&quot;00D039C4&quot;/&gt;&lt;wsp:rsid wsp:val=&quot;00D03BAF&quot;/&gt;&lt;wsp:rsid wsp:val=&quot;00D056DF&quot;/&gt;&lt;wsp:rsid wsp:val=&quot;00D05D66&quot;/&gt;&lt;wsp:rsid wsp:val=&quot;00D06043&quot;/&gt;&lt;wsp:rsid wsp:val=&quot;00D0648A&quot;/&gt;&lt;wsp:rsid wsp:val=&quot;00D06866&quot;/&gt;&lt;wsp:rsid wsp:val=&quot;00D0689B&quot;/&gt;&lt;wsp:rsid wsp:val=&quot;00D0706D&quot;/&gt;&lt;wsp:rsid wsp:val=&quot;00D070B9&quot;/&gt;&lt;wsp:rsid wsp:val=&quot;00D070DA&quot;/&gt;&lt;wsp:rsid wsp:val=&quot;00D10021&quot;/&gt;&lt;wsp:rsid wsp:val=&quot;00D10E48&quot;/&gt;&lt;wsp:rsid wsp:val=&quot;00D117B7&quot;/&gt;&lt;wsp:rsid wsp:val=&quot;00D1187F&quot;/&gt;&lt;wsp:rsid wsp:val=&quot;00D124A7&quot;/&gt;&lt;wsp:rsid wsp:val=&quot;00D12659&quot;/&gt;&lt;wsp:rsid wsp:val=&quot;00D1277A&quot;/&gt;&lt;wsp:rsid wsp:val=&quot;00D12941&quot;/&gt;&lt;wsp:rsid wsp:val=&quot;00D133B9&quot;/&gt;&lt;wsp:rsid wsp:val=&quot;00D13C7D&quot;/&gt;&lt;wsp:rsid wsp:val=&quot;00D13F35&quot;/&gt;&lt;wsp:rsid wsp:val=&quot;00D14F28&quot;/&gt;&lt;wsp:rsid wsp:val=&quot;00D153FE&quot;/&gt;&lt;wsp:rsid wsp:val=&quot;00D15DAF&quot;/&gt;&lt;wsp:rsid wsp:val=&quot;00D15E58&quot;/&gt;&lt;wsp:rsid wsp:val=&quot;00D1681C&quot;/&gt;&lt;wsp:rsid wsp:val=&quot;00D170D6&quot;/&gt;&lt;wsp:rsid wsp:val=&quot;00D174C4&quot;/&gt;&lt;wsp:rsid wsp:val=&quot;00D21F31&quot;/&gt;&lt;wsp:rsid wsp:val=&quot;00D24E6C&quot;/&gt;&lt;wsp:rsid wsp:val=&quot;00D24F4E&quot;/&gt;&lt;wsp:rsid wsp:val=&quot;00D25354&quot;/&gt;&lt;wsp:rsid wsp:val=&quot;00D25CAA&quot;/&gt;&lt;wsp:rsid wsp:val=&quot;00D263AA&quot;/&gt;&lt;wsp:rsid wsp:val=&quot;00D26A9A&quot;/&gt;&lt;wsp:rsid wsp:val=&quot;00D26EEB&quot;/&gt;&lt;wsp:rsid wsp:val=&quot;00D27888&quot;/&gt;&lt;wsp:rsid wsp:val=&quot;00D278E7&quot;/&gt;&lt;wsp:rsid wsp:val=&quot;00D27A94&quot;/&gt;&lt;wsp:rsid wsp:val=&quot;00D30917&quot;/&gt;&lt;wsp:rsid wsp:val=&quot;00D30963&quot;/&gt;&lt;wsp:rsid wsp:val=&quot;00D30AE2&quot;/&gt;&lt;wsp:rsid wsp:val=&quot;00D31EB2&quot;/&gt;&lt;wsp:rsid wsp:val=&quot;00D32751&quot;/&gt;&lt;wsp:rsid wsp:val=&quot;00D32F3B&quot;/&gt;&lt;wsp:rsid wsp:val=&quot;00D34299&quot;/&gt;&lt;wsp:rsid wsp:val=&quot;00D346FA&quot;/&gt;&lt;wsp:rsid wsp:val=&quot;00D34888&quot;/&gt;&lt;wsp:rsid wsp:val=&quot;00D3577F&quot;/&gt;&lt;wsp:rsid wsp:val=&quot;00D35F85&quot;/&gt;&lt;wsp:rsid wsp:val=&quot;00D364FF&quot;/&gt;&lt;wsp:rsid wsp:val=&quot;00D365B5&quot;/&gt;&lt;wsp:rsid wsp:val=&quot;00D378F4&quot;/&gt;&lt;wsp:rsid wsp:val=&quot;00D37A6D&quot;/&gt;&lt;wsp:rsid wsp:val=&quot;00D37B7A&quot;/&gt;&lt;wsp:rsid wsp:val=&quot;00D37EDE&quot;/&gt;&lt;wsp:rsid wsp:val=&quot;00D40759&quot;/&gt;&lt;wsp:rsid wsp:val=&quot;00D409C8&quot;/&gt;&lt;wsp:rsid wsp:val=&quot;00D41F1D&quot;/&gt;&lt;wsp:rsid wsp:val=&quot;00D41FCB&quot;/&gt;&lt;wsp:rsid wsp:val=&quot;00D4230D&quot;/&gt;&lt;wsp:rsid wsp:val=&quot;00D4235B&quot;/&gt;&lt;wsp:rsid wsp:val=&quot;00D44857&quot;/&gt;&lt;wsp:rsid wsp:val=&quot;00D449D8&quot;/&gt;&lt;wsp:rsid wsp:val=&quot;00D449FE&quot;/&gt;&lt;wsp:rsid wsp:val=&quot;00D4577F&quot;/&gt;&lt;wsp:rsid wsp:val=&quot;00D45C9B&quot;/&gt;&lt;wsp:rsid wsp:val=&quot;00D45DA4&quot;/&gt;&lt;wsp:rsid wsp:val=&quot;00D45E71&quot;/&gt;&lt;wsp:rsid wsp:val=&quot;00D46490&quot;/&gt;&lt;wsp:rsid wsp:val=&quot;00D467C4&quot;/&gt;&lt;wsp:rsid wsp:val=&quot;00D471C6&quot;/&gt;&lt;wsp:rsid wsp:val=&quot;00D5013B&quot;/&gt;&lt;wsp:rsid wsp:val=&quot;00D503FD&quot;/&gt;&lt;wsp:rsid wsp:val=&quot;00D508CF&quot;/&gt;&lt;wsp:rsid wsp:val=&quot;00D50BCE&quot;/&gt;&lt;wsp:rsid wsp:val=&quot;00D52BFD&quot;/&gt;&lt;wsp:rsid wsp:val=&quot;00D52CD5&quot;/&gt;&lt;wsp:rsid wsp:val=&quot;00D52FCD&quot;/&gt;&lt;wsp:rsid wsp:val=&quot;00D53153&quot;/&gt;&lt;wsp:rsid wsp:val=&quot;00D54BC3&quot;/&gt;&lt;wsp:rsid wsp:val=&quot;00D5586C&quot;/&gt;&lt;wsp:rsid wsp:val=&quot;00D55AD1&quot;/&gt;&lt;wsp:rsid wsp:val=&quot;00D55EBB&quot;/&gt;&lt;wsp:rsid wsp:val=&quot;00D56D1E&quot;/&gt;&lt;wsp:rsid wsp:val=&quot;00D5701A&quot;/&gt;&lt;wsp:rsid wsp:val=&quot;00D60AF0&quot;/&gt;&lt;wsp:rsid wsp:val=&quot;00D60CD0&quot;/&gt;&lt;wsp:rsid wsp:val=&quot;00D614B7&quot;/&gt;&lt;wsp:rsid wsp:val=&quot;00D6296F&quot;/&gt;&lt;wsp:rsid wsp:val=&quot;00D634C6&quot;/&gt;&lt;wsp:rsid wsp:val=&quot;00D63677&quot;/&gt;&lt;wsp:rsid wsp:val=&quot;00D64F19&quot;/&gt;&lt;wsp:rsid wsp:val=&quot;00D65111&quot;/&gt;&lt;wsp:rsid wsp:val=&quot;00D65A45&quot;/&gt;&lt;wsp:rsid wsp:val=&quot;00D6758C&quot;/&gt;&lt;wsp:rsid wsp:val=&quot;00D70F07&quot;/&gt;&lt;wsp:rsid wsp:val=&quot;00D723B3&quot;/&gt;&lt;wsp:rsid wsp:val=&quot;00D726FD&quot;/&gt;&lt;wsp:rsid wsp:val=&quot;00D73E90&quot;/&gt;&lt;wsp:rsid wsp:val=&quot;00D748B5&quot;/&gt;&lt;wsp:rsid wsp:val=&quot;00D749B2&quot;/&gt;&lt;wsp:rsid wsp:val=&quot;00D7511A&quot;/&gt;&lt;wsp:rsid wsp:val=&quot;00D75525&quot;/&gt;&lt;wsp:rsid wsp:val=&quot;00D75B8D&quot;/&gt;&lt;wsp:rsid wsp:val=&quot;00D76442&quot;/&gt;&lt;wsp:rsid wsp:val=&quot;00D76725&quot;/&gt;&lt;wsp:rsid wsp:val=&quot;00D76E82&quot;/&gt;&lt;wsp:rsid wsp:val=&quot;00D7701E&quot;/&gt;&lt;wsp:rsid wsp:val=&quot;00D77A61&quot;/&gt;&lt;wsp:rsid wsp:val=&quot;00D77DB0&quot;/&gt;&lt;wsp:rsid wsp:val=&quot;00D81B87&quot;/&gt;&lt;wsp:rsid wsp:val=&quot;00D81F86&quot;/&gt;&lt;wsp:rsid wsp:val=&quot;00D82822&quot;/&gt;&lt;wsp:rsid wsp:val=&quot;00D82A82&quot;/&gt;&lt;wsp:rsid wsp:val=&quot;00D8305D&quot;/&gt;&lt;wsp:rsid wsp:val=&quot;00D832A9&quot;/&gt;&lt;wsp:rsid wsp:val=&quot;00D83720&quot;/&gt;&lt;wsp:rsid wsp:val=&quot;00D83CE6&quot;/&gt;&lt;wsp:rsid wsp:val=&quot;00D843B4&quot;/&gt;&lt;wsp:rsid wsp:val=&quot;00D846B5&quot;/&gt;&lt;wsp:rsid wsp:val=&quot;00D854CB&quot;/&gt;&lt;wsp:rsid wsp:val=&quot;00D8588E&quot;/&gt;&lt;wsp:rsid wsp:val=&quot;00D85BB2&quot;/&gt;&lt;wsp:rsid wsp:val=&quot;00D86C91&quot;/&gt;&lt;wsp:rsid wsp:val=&quot;00D86DE4&quot;/&gt;&lt;wsp:rsid wsp:val=&quot;00D8758F&quot;/&gt;&lt;wsp:rsid wsp:val=&quot;00D87810&quot;/&gt;&lt;wsp:rsid wsp:val=&quot;00D87C44&quot;/&gt;&lt;wsp:rsid wsp:val=&quot;00D907B1&quot;/&gt;&lt;wsp:rsid wsp:val=&quot;00D90D17&quot;/&gt;&lt;wsp:rsid wsp:val=&quot;00D92355&quot;/&gt;&lt;wsp:rsid wsp:val=&quot;00D92FF1&quot;/&gt;&lt;wsp:rsid wsp:val=&quot;00D92FFD&quot;/&gt;&lt;wsp:rsid wsp:val=&quot;00D93919&quot;/&gt;&lt;wsp:rsid wsp:val=&quot;00D9717E&quot;/&gt;&lt;wsp:rsid wsp:val=&quot;00DA0497&quot;/&gt;&lt;wsp:rsid wsp:val=&quot;00DA0FE1&quot;/&gt;&lt;wsp:rsid wsp:val=&quot;00DA14D3&quot;/&gt;&lt;wsp:rsid wsp:val=&quot;00DA1F30&quot;/&gt;&lt;wsp:rsid wsp:val=&quot;00DA1FE8&quot;/&gt;&lt;wsp:rsid wsp:val=&quot;00DA2CBD&quot;/&gt;&lt;wsp:rsid wsp:val=&quot;00DA32CA&quot;/&gt;&lt;wsp:rsid wsp:val=&quot;00DA3AF7&quot;/&gt;&lt;wsp:rsid wsp:val=&quot;00DA5F40&quot;/&gt;&lt;wsp:rsid wsp:val=&quot;00DA70F9&quot;/&gt;&lt;wsp:rsid wsp:val=&quot;00DA7D63&quot;/&gt;&lt;wsp:rsid wsp:val=&quot;00DB0957&quot;/&gt;&lt;wsp:rsid wsp:val=&quot;00DB0BCE&quot;/&gt;&lt;wsp:rsid wsp:val=&quot;00DB10D2&quot;/&gt;&lt;wsp:rsid wsp:val=&quot;00DB19EE&quot;/&gt;&lt;wsp:rsid wsp:val=&quot;00DB3C9F&quot;/&gt;&lt;wsp:rsid wsp:val=&quot;00DB5AEC&quot;/&gt;&lt;wsp:rsid wsp:val=&quot;00DB5CF2&quot;/&gt;&lt;wsp:rsid wsp:val=&quot;00DB6345&quot;/&gt;&lt;wsp:rsid wsp:val=&quot;00DB6389&quot;/&gt;&lt;wsp:rsid wsp:val=&quot;00DB66B7&quot;/&gt;&lt;wsp:rsid wsp:val=&quot;00DB7313&quot;/&gt;&lt;wsp:rsid wsp:val=&quot;00DC0097&quot;/&gt;&lt;wsp:rsid wsp:val=&quot;00DC13A2&quot;/&gt;&lt;wsp:rsid wsp:val=&quot;00DC16CB&quot;/&gt;&lt;wsp:rsid wsp:val=&quot;00DC1741&quot;/&gt;&lt;wsp:rsid wsp:val=&quot;00DC1DA4&quot;/&gt;&lt;wsp:rsid wsp:val=&quot;00DC1E0A&quot;/&gt;&lt;wsp:rsid wsp:val=&quot;00DC23EC&quot;/&gt;&lt;wsp:rsid wsp:val=&quot;00DC2B68&quot;/&gt;&lt;wsp:rsid wsp:val=&quot;00DC349C&quot;/&gt;&lt;wsp:rsid wsp:val=&quot;00DC3991&quot;/&gt;&lt;wsp:rsid wsp:val=&quot;00DC4264&quot;/&gt;&lt;wsp:rsid wsp:val=&quot;00DC42B6&quot;/&gt;&lt;wsp:rsid wsp:val=&quot;00DC4868&quot;/&gt;&lt;wsp:rsid wsp:val=&quot;00DC5DF0&quot;/&gt;&lt;wsp:rsid wsp:val=&quot;00DC6330&quot;/&gt;&lt;wsp:rsid wsp:val=&quot;00DC6EB0&quot;/&gt;&lt;wsp:rsid wsp:val=&quot;00DC7182&quot;/&gt;&lt;wsp:rsid wsp:val=&quot;00DC743F&quot;/&gt;&lt;wsp:rsid wsp:val=&quot;00DC7A61&quot;/&gt;&lt;wsp:rsid wsp:val=&quot;00DC7B3D&quot;/&gt;&lt;wsp:rsid wsp:val=&quot;00DD1194&quot;/&gt;&lt;wsp:rsid wsp:val=&quot;00DD1FEB&quot;/&gt;&lt;wsp:rsid wsp:val=&quot;00DD3CEB&quot;/&gt;&lt;wsp:rsid wsp:val=&quot;00DD4676&quot;/&gt;&lt;wsp:rsid wsp:val=&quot;00DD4FC7&quot;/&gt;&lt;wsp:rsid wsp:val=&quot;00DD5EDB&quot;/&gt;&lt;wsp:rsid wsp:val=&quot;00DD619B&quot;/&gt;&lt;wsp:rsid wsp:val=&quot;00DD6A85&quot;/&gt;&lt;wsp:rsid wsp:val=&quot;00DD750F&quot;/&gt;&lt;wsp:rsid wsp:val=&quot;00DD7E59&quot;/&gt;&lt;wsp:rsid wsp:val=&quot;00DE0460&quot;/&gt;&lt;wsp:rsid wsp:val=&quot;00DE0BD2&quot;/&gt;&lt;wsp:rsid wsp:val=&quot;00DE1E21&quot;/&gt;&lt;wsp:rsid wsp:val=&quot;00DE27B5&quot;/&gt;&lt;wsp:rsid wsp:val=&quot;00DE2CAD&quot;/&gt;&lt;wsp:rsid wsp:val=&quot;00DE37B0&quot;/&gt;&lt;wsp:rsid wsp:val=&quot;00DE4218&quot;/&gt;&lt;wsp:rsid wsp:val=&quot;00DE48DA&quot;/&gt;&lt;wsp:rsid wsp:val=&quot;00DE7C7B&quot;/&gt;&lt;wsp:rsid wsp:val=&quot;00DE7D52&quot;/&gt;&lt;wsp:rsid wsp:val=&quot;00DF1B20&quot;/&gt;&lt;wsp:rsid wsp:val=&quot;00DF226B&quot;/&gt;&lt;wsp:rsid wsp:val=&quot;00DF30C2&quot;/&gt;&lt;wsp:rsid wsp:val=&quot;00DF3BB2&quot;/&gt;&lt;wsp:rsid wsp:val=&quot;00DF51D0&quot;/&gt;&lt;wsp:rsid wsp:val=&quot;00DF5558&quot;/&gt;&lt;wsp:rsid wsp:val=&quot;00DF5C45&quot;/&gt;&lt;wsp:rsid wsp:val=&quot;00DF5D94&quot;/&gt;&lt;wsp:rsid wsp:val=&quot;00DF618A&quot;/&gt;&lt;wsp:rsid wsp:val=&quot;00DF6D18&quot;/&gt;&lt;wsp:rsid wsp:val=&quot;00DF6E82&quot;/&gt;&lt;wsp:rsid wsp:val=&quot;00DF7AE7&quot;/&gt;&lt;wsp:rsid wsp:val=&quot;00DF7BDE&quot;/&gt;&lt;wsp:rsid wsp:val=&quot;00DF7DB3&quot;/&gt;&lt;wsp:rsid wsp:val=&quot;00E0064E&quot;/&gt;&lt;wsp:rsid wsp:val=&quot;00E01270&quot;/&gt;&lt;wsp:rsid wsp:val=&quot;00E01334&quot;/&gt;&lt;wsp:rsid wsp:val=&quot;00E01756&quot;/&gt;&lt;wsp:rsid wsp:val=&quot;00E01B90&quot;/&gt;&lt;wsp:rsid wsp:val=&quot;00E0306D&quot;/&gt;&lt;wsp:rsid wsp:val=&quot;00E03AB7&quot;/&gt;&lt;wsp:rsid wsp:val=&quot;00E0497D&quot;/&gt;&lt;wsp:rsid wsp:val=&quot;00E05544&quot;/&gt;&lt;wsp:rsid wsp:val=&quot;00E065BF&quot;/&gt;&lt;wsp:rsid wsp:val=&quot;00E06A64&quot;/&gt;&lt;wsp:rsid wsp:val=&quot;00E06DED&quot;/&gt;&lt;wsp:rsid wsp:val=&quot;00E079FF&quot;/&gt;&lt;wsp:rsid wsp:val=&quot;00E07F9C&quot;/&gt;&lt;wsp:rsid wsp:val=&quot;00E11992&quot;/&gt;&lt;wsp:rsid wsp:val=&quot;00E1259D&quot;/&gt;&lt;wsp:rsid wsp:val=&quot;00E12B17&quot;/&gt;&lt;wsp:rsid wsp:val=&quot;00E142B1&quot;/&gt;&lt;wsp:rsid wsp:val=&quot;00E14847&quot;/&gt;&lt;wsp:rsid wsp:val=&quot;00E15485&quot;/&gt;&lt;wsp:rsid wsp:val=&quot;00E15669&quot;/&gt;&lt;wsp:rsid wsp:val=&quot;00E15898&quot;/&gt;&lt;wsp:rsid wsp:val=&quot;00E162C6&quot;/&gt;&lt;wsp:rsid wsp:val=&quot;00E16714&quot;/&gt;&lt;wsp:rsid wsp:val=&quot;00E16ABA&quot;/&gt;&lt;wsp:rsid wsp:val=&quot;00E171FB&quot;/&gt;&lt;wsp:rsid wsp:val=&quot;00E1784C&quot;/&gt;&lt;wsp:rsid wsp:val=&quot;00E20780&quot;/&gt;&lt;wsp:rsid wsp:val=&quot;00E20D9D&quot;/&gt;&lt;wsp:rsid wsp:val=&quot;00E222D2&quot;/&gt;&lt;wsp:rsid wsp:val=&quot;00E22E1B&quot;/&gt;&lt;wsp:rsid wsp:val=&quot;00E2350F&quot;/&gt;&lt;wsp:rsid wsp:val=&quot;00E2412D&quot;/&gt;&lt;wsp:rsid wsp:val=&quot;00E24801&quot;/&gt;&lt;wsp:rsid wsp:val=&quot;00E24D12&quot;/&gt;&lt;wsp:rsid wsp:val=&quot;00E24E2D&quot;/&gt;&lt;wsp:rsid wsp:val=&quot;00E268D9&quot;/&gt;&lt;wsp:rsid wsp:val=&quot;00E26C4F&quot;/&gt;&lt;wsp:rsid wsp:val=&quot;00E26DB0&quot;/&gt;&lt;wsp:rsid wsp:val=&quot;00E2716A&quot;/&gt;&lt;wsp:rsid wsp:val=&quot;00E27A77&quot;/&gt;&lt;wsp:rsid wsp:val=&quot;00E30A11&quot;/&gt;&lt;wsp:rsid wsp:val=&quot;00E30AFB&quot;/&gt;&lt;wsp:rsid wsp:val=&quot;00E30F30&quot;/&gt;&lt;wsp:rsid wsp:val=&quot;00E3239A&quot;/&gt;&lt;wsp:rsid wsp:val=&quot;00E32A7F&quot;/&gt;&lt;wsp:rsid wsp:val=&quot;00E33711&quot;/&gt;&lt;wsp:rsid wsp:val=&quot;00E33BDB&quot;/&gt;&lt;wsp:rsid wsp:val=&quot;00E33D75&quot;/&gt;&lt;wsp:rsid wsp:val=&quot;00E350E6&quot;/&gt;&lt;wsp:rsid wsp:val=&quot;00E356DF&quot;/&gt;&lt;wsp:rsid wsp:val=&quot;00E36381&quot;/&gt;&lt;wsp:rsid wsp:val=&quot;00E37410&quot;/&gt;&lt;wsp:rsid wsp:val=&quot;00E3794D&quot;/&gt;&lt;wsp:rsid wsp:val=&quot;00E37EC2&quot;/&gt;&lt;wsp:rsid wsp:val=&quot;00E4025C&quot;/&gt;&lt;wsp:rsid wsp:val=&quot;00E42363&quot;/&gt;&lt;wsp:rsid wsp:val=&quot;00E424CA&quot;/&gt;&lt;wsp:rsid wsp:val=&quot;00E42540&quot;/&gt;&lt;wsp:rsid wsp:val=&quot;00E43161&quot;/&gt;&lt;wsp:rsid wsp:val=&quot;00E4370D&quot;/&gt;&lt;wsp:rsid wsp:val=&quot;00E437CD&quot;/&gt;&lt;wsp:rsid wsp:val=&quot;00E43B3E&quot;/&gt;&lt;wsp:rsid wsp:val=&quot;00E43B99&quot;/&gt;&lt;wsp:rsid wsp:val=&quot;00E43F56&quot;/&gt;&lt;wsp:rsid wsp:val=&quot;00E43F93&quot;/&gt;&lt;wsp:rsid wsp:val=&quot;00E443C9&quot;/&gt;&lt;wsp:rsid wsp:val=&quot;00E44DA1&quot;/&gt;&lt;wsp:rsid wsp:val=&quot;00E45141&quot;/&gt;&lt;wsp:rsid wsp:val=&quot;00E4521F&quot;/&gt;&lt;wsp:rsid wsp:val=&quot;00E45276&quot;/&gt;&lt;wsp:rsid wsp:val=&quot;00E4547C&quot;/&gt;&lt;wsp:rsid wsp:val=&quot;00E45503&quot;/&gt;&lt;wsp:rsid wsp:val=&quot;00E46264&quot;/&gt;&lt;wsp:rsid wsp:val=&quot;00E52112&quot;/&gt;&lt;wsp:rsid wsp:val=&quot;00E52C4B&quot;/&gt;&lt;wsp:rsid wsp:val=&quot;00E549A5&quot;/&gt;&lt;wsp:rsid wsp:val=&quot;00E550D2&quot;/&gt;&lt;wsp:rsid wsp:val=&quot;00E57BBC&quot;/&gt;&lt;wsp:rsid wsp:val=&quot;00E60315&quot;/&gt;&lt;wsp:rsid wsp:val=&quot;00E6120E&quot;/&gt;&lt;wsp:rsid wsp:val=&quot;00E612FB&quot;/&gt;&lt;wsp:rsid wsp:val=&quot;00E632FE&quot;/&gt;&lt;wsp:rsid wsp:val=&quot;00E63A1A&quot;/&gt;&lt;wsp:rsid wsp:val=&quot;00E641FD&quot;/&gt;&lt;wsp:rsid wsp:val=&quot;00E6505C&quot;/&gt;&lt;wsp:rsid wsp:val=&quot;00E6596C&quot;/&gt;&lt;wsp:rsid wsp:val=&quot;00E6673E&quot;/&gt;&lt;wsp:rsid wsp:val=&quot;00E67EB7&quot;/&gt;&lt;wsp:rsid wsp:val=&quot;00E7130C&quot;/&gt;&lt;wsp:rsid wsp:val=&quot;00E71921&quot;/&gt;&lt;wsp:rsid wsp:val=&quot;00E71D67&quot;/&gt;&lt;wsp:rsid wsp:val=&quot;00E7231E&quot;/&gt;&lt;wsp:rsid wsp:val=&quot;00E72F90&quot;/&gt;&lt;wsp:rsid wsp:val=&quot;00E7374A&quot;/&gt;&lt;wsp:rsid wsp:val=&quot;00E737CF&quot;/&gt;&lt;wsp:rsid wsp:val=&quot;00E746C5&quot;/&gt;&lt;wsp:rsid wsp:val=&quot;00E74EE0&quot;/&gt;&lt;wsp:rsid wsp:val=&quot;00E75338&quot;/&gt;&lt;wsp:rsid wsp:val=&quot;00E75A03&quot;/&gt;&lt;wsp:rsid wsp:val=&quot;00E764DB&quot;/&gt;&lt;wsp:rsid wsp:val=&quot;00E767FD&quot;/&gt;&lt;wsp:rsid wsp:val=&quot;00E76B7D&quot;/&gt;&lt;wsp:rsid wsp:val=&quot;00E76DBC&quot;/&gt;&lt;wsp:rsid wsp:val=&quot;00E770F5&quot;/&gt;&lt;wsp:rsid wsp:val=&quot;00E771C6&quot;/&gt;&lt;wsp:rsid wsp:val=&quot;00E775ED&quot;/&gt;&lt;wsp:rsid wsp:val=&quot;00E77EF6&quot;/&gt;&lt;wsp:rsid wsp:val=&quot;00E80AED&quot;/&gt;&lt;wsp:rsid wsp:val=&quot;00E81941&quot;/&gt;&lt;wsp:rsid wsp:val=&quot;00E82021&quot;/&gt;&lt;wsp:rsid wsp:val=&quot;00E820E1&quot;/&gt;&lt;wsp:rsid wsp:val=&quot;00E824A8&quot;/&gt;&lt;wsp:rsid wsp:val=&quot;00E8405A&quot;/&gt;&lt;wsp:rsid wsp:val=&quot;00E859ED&quot;/&gt;&lt;wsp:rsid wsp:val=&quot;00E86C4A&quot;/&gt;&lt;wsp:rsid wsp:val=&quot;00E9010E&quot;/&gt;&lt;wsp:rsid wsp:val=&quot;00E90B85&quot;/&gt;&lt;wsp:rsid wsp:val=&quot;00E915FB&quot;/&gt;&lt;wsp:rsid wsp:val=&quot;00E9162C&quot;/&gt;&lt;wsp:rsid wsp:val=&quot;00E92CAC&quot;/&gt;&lt;wsp:rsid wsp:val=&quot;00E94992&quot;/&gt;&lt;wsp:rsid wsp:val=&quot;00E9628B&quot;/&gt;&lt;wsp:rsid wsp:val=&quot;00E96B1F&quot;/&gt;&lt;wsp:rsid wsp:val=&quot;00EA2B25&quot;/&gt;&lt;wsp:rsid wsp:val=&quot;00EA31A6&quot;/&gt;&lt;wsp:rsid wsp:val=&quot;00EA33AE&quot;/&gt;&lt;wsp:rsid wsp:val=&quot;00EA603C&quot;/&gt;&lt;wsp:rsid wsp:val=&quot;00EB0190&quot;/&gt;&lt;wsp:rsid wsp:val=&quot;00EB05EB&quot;/&gt;&lt;wsp:rsid wsp:val=&quot;00EB0E4B&quot;/&gt;&lt;wsp:rsid wsp:val=&quot;00EB1614&quot;/&gt;&lt;wsp:rsid wsp:val=&quot;00EB1CBC&quot;/&gt;&lt;wsp:rsid wsp:val=&quot;00EB1F16&quot;/&gt;&lt;wsp:rsid wsp:val=&quot;00EB2B7A&quot;/&gt;&lt;wsp:rsid wsp:val=&quot;00EB4056&quot;/&gt;&lt;wsp:rsid wsp:val=&quot;00EB406D&quot;/&gt;&lt;wsp:rsid wsp:val=&quot;00EB4550&quot;/&gt;&lt;wsp:rsid wsp:val=&quot;00EB46CC&quot;/&gt;&lt;wsp:rsid wsp:val=&quot;00EB5E01&quot;/&gt;&lt;wsp:rsid wsp:val=&quot;00EB63D4&quot;/&gt;&lt;wsp:rsid wsp:val=&quot;00EB6CCA&quot;/&gt;&lt;wsp:rsid wsp:val=&quot;00EC0B13&quot;/&gt;&lt;wsp:rsid wsp:val=&quot;00EC26E2&quot;/&gt;&lt;wsp:rsid wsp:val=&quot;00EC2F15&quot;/&gt;&lt;wsp:rsid wsp:val=&quot;00EC329E&quot;/&gt;&lt;wsp:rsid wsp:val=&quot;00EC3B4B&quot;/&gt;&lt;wsp:rsid wsp:val=&quot;00EC5132&quot;/&gt;&lt;wsp:rsid wsp:val=&quot;00EC5C93&quot;/&gt;&lt;wsp:rsid wsp:val=&quot;00EC610C&quot;/&gt;&lt;wsp:rsid wsp:val=&quot;00EC65BD&quot;/&gt;&lt;wsp:rsid wsp:val=&quot;00EC76E6&quot;/&gt;&lt;wsp:rsid wsp:val=&quot;00EC7B19&quot;/&gt;&lt;wsp:rsid wsp:val=&quot;00EC7CDC&quot;/&gt;&lt;wsp:rsid wsp:val=&quot;00ED0B7F&quot;/&gt;&lt;wsp:rsid wsp:val=&quot;00ED117E&quot;/&gt;&lt;wsp:rsid wsp:val=&quot;00ED25FB&quot;/&gt;&lt;wsp:rsid wsp:val=&quot;00ED3575&quot;/&gt;&lt;wsp:rsid wsp:val=&quot;00ED42CB&quot;/&gt;&lt;wsp:rsid wsp:val=&quot;00ED5676&quot;/&gt;&lt;wsp:rsid wsp:val=&quot;00ED58E9&quot;/&gt;&lt;wsp:rsid wsp:val=&quot;00ED5B84&quot;/&gt;&lt;wsp:rsid wsp:val=&quot;00ED5ECD&quot;/&gt;&lt;wsp:rsid wsp:val=&quot;00ED5F2F&quot;/&gt;&lt;wsp:rsid wsp:val=&quot;00ED6198&quot;/&gt;&lt;wsp:rsid wsp:val=&quot;00ED65E1&quot;/&gt;&lt;wsp:rsid wsp:val=&quot;00EE0F6F&quot;/&gt;&lt;wsp:rsid wsp:val=&quot;00EE18AC&quot;/&gt;&lt;wsp:rsid wsp:val=&quot;00EE1CEF&quot;/&gt;&lt;wsp:rsid wsp:val=&quot;00EE1D8B&quot;/&gt;&lt;wsp:rsid wsp:val=&quot;00EE25F6&quot;/&gt;&lt;wsp:rsid wsp:val=&quot;00EE2818&quot;/&gt;&lt;wsp:rsid wsp:val=&quot;00EE4311&quot;/&gt;&lt;wsp:rsid wsp:val=&quot;00EE4BFD&quot;/&gt;&lt;wsp:rsid wsp:val=&quot;00EE4F11&quot;/&gt;&lt;wsp:rsid wsp:val=&quot;00EE58AA&quot;/&gt;&lt;wsp:rsid wsp:val=&quot;00EE6648&quot;/&gt;&lt;wsp:rsid wsp:val=&quot;00EE6B2F&quot;/&gt;&lt;wsp:rsid wsp:val=&quot;00EE76C3&quot;/&gt;&lt;wsp:rsid wsp:val=&quot;00EE79C4&quot;/&gt;&lt;wsp:rsid wsp:val=&quot;00EF0A2C&quot;/&gt;&lt;wsp:rsid wsp:val=&quot;00EF0E2E&quot;/&gt;&lt;wsp:rsid wsp:val=&quot;00EF10F6&quot;/&gt;&lt;wsp:rsid wsp:val=&quot;00EF2B82&quot;/&gt;&lt;wsp:rsid wsp:val=&quot;00EF2E00&quot;/&gt;&lt;wsp:rsid wsp:val=&quot;00EF31ED&quot;/&gt;&lt;wsp:rsid wsp:val=&quot;00EF33B0&quot;/&gt;&lt;wsp:rsid wsp:val=&quot;00EF4753&quot;/&gt;&lt;wsp:rsid wsp:val=&quot;00EF5D71&quot;/&gt;&lt;wsp:rsid wsp:val=&quot;00EF65BD&quot;/&gt;&lt;wsp:rsid wsp:val=&quot;00EF6B93&quot;/&gt;&lt;wsp:rsid wsp:val=&quot;00EF6D12&quot;/&gt;&lt;wsp:rsid wsp:val=&quot;00EF6DE2&quot;/&gt;&lt;wsp:rsid wsp:val=&quot;00EF6FC6&quot;/&gt;&lt;wsp:rsid wsp:val=&quot;00EF7217&quot;/&gt;&lt;wsp:rsid wsp:val=&quot;00F00D92&quot;/&gt;&lt;wsp:rsid wsp:val=&quot;00F0111D&quot;/&gt;&lt;wsp:rsid wsp:val=&quot;00F0262A&quot;/&gt;&lt;wsp:rsid wsp:val=&quot;00F0289E&quot;/&gt;&lt;wsp:rsid wsp:val=&quot;00F03147&quot;/&gt;&lt;wsp:rsid wsp:val=&quot;00F03CFF&quot;/&gt;&lt;wsp:rsid wsp:val=&quot;00F03D92&quot;/&gt;&lt;wsp:rsid wsp:val=&quot;00F03EF0&quot;/&gt;&lt;wsp:rsid wsp:val=&quot;00F050F9&quot;/&gt;&lt;wsp:rsid wsp:val=&quot;00F0535B&quot;/&gt;&lt;wsp:rsid wsp:val=&quot;00F05796&quot;/&gt;&lt;wsp:rsid wsp:val=&quot;00F0579C&quot;/&gt;&lt;wsp:rsid wsp:val=&quot;00F05C55&quot;/&gt;&lt;wsp:rsid wsp:val=&quot;00F061D0&quot;/&gt;&lt;wsp:rsid wsp:val=&quot;00F06783&quot;/&gt;&lt;wsp:rsid wsp:val=&quot;00F067A6&quot;/&gt;&lt;wsp:rsid wsp:val=&quot;00F073A2&quot;/&gt;&lt;wsp:rsid wsp:val=&quot;00F073E6&quot;/&gt;&lt;wsp:rsid wsp:val=&quot;00F07D21&quot;/&gt;&lt;wsp:rsid wsp:val=&quot;00F109BF&quot;/&gt;&lt;wsp:rsid wsp:val=&quot;00F10AA2&quot;/&gt;&lt;wsp:rsid wsp:val=&quot;00F10DD8&quot;/&gt;&lt;wsp:rsid wsp:val=&quot;00F1118B&quot;/&gt;&lt;wsp:rsid wsp:val=&quot;00F11618&quot;/&gt;&lt;wsp:rsid wsp:val=&quot;00F117A3&quot;/&gt;&lt;wsp:rsid wsp:val=&quot;00F11E1A&quot;/&gt;&lt;wsp:rsid wsp:val=&quot;00F1276A&quot;/&gt;&lt;wsp:rsid wsp:val=&quot;00F12BC1&quot;/&gt;&lt;wsp:rsid wsp:val=&quot;00F13161&quot;/&gt;&lt;wsp:rsid wsp:val=&quot;00F13A4A&quot;/&gt;&lt;wsp:rsid wsp:val=&quot;00F13F13&quot;/&gt;&lt;wsp:rsid wsp:val=&quot;00F13F6E&quot;/&gt;&lt;wsp:rsid wsp:val=&quot;00F141FD&quot;/&gt;&lt;wsp:rsid wsp:val=&quot;00F14C33&quot;/&gt;&lt;wsp:rsid wsp:val=&quot;00F15C49&quot;/&gt;&lt;wsp:rsid wsp:val=&quot;00F15CFB&quot;/&gt;&lt;wsp:rsid wsp:val=&quot;00F1686D&quot;/&gt;&lt;wsp:rsid wsp:val=&quot;00F175BE&quot;/&gt;&lt;wsp:rsid wsp:val=&quot;00F1798D&quot;/&gt;&lt;wsp:rsid wsp:val=&quot;00F17C3A&quot;/&gt;&lt;wsp:rsid wsp:val=&quot;00F202E1&quot;/&gt;&lt;wsp:rsid wsp:val=&quot;00F203E0&quot;/&gt;&lt;wsp:rsid wsp:val=&quot;00F20684&quot;/&gt;&lt;wsp:rsid wsp:val=&quot;00F20C9A&quot;/&gt;&lt;wsp:rsid wsp:val=&quot;00F219A4&quot;/&gt;&lt;wsp:rsid wsp:val=&quot;00F22915&quot;/&gt;&lt;wsp:rsid wsp:val=&quot;00F22ACC&quot;/&gt;&lt;wsp:rsid wsp:val=&quot;00F24548&quot;/&gt;&lt;wsp:rsid wsp:val=&quot;00F24639&quot;/&gt;&lt;wsp:rsid wsp:val=&quot;00F249EB&quot;/&gt;&lt;wsp:rsid wsp:val=&quot;00F24CD9&quot;/&gt;&lt;wsp:rsid wsp:val=&quot;00F258F6&quot;/&gt;&lt;wsp:rsid wsp:val=&quot;00F26A24&quot;/&gt;&lt;wsp:rsid wsp:val=&quot;00F27D4E&quot;/&gt;&lt;wsp:rsid wsp:val=&quot;00F30099&quot;/&gt;&lt;wsp:rsid wsp:val=&quot;00F300AD&quot;/&gt;&lt;wsp:rsid wsp:val=&quot;00F30757&quot;/&gt;&lt;wsp:rsid wsp:val=&quot;00F30F08&quot;/&gt;&lt;wsp:rsid wsp:val=&quot;00F313A8&quot;/&gt;&lt;wsp:rsid wsp:val=&quot;00F322FC&quot;/&gt;&lt;wsp:rsid wsp:val=&quot;00F32609&quot;/&gt;&lt;wsp:rsid wsp:val=&quot;00F3385C&quot;/&gt;&lt;wsp:rsid wsp:val=&quot;00F35347&quot;/&gt;&lt;wsp:rsid wsp:val=&quot;00F3535C&quot;/&gt;&lt;wsp:rsid wsp:val=&quot;00F35F4D&quot;/&gt;&lt;wsp:rsid wsp:val=&quot;00F364A7&quot;/&gt;&lt;wsp:rsid wsp:val=&quot;00F3675F&quot;/&gt;&lt;wsp:rsid wsp:val=&quot;00F36E36&quot;/&gt;&lt;wsp:rsid wsp:val=&quot;00F37814&quot;/&gt;&lt;wsp:rsid wsp:val=&quot;00F4054B&quot;/&gt;&lt;wsp:rsid wsp:val=&quot;00F411A5&quot;/&gt;&lt;wsp:rsid wsp:val=&quot;00F42C4C&quot;/&gt;&lt;wsp:rsid wsp:val=&quot;00F42CB1&quot;/&gt;&lt;wsp:rsid wsp:val=&quot;00F42D3B&quot;/&gt;&lt;wsp:rsid wsp:val=&quot;00F42DA6&quot;/&gt;&lt;wsp:rsid wsp:val=&quot;00F44296&quot;/&gt;&lt;wsp:rsid wsp:val=&quot;00F4554A&quot;/&gt;&lt;wsp:rsid wsp:val=&quot;00F47303&quot;/&gt;&lt;wsp:rsid wsp:val=&quot;00F50A07&quot;/&gt;&lt;wsp:rsid wsp:val=&quot;00F50F1B&quot;/&gt;&lt;wsp:rsid wsp:val=&quot;00F51B3A&quot;/&gt;&lt;wsp:rsid wsp:val=&quot;00F527AC&quot;/&gt;&lt;wsp:rsid wsp:val=&quot;00F546BE&quot;/&gt;&lt;wsp:rsid wsp:val=&quot;00F548D3&quot;/&gt;&lt;wsp:rsid wsp:val=&quot;00F54A5B&quot;/&gt;&lt;wsp:rsid wsp:val=&quot;00F54FD8&quot;/&gt;&lt;wsp:rsid wsp:val=&quot;00F55B3B&quot;/&gt;&lt;wsp:rsid wsp:val=&quot;00F562A5&quot;/&gt;&lt;wsp:rsid wsp:val=&quot;00F567E3&quot;/&gt;&lt;wsp:rsid wsp:val=&quot;00F56C03&quot;/&gt;&lt;wsp:rsid wsp:val=&quot;00F56CB6&quot;/&gt;&lt;wsp:rsid wsp:val=&quot;00F570AA&quot;/&gt;&lt;wsp:rsid wsp:val=&quot;00F60127&quot;/&gt;&lt;wsp:rsid wsp:val=&quot;00F607CE&quot;/&gt;&lt;wsp:rsid wsp:val=&quot;00F61C44&quot;/&gt;&lt;wsp:rsid wsp:val=&quot;00F61D70&quot;/&gt;&lt;wsp:rsid wsp:val=&quot;00F62340&quot;/&gt;&lt;wsp:rsid wsp:val=&quot;00F62ED0&quot;/&gt;&lt;wsp:rsid wsp:val=&quot;00F6375E&quot;/&gt;&lt;wsp:rsid wsp:val=&quot;00F638CD&quot;/&gt;&lt;wsp:rsid wsp:val=&quot;00F64D76&quot;/&gt;&lt;wsp:rsid wsp:val=&quot;00F650EA&quot;/&gt;&lt;wsp:rsid wsp:val=&quot;00F6644A&quot;/&gt;&lt;wsp:rsid wsp:val=&quot;00F66504&quot;/&gt;&lt;wsp:rsid wsp:val=&quot;00F6660C&quot;/&gt;&lt;wsp:rsid wsp:val=&quot;00F66BD1&quot;/&gt;&lt;wsp:rsid wsp:val=&quot;00F6761D&quot;/&gt;&lt;wsp:rsid wsp:val=&quot;00F67CF0&quot;/&gt;&lt;wsp:rsid wsp:val=&quot;00F67DAB&quot;/&gt;&lt;wsp:rsid wsp:val=&quot;00F70020&quot;/&gt;&lt;wsp:rsid wsp:val=&quot;00F7054F&quot;/&gt;&lt;wsp:rsid wsp:val=&quot;00F7156C&quot;/&gt;&lt;wsp:rsid wsp:val=&quot;00F72C1B&quot;/&gt;&lt;wsp:rsid wsp:val=&quot;00F72F8C&quot;/&gt;&lt;wsp:rsid wsp:val=&quot;00F74676&quot;/&gt;&lt;wsp:rsid wsp:val=&quot;00F75714&quot;/&gt;&lt;wsp:rsid wsp:val=&quot;00F7710A&quot;/&gt;&lt;wsp:rsid wsp:val=&quot;00F778D0&quot;/&gt;&lt;wsp:rsid wsp:val=&quot;00F8024D&quot;/&gt;&lt;wsp:rsid wsp:val=&quot;00F8051D&quot;/&gt;&lt;wsp:rsid wsp:val=&quot;00F80987&quot;/&gt;&lt;wsp:rsid wsp:val=&quot;00F8188D&quot;/&gt;&lt;wsp:rsid wsp:val=&quot;00F81E6F&quot;/&gt;&lt;wsp:rsid wsp:val=&quot;00F81F8A&quot;/&gt;&lt;wsp:rsid wsp:val=&quot;00F821BC&quot;/&gt;&lt;wsp:rsid wsp:val=&quot;00F829F7&quot;/&gt;&lt;wsp:rsid wsp:val=&quot;00F84A83&quot;/&gt;&lt;wsp:rsid wsp:val=&quot;00F85FF6&quot;/&gt;&lt;wsp:rsid wsp:val=&quot;00F86335&quot;/&gt;&lt;wsp:rsid wsp:val=&quot;00F906A4&quot;/&gt;&lt;wsp:rsid wsp:val=&quot;00F914D3&quot;/&gt;&lt;wsp:rsid wsp:val=&quot;00F91959&quot;/&gt;&lt;wsp:rsid wsp:val=&quot;00F925A2&quot;/&gt;&lt;wsp:rsid wsp:val=&quot;00F94408&quot;/&gt;&lt;wsp:rsid wsp:val=&quot;00F9453B&quot;/&gt;&lt;wsp:rsid wsp:val=&quot;00F9487F&quot;/&gt;&lt;wsp:rsid wsp:val=&quot;00F949A0&quot;/&gt;&lt;wsp:rsid wsp:val=&quot;00F94CEE&quot;/&gt;&lt;wsp:rsid wsp:val=&quot;00F95B3F&quot;/&gt;&lt;wsp:rsid wsp:val=&quot;00F95B4A&quot;/&gt;&lt;wsp:rsid wsp:val=&quot;00F95D0A&quot;/&gt;&lt;wsp:rsid wsp:val=&quot;00F96820&quot;/&gt;&lt;wsp:rsid wsp:val=&quot;00F97AAD&quot;/&gt;&lt;wsp:rsid wsp:val=&quot;00FA0D6A&quot;/&gt;&lt;wsp:rsid wsp:val=&quot;00FA1052&quot;/&gt;&lt;wsp:rsid wsp:val=&quot;00FA18F1&quot;/&gt;&lt;wsp:rsid wsp:val=&quot;00FA1A01&quot;/&gt;&lt;wsp:rsid wsp:val=&quot;00FA23D8&quot;/&gt;&lt;wsp:rsid wsp:val=&quot;00FA3106&quot;/&gt;&lt;wsp:rsid wsp:val=&quot;00FA3E32&quot;/&gt;&lt;wsp:rsid wsp:val=&quot;00FA40D6&quot;/&gt;&lt;wsp:rsid wsp:val=&quot;00FA47D7&quot;/&gt;&lt;wsp:rsid wsp:val=&quot;00FA495A&quot;/&gt;&lt;wsp:rsid wsp:val=&quot;00FA5556&quot;/&gt;&lt;wsp:rsid wsp:val=&quot;00FA5A54&quot;/&gt;&lt;wsp:rsid wsp:val=&quot;00FA6921&quot;/&gt;&lt;wsp:rsid wsp:val=&quot;00FA6BA9&quot;/&gt;&lt;wsp:rsid wsp:val=&quot;00FA6FDC&quot;/&gt;&lt;wsp:rsid wsp:val=&quot;00FA7470&quot;/&gt;&lt;wsp:rsid wsp:val=&quot;00FB02DE&quot;/&gt;&lt;wsp:rsid wsp:val=&quot;00FB05E6&quot;/&gt;&lt;wsp:rsid wsp:val=&quot;00FB1610&quot;/&gt;&lt;wsp:rsid wsp:val=&quot;00FB1C7A&quot;/&gt;&lt;wsp:rsid wsp:val=&quot;00FB24F4&quot;/&gt;&lt;wsp:rsid wsp:val=&quot;00FB271E&quot;/&gt;&lt;wsp:rsid wsp:val=&quot;00FB2D8D&quot;/&gt;&lt;wsp:rsid wsp:val=&quot;00FB3330&quot;/&gt;&lt;wsp:rsid wsp:val=&quot;00FB46B4&quot;/&gt;&lt;wsp:rsid wsp:val=&quot;00FB4AE7&quot;/&gt;&lt;wsp:rsid wsp:val=&quot;00FB58EA&quot;/&gt;&lt;wsp:rsid wsp:val=&quot;00FB6796&quot;/&gt;&lt;wsp:rsid wsp:val=&quot;00FB683E&quot;/&gt;&lt;wsp:rsid wsp:val=&quot;00FB687F&quot;/&gt;&lt;wsp:rsid wsp:val=&quot;00FB69F1&quot;/&gt;&lt;wsp:rsid wsp:val=&quot;00FC087A&quot;/&gt;&lt;wsp:rsid wsp:val=&quot;00FC176D&quot;/&gt;&lt;wsp:rsid wsp:val=&quot;00FC1D66&quot;/&gt;&lt;wsp:rsid wsp:val=&quot;00FC2087&quot;/&gt;&lt;wsp:rsid wsp:val=&quot;00FC21E1&quot;/&gt;&lt;wsp:rsid wsp:val=&quot;00FC28F1&quot;/&gt;&lt;wsp:rsid wsp:val=&quot;00FC3D80&quot;/&gt;&lt;wsp:rsid wsp:val=&quot;00FC43F7&quot;/&gt;&lt;wsp:rsid wsp:val=&quot;00FC4C14&quot;/&gt;&lt;wsp:rsid wsp:val=&quot;00FC5D60&quot;/&gt;&lt;wsp:rsid wsp:val=&quot;00FC65FA&quot;/&gt;&lt;wsp:rsid wsp:val=&quot;00FC7094&quot;/&gt;&lt;wsp:rsid wsp:val=&quot;00FD099C&quot;/&gt;&lt;wsp:rsid wsp:val=&quot;00FD0C4F&quot;/&gt;&lt;wsp:rsid wsp:val=&quot;00FD0D46&quot;/&gt;&lt;wsp:rsid wsp:val=&quot;00FD1673&quot;/&gt;&lt;wsp:rsid wsp:val=&quot;00FD1B8A&quot;/&gt;&lt;wsp:rsid wsp:val=&quot;00FD1F84&quot;/&gt;&lt;wsp:rsid wsp:val=&quot;00FD1FD0&quot;/&gt;&lt;wsp:rsid wsp:val=&quot;00FD3190&quot;/&gt;&lt;wsp:rsid wsp:val=&quot;00FD37F7&quot;/&gt;&lt;wsp:rsid wsp:val=&quot;00FD3884&quot;/&gt;&lt;wsp:rsid wsp:val=&quot;00FD3E5F&quot;/&gt;&lt;wsp:rsid wsp:val=&quot;00FD41F6&quot;/&gt;&lt;wsp:rsid wsp:val=&quot;00FD42AB&quot;/&gt;&lt;wsp:rsid wsp:val=&quot;00FD4603&quot;/&gt;&lt;wsp:rsid wsp:val=&quot;00FD4863&quot;/&gt;&lt;wsp:rsid wsp:val=&quot;00FD4DA1&quot;/&gt;&lt;wsp:rsid wsp:val=&quot;00FD56D8&quot;/&gt;&lt;wsp:rsid wsp:val=&quot;00FD605F&quot;/&gt;&lt;wsp:rsid wsp:val=&quot;00FD624F&quot;/&gt;&lt;wsp:rsid wsp:val=&quot;00FD69A5&quot;/&gt;&lt;wsp:rsid wsp:val=&quot;00FD787A&quot;/&gt;&lt;wsp:rsid wsp:val=&quot;00FE1CE7&quot;/&gt;&lt;wsp:rsid wsp:val=&quot;00FE1FE2&quot;/&gt;&lt;wsp:rsid wsp:val=&quot;00FE2CEE&quot;/&gt;&lt;wsp:rsid wsp:val=&quot;00FE31CD&quot;/&gt;&lt;wsp:rsid wsp:val=&quot;00FE37DA&quot;/&gt;&lt;wsp:rsid wsp:val=&quot;00FE3CC9&quot;/&gt;&lt;wsp:rsid wsp:val=&quot;00FE4575&quot;/&gt;&lt;wsp:rsid wsp:val=&quot;00FE61AE&quot;/&gt;&lt;wsp:rsid wsp:val=&quot;00FE62CE&quot;/&gt;&lt;wsp:rsid wsp:val=&quot;00FE655C&quot;/&gt;&lt;wsp:rsid wsp:val=&quot;00FE722A&quot;/&gt;&lt;wsp:rsid wsp:val=&quot;00FE73BB&quot;/&gt;&lt;wsp:rsid wsp:val=&quot;00FF10BB&quot;/&gt;&lt;wsp:rsid wsp:val=&quot;00FF283A&quot;/&gt;&lt;wsp:rsid wsp:val=&quot;00FF338C&quot;/&gt;&lt;wsp:rsid wsp:val=&quot;00FF57E8&quot;/&gt;&lt;wsp:rsid wsp:val=&quot;00FF5CD1&quot;/&gt;&lt;wsp:rsid wsp:val=&quot;00FF5EDB&quot;/&gt;&lt;wsp:rsid wsp:val=&quot;00FF60EB&quot;/&gt;&lt;wsp:rsid wsp:val=&quot;00FF63EF&quot;/&gt;&lt;wsp:rsid wsp:val=&quot;00FF648D&quot;/&gt;&lt;wsp:rsid wsp:val=&quot;00FF6A66&quot;/&gt;&lt;wsp:rsid wsp:val=&quot;00FF7D92&quot;/&gt;&lt;wsp:rsid wsp:val=&quot;017268E8&quot;/&gt;&lt;wsp:rsid wsp:val=&quot;039F4237&quot;/&gt;&lt;wsp:rsid wsp:val=&quot;068D6E1D&quot;/&gt;&lt;wsp:rsid wsp:val=&quot;07FC0DB1&quot;/&gt;&lt;wsp:rsid wsp:val=&quot;09442C6C&quot;/&gt;&lt;wsp:rsid wsp:val=&quot;0B263845&quot;/&gt;&lt;wsp:rsid wsp:val=&quot;1334797A&quot;/&gt;&lt;wsp:rsid wsp:val=&quot;1B5E60E7&quot;/&gt;&lt;wsp:rsid wsp:val=&quot;21C63970&quot;/&gt;&lt;wsp:rsid wsp:val=&quot;24C3744B&quot;/&gt;&lt;wsp:rsid wsp:val=&quot;289F7623&quot;/&gt;&lt;wsp:rsid wsp:val=&quot;29D25B78&quot;/&gt;&lt;wsp:rsid wsp:val=&quot;2DC41AE0&quot;/&gt;&lt;wsp:rsid wsp:val=&quot;2DD14DFD&quot;/&gt;&lt;wsp:rsid wsp:val=&quot;30120D97&quot;/&gt;&lt;wsp:rsid wsp:val=&quot;306D0064&quot;/&gt;&lt;wsp:rsid wsp:val=&quot;324C71B6&quot;/&gt;&lt;wsp:rsid wsp:val=&quot;33880A51&quot;/&gt;&lt;wsp:rsid wsp:val=&quot;357C3C4E&quot;/&gt;&lt;wsp:rsid wsp:val=&quot;362D264B&quot;/&gt;&lt;wsp:rsid wsp:val=&quot;36583754&quot;/&gt;&lt;wsp:rsid wsp:val=&quot;3A083B5F&quot;/&gt;&lt;wsp:rsid wsp:val=&quot;3CFB4F75&quot;/&gt;&lt;wsp:rsid wsp:val=&quot;3DAC6B90&quot;/&gt;&lt;wsp:rsid wsp:val=&quot;424062A7&quot;/&gt;&lt;wsp:rsid wsp:val=&quot;43970476&quot;/&gt;&lt;wsp:rsid wsp:val=&quot;4398377F&quot;/&gt;&lt;wsp:rsid wsp:val=&quot;440A3186&quot;/&gt;&lt;wsp:rsid wsp:val=&quot;483A0382&quot;/&gt;&lt;wsp:rsid wsp:val=&quot;4C962D03&quot;/&gt;&lt;wsp:rsid wsp:val=&quot;4D421808&quot;/&gt;&lt;wsp:rsid wsp:val=&quot;51A10DD4&quot;/&gt;&lt;wsp:rsid wsp:val=&quot;54A33944&quot;/&gt;&lt;wsp:rsid wsp:val=&quot;54E052B6&quot;/&gt;&lt;wsp:rsid wsp:val=&quot;551A222C&quot;/&gt;&lt;wsp:rsid wsp:val=&quot;567B5A72&quot;/&gt;&lt;wsp:rsid wsp:val=&quot;5A540398&quot;/&gt;&lt;wsp:rsid wsp:val=&quot;5A997FD7&quot;/&gt;&lt;wsp:rsid wsp:val=&quot;605716D2&quot;/&gt;&lt;wsp:rsid wsp:val=&quot;60713ED7&quot;/&gt;&lt;wsp:rsid wsp:val=&quot;634F57ED&quot;/&gt;&lt;wsp:rsid wsp:val=&quot;64622770&quot;/&gt;&lt;wsp:rsid wsp:val=&quot;682A1F06&quot;/&gt;&lt;wsp:rsid wsp:val=&quot;6F507DC7&quot;/&gt;&lt;wsp:rsid wsp:val=&quot;703F6425&quot;/&gt;&lt;wsp:rsid wsp:val=&quot;73332036&quot;/&gt;&lt;wsp:rsid wsp:val=&quot;73F5545A&quot;/&gt;&lt;wsp:rsid wsp:val=&quot;789B3356&quot;/&gt;&lt;wsp:rsid wsp:val=&quot;7A0D6E97&quot;/&gt;&lt;/wsp:rsids&gt;&lt;/w:docPr&gt;&lt;w:body&gt;&lt;w:p wsp:rsidR=&quot;00000000&quot; wsp:rsidRDefault=&quot;003E0AAA&quot;&gt;&lt;m:oMathPara&gt;&lt;m:oMath&gt;&lt;m:r&gt;&lt;m:rPr&gt;&lt;m:sty m:val=&quot;p&quot;/&gt;&lt;/m:rPr&gt;&lt;w:rPr&gt;&lt;w:rFonts w:ascii=&quot;Cambria Math&quot; w:fareast=&quot;瀹嬩綋&quot; w:h-ansi=&quot;Cambria Math&quot;/&gt;&lt;wx:font wx:val=&quot;Cambria Math&quot;/&gt;&lt;w:sz-cs w:val=&quot;24&quot;/&gt;&lt;/w:rPr&gt;&lt;m:t&gt;Q=&lt;/m:t&gt;&lt;/m:r&gt;&lt;m:f&gt;&lt;m:fPr&gt;&lt;m:ctrlPr&gt;&lt;w:rPr&gt;&lt;w:rFonts w:ascii=&quot;CaoMaoMaoMaoMaoMambrih&gt;&lt;a Math&quot; w:fareast=&quot;瀹嬩綋&quot; w:h-ansi=&quot;Cambria Math&quot;/&gt;&lt;wx:font wx:val=&quot;Cambria Math&quot;/&gt;&lt;w:sz-cs w:val=&quot;24&quot;/&gt;&lt;/w:rPr&gt;&lt;/m:ctrlPr&gt;&lt;/m:fPr&gt;&lt;m:num&gt;&lt;m:sSub&gt;&lt;m:sSubPr&gt;&lt;m:ctrlPr&gt;&lt;w:rPr&gt;&lt;w:rFonts w:ascii=&quot;Cambria Math&quot; w:fareast=&quot;瀹嬩綋&quot; w:h-ansi=&quot;&quot;CaoMaCam&quot;CaoMabri&quot;CaoMaa M&quot;CaoMaath&quot;CaoMa&quot;/&gt;&lt;wx:brih&gt;&lt;font wx:val=&quot;Cambria Math&quot;/&gt;&lt;w:i/&gt;&lt;w:sz-cs w:val=&quot;24&quot;/&gt;&lt;/w:rPr&gt;&lt;/m:ctrlPr&gt;&lt;/m:sSubPr&gt;&lt;m:e&gt;&lt;m:r&gt;&lt;w:rPr&gt;&lt;w:rFonts w:ascii=&quot;Cambria Math&quot; w:fareast=&quot;瀹嬩綋&quot; w:h-ansi=&quot;Cambria Math&quot;/&gt;&lt;wx:font wx:val=&quot;Cambria MaoMath&quot;/&gt;&lt;w:ioMa/&gt;&lt;w:sz-coMas w:val=&quot;oMa24&quot;/&gt;&lt;/w:oMarPr&gt;&lt;m:t&gt;q&lt;/mh&gt;&lt;:t&gt;&lt;/m:r&gt;&lt;/m:e&gt;&lt;m:sub&gt;&lt;m:r&gt;&lt;w:rPr&gt;&lt;w:rFonts w:ascii=&quot;Cambria Math&quot; w:fareast=&quot;瀹嬩綋&quot; w:h-ansi=&quot;Cambria Math&quot;/&gt;&lt;wx:font wx:val=&quot;Cambria Math&quot;/&gt;&lt;w:i/&gt;&lt;w:sz-cs w:val=&quot;24&quot;/&gt;&lt;/w:rPr&gt;&lt;m:t&gt;1&lt;/m:t&gt;&lt;oMa/m:r&gt;&lt;/m:suboMa&gt;&lt;/m:sSub&gt;&lt;/oMam:num&gt;&lt;m:denoMa&gt;&lt;m:sSub&gt;&lt;m:oMasSubPr&gt;&lt;m:ctrlPrh&gt;&lt;&gt;&lt;w:rPr&gt;&lt;w:rFonts w:ascii=&quot;Cambria Math&quot; w:fareast=&quot;瀹嬩綋&quot; w:h-ansi=&quot;Cambria Math&quot;/&gt;&lt;wx:font wx:val=&quot;Cambria Math&quot;/&gt;&lt;w:i/&gt;&lt;w:sz-cs w:val=&quot;24&quot;/&gt;&lt;/w:rPr&gt;&lt;/m:ctrlPr&gt;&lt;/m:sSubPr&gt;&lt;moMa:e&gt;&lt;m:r&gt;&lt;w:rPr&gt;oMa&lt;w:rFonts w:ascoMaii=&quot;Cambria MatoMah&quot; w:fareast=&quot;oMa畫浣? w:h-ansi=&quot;CalPrh&gt;&lt;mbria Math&quot;/&gt;&lt;wx:font wx:val=&quot;Cambria Math&quot;/&gt;&lt;w:i/&gt;&lt;w:sz-cs w:val=&quot;24&quot;/&gt;&lt;/w:rPr&gt;&lt;m:t&gt;Q&lt;/m:t&gt;&lt;/m:r&gt;&lt;/m:e&gt;&lt;m:sub&gt;&lt;m:r&gt;&lt;w:rPr&gt;&lt;w:rFonts w:ascii=&quot;Cambria Math&quot; w:faMareast=&quot;瀹嬩綋&quot; w:hr&gt;oMa-ansi=&quot;Cambria MatscoMah&quot;/&gt;&lt;wx:font wx:vaatoMal=&quot;Cambria Math&quot;=&quot;oMa/&gt;&lt;w:i/&gt;&lt;w:sz-cs w:val=&quot;2h&gt;&lt;4&quot;/&gt;&lt;/w:rPr&gt;&lt;m:t&gt;1&lt;/m:t&gt;&lt;/m:r&gt;&lt;/m:sub&gt;&lt;/m:sSub&gt;&lt;/m:den&gt;&lt;/m:f&gt;&lt;m:r&gt;&lt;w:rPr&gt;&lt;w:rFonts w:ascii=&quot;Cambria Math&quot; w:fareast=&quot;瀹嬩綋&quot; w:h-ansi=&quot;Caw:faMambria Math&quot;/&gt;&lt;wx:font woMax:val=&quot;Cambria Math&quot;/&gt;&lt;oMaw:i/&gt;&lt;w:sz-cs w:val=&quot;24oMa&quot;/&gt;&lt;/w:rPr&gt;&lt;m:t&gt;+&lt;/m:oMat&gt;&lt;/m:r&gt;&lt;m:f&gt;&lt;m:fPr&gt;&lt;m:ctrlPh&gt;&lt;r&gt;&lt;w:rPr&gt;&lt;w:rFonts w:ascii=&quot;Cambria Math&quot; w:fareast=&quot;瀹嬩綋&quot; w:h-ansi=&quot;Cambria Math&quot;/&gt;&lt;wx:font wx:val=&quot;Cambria Math&quot;/&gt;&lt;w:saMaz-cs w:val=&quot;24&quot;/&gt;&lt;/w:rPr&gt;&lt;oMa/m:ctrlPr&gt;&lt;/m:fPr&gt;&lt;m:num&gt;&lt;oMam:sSub&gt;&lt;m:sSubPr&gt;&lt;m:ctrlProMa&gt;&lt;w:rPr&gt;&lt;w:rFonts w:ascioMai=&quot;Cambria Math&quot; w:fareast=&quot;瀹Ph&gt;&lt;浣? w:h-ansi=&quot;Cambria Math&quot;/&gt;&lt;wx:font wx:val=&quot;Cambria Math&quot;/&gt;&lt;w:i/&gt;&lt;w:sz-cs w:val=&quot;24&quot;/&gt;&lt;/w:rPr&gt;&lt;/m:ctrlPr&gt;Ma&lt;/m:sSubPr&gt;&lt;m:e&gt;&lt;m:r&gt;&lt;w:rPr&gt;&lt;Maw:rFonts w:ascii=&quot;Cambria MatMah&quot; w:fareast=&quot;瀹嬩綋&quot; w:h-ansProMai=&quot;Cambria Math&quot;/&gt;&lt;wx:font cioMawx:val=&quot;Cambria Math&quot;/&gt;&lt;w:i/&gt;&lt;w:sPh&gt;&lt;z-cs w:val=&quot;24&quot;/&gt;&lt;/w:rPr&gt;&lt;m:t&gt;q&lt;/m:t&gt;&lt;/m:r&gt;&lt;/m:e&gt;&lt;m:sub&gt;&lt;m:r&gt;&lt;w:rPr&gt;&lt;w:rFonts w:ascii=&quot;Cam&gt;Mabria Math&quot; w:fareast=&quot;瀹嬩綋&quot; wPr&gt;&lt;Ma:h-ansi=&quot;Cambria Math&quot;/&gt;&lt;wx:fon MatMat wx:val=&quot;Cambria Math&quot;/&gt;&lt;w:i/&gt;&lt;w:oMasz-cs w:val=&quot;24&quot;/&gt;&lt;/w:rPr&gt;&lt;m:t&gt;2oMa&lt;/m:t&gt;&lt;/m:r&gt;&lt;/m:sub&gt;&lt;/m:sSub&gt;&lt;/m:num&gt;h&gt;&lt;&lt;m:den&gt;&lt;m:sSub&gt;&lt;m:sSubPr&gt;&lt;m:ctrlPr&gt;&lt;w:rPr&gt;&lt;w:rFonts w:ascii=&quot;Cambria &gt;MaMath&quot; w:fareast=&quot;瀹嬩綋&quot; w:h-ansi=&quot;Ca&lt;Mambria Math&quot;/&gt;&lt;wx:font wx:val=&quot;CambriatMa Math&quot;/&gt;&lt;w:i/&gt;&lt;w:sz-cs w:val=&quot;24&quot;/&gt;&lt;/oMaw:rPr&gt;&lt;/m:ctrlPr&gt;&lt;/m:sSubPr&gt;&lt;m:e&gt;&lt;moMa:r&gt;&lt;w:rPr&gt;&lt;w:rFonts w:ascii=&quot;Cambria Math&gt;&lt;h&quot; w:fareast=&quot;瀹嬩綋&quot; w:h-ansi=&quot;Cambria Math&quot;/&gt;&lt;wx:fonia &gt;Mat wx:val=&quot;Cambria Math&quot;/&gt;&lt;w:i/&gt;&lt;w:sz-cs &lt;Maw:val=&quot;24&quot;/&gt;&lt;/w:rPr&gt;&lt;m:t&gt;Q&lt;/m:t&gt;&lt;/m:r&gt;&lt;/tMam:e&gt;&lt;m:sub&gt;&lt;m:r&gt;&lt;w:rPr&gt;&lt;w:rFonts w:asciioMa=&quot;Cambria Math&quot; w:fareast=&quot;瀹嬩綋&quot; w:h&gt;&lt;moMa-ansi=&quot;Cambria Math&quot;/&gt;&lt;wx:font wx:val=&quot;CambMath&gt;&lt;ria Math&quot;/&gt;&lt;w:i/&gt;&lt;w:sz-cs w:val=&quot;&gt;Ma24&quot;/&gt;&lt;/w:rPr&gt;&lt;m:t&gt;2&lt;/m:t&gt;&lt;/m:r&gt;&lt;/m:sub&gt;&lt;/m:&lt;MasSub&gt;&lt;/m:den&gt;&lt;/m:f&gt;&lt;m:r&gt;&lt;w:rPr&gt;&lt;w:rFonts w:tMaascii=&quot;Cambria Math&quot; w:fareast=&quot;瀹嬩綋&quot; w:hciioMa-ansi=&quot;Cambria Math&quot;/&gt;&lt;wx:font wx:val=&quot;CambroMaia Math&quot;/&gt;&lt;w:i/&gt;&lt;w:sz-cs w:val=&quot;24&quot;/&gt;&lt;/w:rPr&gt;&lt;m:th&gt;&lt;&gt;+锟斤拷ath&lt;w:sl=&quot;&gt;Maz-w:val=&quot;/&gt;&lt;/w">
                  <v:path/>
                  <v:fill on="f" focussize="0,0"/>
                  <v:stroke on="f" joinstyle="miter"/>
                  <v:imagedata r:id="rId32" chromakey="#FFFFFF" o:title=""/>
                  <o:lock v:ext="edit" aspectratio="t"/>
                  <w10:wrap type="none"/>
                  <w10:anchorlock/>
                </v:shape>
              </w:pict>
            </w:r>
            <w:r>
              <w:instrText xml:space="preserve"> </w:instrText>
            </w:r>
            <w:r>
              <w:fldChar w:fldCharType="end"/>
            </w:r>
            <w:r>
              <w:t xml:space="preserve">  </w:t>
            </w:r>
          </w:p>
          <w:p>
            <w:pPr>
              <w:ind w:firstLine="0" w:firstLineChars="0"/>
              <w:jc w:val="center"/>
              <w:textAlignment w:val="auto"/>
            </w:pPr>
            <w:r>
              <w:rPr>
                <w:rFonts w:hint="eastAsia"/>
              </w:rPr>
              <w:t>Q=q</w:t>
            </w:r>
            <w:r>
              <w:rPr>
                <w:vertAlign w:val="subscript"/>
              </w:rPr>
              <w:t>1</w:t>
            </w:r>
            <w:r>
              <w:t>/</w:t>
            </w:r>
            <w:r>
              <w:rPr>
                <w:rFonts w:hint="eastAsia"/>
              </w:rPr>
              <w:t>Q</w:t>
            </w:r>
            <w:r>
              <w:rPr>
                <w:rFonts w:hint="eastAsia"/>
                <w:vertAlign w:val="subscript"/>
              </w:rPr>
              <w:t>1</w:t>
            </w:r>
            <w:r>
              <w:t>+</w:t>
            </w:r>
            <w:r>
              <w:rPr>
                <w:rFonts w:hint="eastAsia"/>
              </w:rPr>
              <w:t>q</w:t>
            </w:r>
            <w:r>
              <w:rPr>
                <w:vertAlign w:val="subscript"/>
              </w:rPr>
              <w:t>2</w:t>
            </w:r>
            <w:r>
              <w:t>/</w:t>
            </w:r>
            <w:r>
              <w:rPr>
                <w:rFonts w:hint="eastAsia"/>
              </w:rPr>
              <w:t>Q</w:t>
            </w:r>
            <w:r>
              <w:rPr>
                <w:vertAlign w:val="subscript"/>
              </w:rPr>
              <w:t>2</w:t>
            </w:r>
            <w:r>
              <w:t>+</w:t>
            </w:r>
            <w:r>
              <w:rPr>
                <w:rFonts w:hint="eastAsia"/>
              </w:rPr>
              <w:t>……</w:t>
            </w:r>
            <w:r>
              <w:t>+</w:t>
            </w:r>
            <w:r>
              <w:rPr>
                <w:rFonts w:hint="eastAsia"/>
              </w:rPr>
              <w:t>q</w:t>
            </w:r>
            <w:r>
              <w:rPr>
                <w:rFonts w:hint="eastAsia"/>
                <w:vertAlign w:val="subscript"/>
              </w:rPr>
              <w:t>n</w:t>
            </w:r>
            <w:r>
              <w:t>/</w:t>
            </w:r>
            <w:r>
              <w:rPr>
                <w:rFonts w:hint="eastAsia"/>
              </w:rPr>
              <w:t>Q</w:t>
            </w:r>
            <w:r>
              <w:rPr>
                <w:rFonts w:hint="eastAsia"/>
                <w:vertAlign w:val="subscript"/>
              </w:rPr>
              <w:t>n</w:t>
            </w:r>
          </w:p>
          <w:p>
            <w:pPr>
              <w:ind w:firstLine="482" w:firstLineChars="0"/>
              <w:jc w:val="left"/>
              <w:textAlignment w:val="auto"/>
            </w:pPr>
            <w:r>
              <w:t>式中：q</w:t>
            </w:r>
            <w:r>
              <w:rPr>
                <w:vertAlign w:val="subscript"/>
              </w:rPr>
              <w:t>1</w:t>
            </w:r>
            <w:r>
              <w:t>，q</w:t>
            </w:r>
            <w:r>
              <w:rPr>
                <w:vertAlign w:val="subscript"/>
              </w:rPr>
              <w:t>2</w:t>
            </w:r>
            <w:r>
              <w:t>，…，q</w:t>
            </w:r>
            <w:r>
              <w:rPr>
                <w:vertAlign w:val="subscript"/>
              </w:rPr>
              <w:t>n</w:t>
            </w:r>
            <w:r>
              <w:t>——每种危险物质的最大存在总量，t；</w:t>
            </w:r>
          </w:p>
          <w:p>
            <w:pPr>
              <w:ind w:firstLine="1200" w:firstLineChars="500"/>
              <w:jc w:val="left"/>
              <w:textAlignment w:val="auto"/>
            </w:pPr>
            <w:r>
              <w:t>Q</w:t>
            </w:r>
            <w:r>
              <w:rPr>
                <w:vertAlign w:val="subscript"/>
              </w:rPr>
              <w:t>1</w:t>
            </w:r>
            <w:r>
              <w:t>，Q</w:t>
            </w:r>
            <w:r>
              <w:rPr>
                <w:vertAlign w:val="subscript"/>
              </w:rPr>
              <w:t>2</w:t>
            </w:r>
            <w:r>
              <w:t>，…，Q</w:t>
            </w:r>
            <w:r>
              <w:rPr>
                <w:vertAlign w:val="subscript"/>
              </w:rPr>
              <w:t>n</w:t>
            </w:r>
            <w:r>
              <w:t>——每种危险物质的临界量，t；</w:t>
            </w:r>
          </w:p>
          <w:p>
            <w:pPr>
              <w:ind w:firstLine="480"/>
            </w:pPr>
            <w:r>
              <w:t>当Q＜1时，该项目环境风险潜势为Ⅰ；</w:t>
            </w:r>
          </w:p>
          <w:p>
            <w:pPr>
              <w:ind w:firstLine="480"/>
            </w:pPr>
            <w:r>
              <w:t>当Q≥1时，将Q值划分为：（1）1≤Q＜10；（2）10≤Q＜100；（3）Q≥100。</w:t>
            </w:r>
          </w:p>
          <w:p>
            <w:pPr>
              <w:ind w:firstLine="480"/>
              <w:rPr>
                <w:lang w:val="zh-CN"/>
              </w:rPr>
            </w:pPr>
            <w:r>
              <w:rPr>
                <w:rFonts w:hint="eastAsia"/>
                <w:lang w:val="zh-CN"/>
              </w:rPr>
              <w:t>根据《建设项目环境风险评价技术导则》（</w:t>
            </w:r>
            <w:r>
              <w:rPr>
                <w:lang w:val="zh-CN"/>
              </w:rPr>
              <w:t>HJ169-2018</w:t>
            </w:r>
            <w:r>
              <w:rPr>
                <w:rFonts w:hint="eastAsia"/>
                <w:lang w:val="zh-CN"/>
              </w:rPr>
              <w:t>），对照附录</w:t>
            </w:r>
            <w:r>
              <w:rPr>
                <w:lang w:val="zh-CN"/>
              </w:rPr>
              <w:t>B</w:t>
            </w:r>
            <w:r>
              <w:rPr>
                <w:rFonts w:hint="eastAsia"/>
                <w:lang w:val="zh-CN"/>
              </w:rPr>
              <w:t>，本项目重点关注的危险物质主要为</w:t>
            </w:r>
            <w:r>
              <w:rPr>
                <w:rFonts w:hint="eastAsia"/>
              </w:rPr>
              <w:t>机油、废机油、废乳化液和废漆料</w:t>
            </w:r>
            <w:r>
              <w:rPr>
                <w:rFonts w:hint="eastAsia"/>
                <w:lang w:val="zh-CN"/>
              </w:rPr>
              <w:t>，本项目涉及的危险物质临界量比值Q值计算如下：</w:t>
            </w:r>
          </w:p>
          <w:p>
            <w:pPr>
              <w:pStyle w:val="46"/>
              <w:spacing w:after="24"/>
              <w:rPr>
                <w:lang w:val="zh-CN"/>
              </w:rPr>
            </w:pPr>
            <w:r>
              <w:rPr>
                <w:rFonts w:hint="eastAsia"/>
                <w:lang w:val="zh-CN"/>
              </w:rPr>
              <w:t>表</w:t>
            </w:r>
            <w:r>
              <w:rPr>
                <w:lang w:val="zh-CN"/>
              </w:rPr>
              <w:t>7-</w:t>
            </w:r>
            <w:r>
              <w:rPr>
                <w:rFonts w:hint="eastAsia"/>
              </w:rPr>
              <w:t>28</w:t>
            </w:r>
            <w:r>
              <w:rPr>
                <w:lang w:val="zh-CN"/>
              </w:rPr>
              <w:t xml:space="preserve">  </w:t>
            </w:r>
            <w:r>
              <w:rPr>
                <w:rFonts w:hint="eastAsia"/>
                <w:lang w:val="zh-CN"/>
              </w:rPr>
              <w:t>本项目原辅材料危险物质Q值计算表</w:t>
            </w:r>
          </w:p>
          <w:tbl>
            <w:tblPr>
              <w:tblStyle w:val="34"/>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68"/>
              <w:gridCol w:w="810"/>
              <w:gridCol w:w="1274"/>
              <w:gridCol w:w="872"/>
              <w:gridCol w:w="1170"/>
              <w:gridCol w:w="35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12" w:type="pct"/>
                  <w:vAlign w:val="center"/>
                </w:tcPr>
                <w:p>
                  <w:pPr>
                    <w:pStyle w:val="46"/>
                    <w:rPr>
                      <w:lang w:val="zh-CN"/>
                    </w:rPr>
                  </w:pPr>
                  <w:r>
                    <w:rPr>
                      <w:rFonts w:hint="eastAsia"/>
                      <w:lang w:val="zh-CN"/>
                    </w:rPr>
                    <w:t>物质名称</w:t>
                  </w:r>
                </w:p>
              </w:tc>
              <w:tc>
                <w:tcPr>
                  <w:tcW w:w="464" w:type="pct"/>
                  <w:vAlign w:val="center"/>
                </w:tcPr>
                <w:p>
                  <w:pPr>
                    <w:pStyle w:val="46"/>
                    <w:rPr>
                      <w:lang w:val="zh-CN"/>
                    </w:rPr>
                  </w:pPr>
                  <w:r>
                    <w:rPr>
                      <w:rFonts w:hint="eastAsia"/>
                      <w:lang w:val="zh-CN"/>
                    </w:rPr>
                    <w:t>临界量（t）</w:t>
                  </w:r>
                </w:p>
              </w:tc>
              <w:tc>
                <w:tcPr>
                  <w:tcW w:w="731" w:type="pct"/>
                  <w:vAlign w:val="center"/>
                </w:tcPr>
                <w:p>
                  <w:pPr>
                    <w:pStyle w:val="46"/>
                    <w:rPr>
                      <w:lang w:val="zh-CN"/>
                    </w:rPr>
                  </w:pPr>
                  <w:r>
                    <w:rPr>
                      <w:rFonts w:hint="eastAsia"/>
                      <w:lang w:val="zh-CN"/>
                    </w:rPr>
                    <w:t>厂内最大存储量（t）</w:t>
                  </w:r>
                </w:p>
              </w:tc>
              <w:tc>
                <w:tcPr>
                  <w:tcW w:w="499" w:type="pct"/>
                  <w:tcBorders>
                    <w:right w:val="single" w:color="auto" w:sz="4" w:space="0"/>
                  </w:tcBorders>
                  <w:vAlign w:val="center"/>
                </w:tcPr>
                <w:p>
                  <w:pPr>
                    <w:pStyle w:val="46"/>
                    <w:rPr>
                      <w:lang w:val="zh-CN"/>
                    </w:rPr>
                  </w:pPr>
                  <w:r>
                    <w:rPr>
                      <w:rFonts w:hint="eastAsia"/>
                      <w:lang w:val="zh-CN"/>
                    </w:rPr>
                    <w:t>折百量（t）</w:t>
                  </w:r>
                </w:p>
              </w:tc>
              <w:tc>
                <w:tcPr>
                  <w:tcW w:w="671" w:type="pct"/>
                  <w:tcBorders>
                    <w:right w:val="single" w:color="auto" w:sz="4" w:space="0"/>
                  </w:tcBorders>
                  <w:vAlign w:val="center"/>
                </w:tcPr>
                <w:p>
                  <w:pPr>
                    <w:pStyle w:val="46"/>
                    <w:rPr>
                      <w:lang w:val="zh-CN"/>
                    </w:rPr>
                  </w:pPr>
                  <w:r>
                    <w:rPr>
                      <w:rFonts w:hint="eastAsia"/>
                      <w:lang w:val="zh-CN"/>
                    </w:rPr>
                    <w:t>Q</w:t>
                  </w:r>
                </w:p>
              </w:tc>
              <w:tc>
                <w:tcPr>
                  <w:tcW w:w="2021" w:type="pct"/>
                  <w:tcBorders>
                    <w:left w:val="single" w:color="auto" w:sz="4" w:space="0"/>
                  </w:tcBorders>
                  <w:vAlign w:val="center"/>
                </w:tcPr>
                <w:p>
                  <w:pPr>
                    <w:pStyle w:val="46"/>
                    <w:rPr>
                      <w:lang w:val="zh-CN"/>
                    </w:rPr>
                  </w:pPr>
                  <w:r>
                    <w:rPr>
                      <w:rFonts w:hint="eastAsia"/>
                      <w:lang w:val="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12" w:type="pct"/>
                  <w:vAlign w:val="center"/>
                </w:tcPr>
                <w:p>
                  <w:pPr>
                    <w:pStyle w:val="47"/>
                    <w:rPr>
                      <w:szCs w:val="21"/>
                    </w:rPr>
                  </w:pPr>
                  <w:r>
                    <w:rPr>
                      <w:rFonts w:hint="eastAsia"/>
                      <w:szCs w:val="21"/>
                    </w:rPr>
                    <w:t>机油</w:t>
                  </w:r>
                </w:p>
              </w:tc>
              <w:tc>
                <w:tcPr>
                  <w:tcW w:w="464" w:type="pct"/>
                  <w:vAlign w:val="center"/>
                </w:tcPr>
                <w:p>
                  <w:pPr>
                    <w:pStyle w:val="47"/>
                    <w:rPr>
                      <w:szCs w:val="21"/>
                      <w:lang w:val="zh-CN"/>
                    </w:rPr>
                  </w:pPr>
                  <w:r>
                    <w:rPr>
                      <w:rFonts w:hint="eastAsia"/>
                      <w:szCs w:val="21"/>
                      <w:lang w:val="zh-CN"/>
                    </w:rPr>
                    <w:t>2</w:t>
                  </w:r>
                  <w:r>
                    <w:rPr>
                      <w:szCs w:val="21"/>
                      <w:lang w:val="zh-CN"/>
                    </w:rPr>
                    <w:t>500</w:t>
                  </w:r>
                </w:p>
              </w:tc>
              <w:tc>
                <w:tcPr>
                  <w:tcW w:w="731" w:type="pct"/>
                  <w:vAlign w:val="center"/>
                </w:tcPr>
                <w:p>
                  <w:pPr>
                    <w:pStyle w:val="47"/>
                    <w:rPr>
                      <w:szCs w:val="21"/>
                    </w:rPr>
                  </w:pPr>
                  <w:r>
                    <w:rPr>
                      <w:rFonts w:hint="eastAsia"/>
                      <w:szCs w:val="21"/>
                    </w:rPr>
                    <w:t>0.02</w:t>
                  </w:r>
                </w:p>
              </w:tc>
              <w:tc>
                <w:tcPr>
                  <w:tcW w:w="499" w:type="pct"/>
                  <w:tcBorders>
                    <w:right w:val="single" w:color="auto" w:sz="4" w:space="0"/>
                  </w:tcBorders>
                  <w:vAlign w:val="center"/>
                </w:tcPr>
                <w:p>
                  <w:pPr>
                    <w:pStyle w:val="47"/>
                    <w:rPr>
                      <w:szCs w:val="21"/>
                      <w:lang w:val="zh-CN"/>
                    </w:rPr>
                  </w:pPr>
                  <w:r>
                    <w:rPr>
                      <w:rFonts w:hint="eastAsia"/>
                      <w:szCs w:val="21"/>
                    </w:rPr>
                    <w:t>0.02</w:t>
                  </w:r>
                </w:p>
              </w:tc>
              <w:tc>
                <w:tcPr>
                  <w:tcW w:w="671" w:type="pct"/>
                  <w:tcBorders>
                    <w:right w:val="single" w:color="auto" w:sz="4" w:space="0"/>
                  </w:tcBorders>
                  <w:vAlign w:val="center"/>
                </w:tcPr>
                <w:p>
                  <w:pPr>
                    <w:pStyle w:val="47"/>
                    <w:rPr>
                      <w:szCs w:val="21"/>
                    </w:rPr>
                  </w:pPr>
                  <w:r>
                    <w:rPr>
                      <w:rFonts w:hint="eastAsia"/>
                      <w:szCs w:val="21"/>
                      <w:lang w:val="zh-CN"/>
                    </w:rPr>
                    <w:t>0</w:t>
                  </w:r>
                  <w:r>
                    <w:rPr>
                      <w:szCs w:val="21"/>
                      <w:lang w:val="zh-CN"/>
                    </w:rPr>
                    <w:t>.0000</w:t>
                  </w:r>
                  <w:r>
                    <w:rPr>
                      <w:rFonts w:hint="eastAsia"/>
                      <w:szCs w:val="21"/>
                    </w:rPr>
                    <w:t>1</w:t>
                  </w:r>
                </w:p>
              </w:tc>
              <w:tc>
                <w:tcPr>
                  <w:tcW w:w="2021" w:type="pct"/>
                  <w:tcBorders>
                    <w:left w:val="single" w:color="auto" w:sz="4" w:space="0"/>
                  </w:tcBorders>
                  <w:vAlign w:val="center"/>
                </w:tcPr>
                <w:p>
                  <w:pPr>
                    <w:pStyle w:val="47"/>
                    <w:rPr>
                      <w:szCs w:val="21"/>
                      <w:lang w:val="zh-CN"/>
                    </w:rPr>
                  </w:pPr>
                  <w:r>
                    <w:rPr>
                      <w:rFonts w:hint="eastAsia"/>
                      <w:szCs w:val="21"/>
                      <w:lang w:val="zh-CN"/>
                    </w:rPr>
                    <w:t>油类物质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12" w:type="pct"/>
                  <w:vAlign w:val="center"/>
                </w:tcPr>
                <w:p>
                  <w:pPr>
                    <w:pStyle w:val="47"/>
                    <w:rPr>
                      <w:szCs w:val="21"/>
                    </w:rPr>
                  </w:pPr>
                  <w:r>
                    <w:rPr>
                      <w:rFonts w:hint="eastAsia"/>
                      <w:szCs w:val="21"/>
                    </w:rPr>
                    <w:t>废机油</w:t>
                  </w:r>
                </w:p>
              </w:tc>
              <w:tc>
                <w:tcPr>
                  <w:tcW w:w="464" w:type="pct"/>
                  <w:vAlign w:val="center"/>
                </w:tcPr>
                <w:p>
                  <w:pPr>
                    <w:pStyle w:val="47"/>
                    <w:rPr>
                      <w:szCs w:val="21"/>
                      <w:lang w:val="zh-CN"/>
                    </w:rPr>
                  </w:pPr>
                  <w:r>
                    <w:rPr>
                      <w:rFonts w:hint="eastAsia"/>
                      <w:szCs w:val="21"/>
                      <w:lang w:val="zh-CN"/>
                    </w:rPr>
                    <w:t>2</w:t>
                  </w:r>
                  <w:r>
                    <w:rPr>
                      <w:szCs w:val="21"/>
                      <w:lang w:val="zh-CN"/>
                    </w:rPr>
                    <w:t>500</w:t>
                  </w:r>
                </w:p>
              </w:tc>
              <w:tc>
                <w:tcPr>
                  <w:tcW w:w="731" w:type="pct"/>
                  <w:vAlign w:val="center"/>
                </w:tcPr>
                <w:p>
                  <w:pPr>
                    <w:pStyle w:val="47"/>
                    <w:rPr>
                      <w:szCs w:val="21"/>
                    </w:rPr>
                  </w:pPr>
                  <w:r>
                    <w:rPr>
                      <w:rFonts w:hint="eastAsia"/>
                      <w:szCs w:val="21"/>
                    </w:rPr>
                    <w:t>0.02</w:t>
                  </w:r>
                </w:p>
              </w:tc>
              <w:tc>
                <w:tcPr>
                  <w:tcW w:w="499" w:type="pct"/>
                  <w:tcBorders>
                    <w:right w:val="single" w:color="auto" w:sz="4" w:space="0"/>
                  </w:tcBorders>
                  <w:vAlign w:val="center"/>
                </w:tcPr>
                <w:p>
                  <w:pPr>
                    <w:pStyle w:val="47"/>
                    <w:rPr>
                      <w:szCs w:val="21"/>
                    </w:rPr>
                  </w:pPr>
                  <w:r>
                    <w:rPr>
                      <w:rFonts w:hint="eastAsia"/>
                      <w:szCs w:val="21"/>
                    </w:rPr>
                    <w:t>0.02</w:t>
                  </w:r>
                </w:p>
              </w:tc>
              <w:tc>
                <w:tcPr>
                  <w:tcW w:w="671" w:type="pct"/>
                  <w:tcBorders>
                    <w:right w:val="single" w:color="auto" w:sz="4" w:space="0"/>
                  </w:tcBorders>
                  <w:vAlign w:val="center"/>
                </w:tcPr>
                <w:p>
                  <w:pPr>
                    <w:pStyle w:val="47"/>
                    <w:rPr>
                      <w:szCs w:val="21"/>
                      <w:lang w:val="zh-CN"/>
                    </w:rPr>
                  </w:pPr>
                  <w:r>
                    <w:rPr>
                      <w:rFonts w:hint="eastAsia"/>
                      <w:szCs w:val="21"/>
                      <w:lang w:val="zh-CN"/>
                    </w:rPr>
                    <w:t>0</w:t>
                  </w:r>
                  <w:r>
                    <w:rPr>
                      <w:szCs w:val="21"/>
                      <w:lang w:val="zh-CN"/>
                    </w:rPr>
                    <w:t>.0000</w:t>
                  </w:r>
                  <w:r>
                    <w:rPr>
                      <w:rFonts w:hint="eastAsia"/>
                      <w:szCs w:val="21"/>
                    </w:rPr>
                    <w:t>1</w:t>
                  </w:r>
                </w:p>
              </w:tc>
              <w:tc>
                <w:tcPr>
                  <w:tcW w:w="2021" w:type="pct"/>
                  <w:tcBorders>
                    <w:left w:val="single" w:color="auto" w:sz="4" w:space="0"/>
                  </w:tcBorders>
                  <w:vAlign w:val="center"/>
                </w:tcPr>
                <w:p>
                  <w:pPr>
                    <w:pStyle w:val="47"/>
                    <w:rPr>
                      <w:szCs w:val="21"/>
                      <w:lang w:val="zh-CN"/>
                    </w:rPr>
                  </w:pPr>
                  <w:r>
                    <w:rPr>
                      <w:rFonts w:hint="eastAsia"/>
                      <w:szCs w:val="21"/>
                      <w:lang w:val="zh-CN"/>
                    </w:rPr>
                    <w:t>油类物质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12" w:type="pct"/>
                  <w:vAlign w:val="center"/>
                </w:tcPr>
                <w:p>
                  <w:pPr>
                    <w:pStyle w:val="47"/>
                    <w:rPr>
                      <w:szCs w:val="21"/>
                    </w:rPr>
                  </w:pPr>
                  <w:r>
                    <w:rPr>
                      <w:rFonts w:hint="eastAsia"/>
                      <w:szCs w:val="21"/>
                    </w:rPr>
                    <w:t>废乳化液</w:t>
                  </w:r>
                </w:p>
              </w:tc>
              <w:tc>
                <w:tcPr>
                  <w:tcW w:w="464" w:type="pct"/>
                  <w:vAlign w:val="center"/>
                </w:tcPr>
                <w:p>
                  <w:pPr>
                    <w:pStyle w:val="47"/>
                    <w:rPr>
                      <w:szCs w:val="21"/>
                      <w:lang w:val="zh-CN"/>
                    </w:rPr>
                  </w:pPr>
                  <w:r>
                    <w:rPr>
                      <w:rFonts w:hint="eastAsia"/>
                      <w:szCs w:val="21"/>
                      <w:lang w:val="zh-CN"/>
                    </w:rPr>
                    <w:t>1</w:t>
                  </w:r>
                  <w:r>
                    <w:rPr>
                      <w:szCs w:val="21"/>
                      <w:lang w:val="zh-CN"/>
                    </w:rPr>
                    <w:t>0</w:t>
                  </w:r>
                </w:p>
              </w:tc>
              <w:tc>
                <w:tcPr>
                  <w:tcW w:w="731" w:type="pct"/>
                  <w:vAlign w:val="center"/>
                </w:tcPr>
                <w:p>
                  <w:pPr>
                    <w:pStyle w:val="47"/>
                    <w:rPr>
                      <w:szCs w:val="21"/>
                    </w:rPr>
                  </w:pPr>
                  <w:r>
                    <w:rPr>
                      <w:rFonts w:hint="eastAsia"/>
                      <w:szCs w:val="21"/>
                    </w:rPr>
                    <w:t>1</w:t>
                  </w:r>
                  <w:r>
                    <w:rPr>
                      <w:szCs w:val="21"/>
                    </w:rPr>
                    <w:t>.0</w:t>
                  </w:r>
                </w:p>
              </w:tc>
              <w:tc>
                <w:tcPr>
                  <w:tcW w:w="499" w:type="pct"/>
                  <w:tcBorders>
                    <w:right w:val="single" w:color="auto" w:sz="4" w:space="0"/>
                  </w:tcBorders>
                  <w:vAlign w:val="center"/>
                </w:tcPr>
                <w:p>
                  <w:pPr>
                    <w:pStyle w:val="47"/>
                    <w:rPr>
                      <w:szCs w:val="21"/>
                      <w:lang w:val="zh-CN"/>
                    </w:rPr>
                  </w:pPr>
                  <w:r>
                    <w:rPr>
                      <w:rFonts w:hint="eastAsia"/>
                      <w:szCs w:val="21"/>
                    </w:rPr>
                    <w:t>1</w:t>
                  </w:r>
                  <w:r>
                    <w:rPr>
                      <w:szCs w:val="21"/>
                    </w:rPr>
                    <w:t>.0</w:t>
                  </w:r>
                </w:p>
              </w:tc>
              <w:tc>
                <w:tcPr>
                  <w:tcW w:w="671" w:type="pct"/>
                  <w:tcBorders>
                    <w:right w:val="single" w:color="auto" w:sz="4" w:space="0"/>
                  </w:tcBorders>
                  <w:vAlign w:val="center"/>
                </w:tcPr>
                <w:p>
                  <w:pPr>
                    <w:pStyle w:val="47"/>
                    <w:rPr>
                      <w:szCs w:val="21"/>
                      <w:lang w:val="zh-CN"/>
                    </w:rPr>
                  </w:pPr>
                  <w:r>
                    <w:rPr>
                      <w:rFonts w:hint="eastAsia"/>
                      <w:szCs w:val="21"/>
                      <w:lang w:val="zh-CN"/>
                    </w:rPr>
                    <w:t>0</w:t>
                  </w:r>
                  <w:r>
                    <w:rPr>
                      <w:szCs w:val="21"/>
                      <w:lang w:val="zh-CN"/>
                    </w:rPr>
                    <w:t>.</w:t>
                  </w:r>
                  <w:r>
                    <w:rPr>
                      <w:rFonts w:hint="eastAsia"/>
                      <w:szCs w:val="21"/>
                    </w:rPr>
                    <w:t>1</w:t>
                  </w:r>
                </w:p>
              </w:tc>
              <w:tc>
                <w:tcPr>
                  <w:tcW w:w="2021" w:type="pct"/>
                  <w:tcBorders>
                    <w:left w:val="single" w:color="auto" w:sz="4" w:space="0"/>
                  </w:tcBorders>
                  <w:vAlign w:val="center"/>
                </w:tcPr>
                <w:p>
                  <w:pPr>
                    <w:pStyle w:val="47"/>
                    <w:rPr>
                      <w:szCs w:val="21"/>
                      <w:lang w:val="zh-CN"/>
                    </w:rPr>
                  </w:pPr>
                  <w:r>
                    <w:rPr>
                      <w:rFonts w:hint="eastAsia"/>
                      <w:szCs w:val="21"/>
                      <w:lang w:val="zh-CN"/>
                    </w:rPr>
                    <w:t>COD</w:t>
                  </w:r>
                  <w:r>
                    <w:rPr>
                      <w:rFonts w:hint="eastAsia"/>
                      <w:szCs w:val="21"/>
                      <w:vertAlign w:val="subscript"/>
                      <w:lang w:val="zh-CN"/>
                    </w:rPr>
                    <w:t>Cr</w:t>
                  </w:r>
                  <w:r>
                    <w:rPr>
                      <w:rFonts w:hint="eastAsia"/>
                      <w:szCs w:val="21"/>
                      <w:lang w:val="zh-CN"/>
                    </w:rPr>
                    <w:t>浓度≥1</w:t>
                  </w:r>
                  <w:r>
                    <w:rPr>
                      <w:szCs w:val="21"/>
                      <w:lang w:val="zh-CN"/>
                    </w:rPr>
                    <w:t>0000</w:t>
                  </w:r>
                  <w:r>
                    <w:rPr>
                      <w:rFonts w:hint="eastAsia"/>
                      <w:szCs w:val="21"/>
                      <w:lang w:val="zh-CN"/>
                    </w:rPr>
                    <w:t>mg</w:t>
                  </w:r>
                  <w:r>
                    <w:rPr>
                      <w:szCs w:val="21"/>
                      <w:lang w:val="zh-CN"/>
                    </w:rPr>
                    <w:t>/</w:t>
                  </w:r>
                  <w:r>
                    <w:rPr>
                      <w:rFonts w:hint="eastAsia"/>
                      <w:szCs w:val="21"/>
                      <w:lang w:val="zh-CN"/>
                    </w:rPr>
                    <w:t>L的有机废液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12" w:type="pct"/>
                  <w:vAlign w:val="center"/>
                </w:tcPr>
                <w:p>
                  <w:pPr>
                    <w:pStyle w:val="47"/>
                    <w:rPr>
                      <w:szCs w:val="21"/>
                    </w:rPr>
                  </w:pPr>
                  <w:r>
                    <w:rPr>
                      <w:rFonts w:hint="eastAsia"/>
                      <w:szCs w:val="21"/>
                    </w:rPr>
                    <w:t>废漆料</w:t>
                  </w:r>
                </w:p>
              </w:tc>
              <w:tc>
                <w:tcPr>
                  <w:tcW w:w="464" w:type="pct"/>
                  <w:vAlign w:val="center"/>
                </w:tcPr>
                <w:p>
                  <w:pPr>
                    <w:pStyle w:val="47"/>
                    <w:rPr>
                      <w:szCs w:val="21"/>
                    </w:rPr>
                  </w:pPr>
                  <w:r>
                    <w:rPr>
                      <w:rFonts w:hint="eastAsia"/>
                      <w:szCs w:val="21"/>
                    </w:rPr>
                    <w:t>10</w:t>
                  </w:r>
                </w:p>
              </w:tc>
              <w:tc>
                <w:tcPr>
                  <w:tcW w:w="731" w:type="pct"/>
                  <w:vAlign w:val="center"/>
                </w:tcPr>
                <w:p>
                  <w:pPr>
                    <w:pStyle w:val="47"/>
                    <w:rPr>
                      <w:szCs w:val="21"/>
                    </w:rPr>
                  </w:pPr>
                  <w:r>
                    <w:rPr>
                      <w:rFonts w:hint="eastAsia"/>
                      <w:szCs w:val="21"/>
                    </w:rPr>
                    <w:t>0.2</w:t>
                  </w:r>
                </w:p>
              </w:tc>
              <w:tc>
                <w:tcPr>
                  <w:tcW w:w="499" w:type="pct"/>
                  <w:tcBorders>
                    <w:right w:val="single" w:color="auto" w:sz="4" w:space="0"/>
                  </w:tcBorders>
                  <w:vAlign w:val="center"/>
                </w:tcPr>
                <w:p>
                  <w:pPr>
                    <w:pStyle w:val="47"/>
                    <w:rPr>
                      <w:szCs w:val="21"/>
                    </w:rPr>
                  </w:pPr>
                  <w:r>
                    <w:rPr>
                      <w:rFonts w:hint="eastAsia"/>
                      <w:szCs w:val="21"/>
                    </w:rPr>
                    <w:t>0.2</w:t>
                  </w:r>
                </w:p>
              </w:tc>
              <w:tc>
                <w:tcPr>
                  <w:tcW w:w="671" w:type="pct"/>
                  <w:tcBorders>
                    <w:right w:val="single" w:color="auto" w:sz="4" w:space="0"/>
                  </w:tcBorders>
                  <w:vAlign w:val="center"/>
                </w:tcPr>
                <w:p>
                  <w:pPr>
                    <w:pStyle w:val="47"/>
                    <w:rPr>
                      <w:szCs w:val="21"/>
                    </w:rPr>
                  </w:pPr>
                  <w:r>
                    <w:rPr>
                      <w:rFonts w:hint="eastAsia"/>
                      <w:szCs w:val="21"/>
                    </w:rPr>
                    <w:t>0.02</w:t>
                  </w:r>
                </w:p>
              </w:tc>
              <w:tc>
                <w:tcPr>
                  <w:tcW w:w="2021" w:type="pct"/>
                  <w:tcBorders>
                    <w:left w:val="single" w:color="auto" w:sz="4" w:space="0"/>
                  </w:tcBorders>
                  <w:vAlign w:val="center"/>
                </w:tcPr>
                <w:p>
                  <w:pPr>
                    <w:pStyle w:val="47"/>
                    <w:rPr>
                      <w:szCs w:val="21"/>
                      <w:lang w:val="zh-CN"/>
                    </w:rPr>
                  </w:pPr>
                  <w:r>
                    <w:rPr>
                      <w:rFonts w:hint="eastAsia"/>
                      <w:szCs w:val="21"/>
                      <w:lang w:val="zh-CN"/>
                    </w:rPr>
                    <w:t>COD</w:t>
                  </w:r>
                  <w:r>
                    <w:rPr>
                      <w:rFonts w:hint="eastAsia"/>
                      <w:szCs w:val="21"/>
                      <w:vertAlign w:val="subscript"/>
                      <w:lang w:val="zh-CN"/>
                    </w:rPr>
                    <w:t>Cr</w:t>
                  </w:r>
                  <w:r>
                    <w:rPr>
                      <w:rFonts w:hint="eastAsia"/>
                      <w:szCs w:val="21"/>
                      <w:lang w:val="zh-CN"/>
                    </w:rPr>
                    <w:t>浓度≥1</w:t>
                  </w:r>
                  <w:r>
                    <w:rPr>
                      <w:szCs w:val="21"/>
                      <w:lang w:val="zh-CN"/>
                    </w:rPr>
                    <w:t>0000</w:t>
                  </w:r>
                  <w:r>
                    <w:rPr>
                      <w:rFonts w:hint="eastAsia"/>
                      <w:szCs w:val="21"/>
                      <w:lang w:val="zh-CN"/>
                    </w:rPr>
                    <w:t>mg</w:t>
                  </w:r>
                  <w:r>
                    <w:rPr>
                      <w:szCs w:val="21"/>
                      <w:lang w:val="zh-CN"/>
                    </w:rPr>
                    <w:t>/</w:t>
                  </w:r>
                  <w:r>
                    <w:rPr>
                      <w:rFonts w:hint="eastAsia"/>
                      <w:szCs w:val="21"/>
                      <w:lang w:val="zh-CN"/>
                    </w:rPr>
                    <w:t>L的有机废液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07" w:type="pct"/>
                  <w:gridSpan w:val="4"/>
                  <w:tcBorders>
                    <w:right w:val="single" w:color="auto" w:sz="4" w:space="0"/>
                  </w:tcBorders>
                  <w:vAlign w:val="center"/>
                </w:tcPr>
                <w:p>
                  <w:pPr>
                    <w:pStyle w:val="47"/>
                    <w:rPr>
                      <w:szCs w:val="21"/>
                      <w:lang w:val="zh-CN"/>
                    </w:rPr>
                  </w:pPr>
                  <w:r>
                    <w:rPr>
                      <w:rFonts w:hint="eastAsia"/>
                      <w:szCs w:val="21"/>
                      <w:lang w:val="zh-CN"/>
                    </w:rPr>
                    <w:t>合计</w:t>
                  </w:r>
                </w:p>
              </w:tc>
              <w:tc>
                <w:tcPr>
                  <w:tcW w:w="671" w:type="pct"/>
                  <w:tcBorders>
                    <w:right w:val="single" w:color="auto" w:sz="4" w:space="0"/>
                  </w:tcBorders>
                  <w:vAlign w:val="center"/>
                </w:tcPr>
                <w:p>
                  <w:pPr>
                    <w:pStyle w:val="47"/>
                    <w:rPr>
                      <w:szCs w:val="21"/>
                      <w:lang w:val="zh-CN"/>
                    </w:rPr>
                  </w:pPr>
                  <w:r>
                    <w:rPr>
                      <w:rFonts w:hint="eastAsia"/>
                      <w:szCs w:val="21"/>
                      <w:lang w:val="zh-CN"/>
                    </w:rPr>
                    <w:t>0</w:t>
                  </w:r>
                  <w:r>
                    <w:rPr>
                      <w:szCs w:val="21"/>
                      <w:lang w:val="zh-CN"/>
                    </w:rPr>
                    <w:t>.</w:t>
                  </w:r>
                  <w:r>
                    <w:rPr>
                      <w:rFonts w:hint="eastAsia"/>
                      <w:szCs w:val="21"/>
                    </w:rPr>
                    <w:t>12</w:t>
                  </w:r>
                  <w:r>
                    <w:rPr>
                      <w:szCs w:val="21"/>
                      <w:lang w:val="zh-CN"/>
                    </w:rPr>
                    <w:t>00</w:t>
                  </w:r>
                  <w:r>
                    <w:rPr>
                      <w:rFonts w:hint="eastAsia"/>
                      <w:szCs w:val="21"/>
                    </w:rPr>
                    <w:t>2</w:t>
                  </w:r>
                </w:p>
              </w:tc>
              <w:tc>
                <w:tcPr>
                  <w:tcW w:w="2021" w:type="pct"/>
                  <w:tcBorders>
                    <w:left w:val="single" w:color="auto" w:sz="4" w:space="0"/>
                  </w:tcBorders>
                  <w:vAlign w:val="center"/>
                </w:tcPr>
                <w:p>
                  <w:pPr>
                    <w:pStyle w:val="47"/>
                    <w:rPr>
                      <w:szCs w:val="21"/>
                      <w:lang w:val="zh-CN"/>
                    </w:rPr>
                  </w:pPr>
                  <w:r>
                    <w:rPr>
                      <w:rFonts w:hint="eastAsia"/>
                      <w:szCs w:val="21"/>
                      <w:lang w:val="zh-CN"/>
                    </w:rPr>
                    <w:t>/</w:t>
                  </w:r>
                </w:p>
              </w:tc>
            </w:tr>
          </w:tbl>
          <w:p>
            <w:pPr>
              <w:ind w:firstLine="480"/>
              <w:rPr>
                <w:lang w:val="zh-CN"/>
              </w:rPr>
            </w:pPr>
            <w:r>
              <w:rPr>
                <w:rFonts w:hint="eastAsia"/>
                <w:lang w:val="zh-CN"/>
              </w:rPr>
              <w:t>根据上述计算，本项目危险物质与临界量比值Q=0.12002，属于Q＜1，确定本项目环境风险潜势</w:t>
            </w:r>
            <w:r>
              <w:rPr>
                <w:lang w:val="zh-CN"/>
              </w:rPr>
              <w:t>为Ⅰ</w:t>
            </w:r>
            <w:r>
              <w:rPr>
                <w:rFonts w:hint="eastAsia"/>
                <w:lang w:val="zh-CN"/>
              </w:rPr>
              <w:t>，</w:t>
            </w:r>
            <w:r>
              <w:t>本项目不需要进行环境风险评价分析，</w:t>
            </w:r>
            <w:r>
              <w:rPr>
                <w:rFonts w:hint="eastAsia"/>
              </w:rPr>
              <w:t>仅进行简单分析。</w:t>
            </w:r>
          </w:p>
          <w:p>
            <w:pPr>
              <w:pStyle w:val="6"/>
              <w:rPr>
                <w:lang w:val="zh-CN"/>
              </w:rPr>
            </w:pPr>
            <w:r>
              <w:rPr>
                <w:rFonts w:hint="eastAsia"/>
                <w:lang w:val="zh-CN"/>
              </w:rPr>
              <w:t>7.2.7.3评价等级</w:t>
            </w:r>
          </w:p>
          <w:p>
            <w:pPr>
              <w:ind w:firstLine="480"/>
              <w:rPr>
                <w:lang w:val="zh-CN"/>
              </w:rPr>
            </w:pPr>
            <w:r>
              <w:rPr>
                <w:rFonts w:hint="eastAsia"/>
                <w:lang w:val="zh-CN"/>
              </w:rPr>
              <w:t>根据《建设项目环境风险评价技术导则》（HJ169-2018）表1确定评价工作等级，如表7</w:t>
            </w:r>
            <w:r>
              <w:rPr>
                <w:lang w:val="zh-CN"/>
              </w:rPr>
              <w:t>-</w:t>
            </w:r>
            <w:r>
              <w:rPr>
                <w:rFonts w:hint="eastAsia"/>
              </w:rPr>
              <w:t>29</w:t>
            </w:r>
            <w:r>
              <w:rPr>
                <w:rFonts w:hint="eastAsia"/>
                <w:lang w:val="zh-CN"/>
              </w:rPr>
              <w:t>。本项目环境风险潜势为</w:t>
            </w:r>
            <w:r>
              <w:rPr>
                <w:lang w:val="zh-CN"/>
              </w:rPr>
              <w:t>Ⅰ</w:t>
            </w:r>
            <w:r>
              <w:rPr>
                <w:rFonts w:hint="eastAsia"/>
                <w:lang w:val="zh-CN"/>
              </w:rPr>
              <w:t>，评价工作等级为简单分析，详见表7</w:t>
            </w:r>
            <w:r>
              <w:rPr>
                <w:lang w:val="zh-CN"/>
              </w:rPr>
              <w:t>-</w:t>
            </w:r>
            <w:r>
              <w:rPr>
                <w:rFonts w:hint="eastAsia"/>
              </w:rPr>
              <w:t>30</w:t>
            </w:r>
            <w:r>
              <w:rPr>
                <w:rFonts w:hint="eastAsia"/>
                <w:lang w:val="zh-CN"/>
              </w:rPr>
              <w:t>。</w:t>
            </w:r>
          </w:p>
          <w:p>
            <w:pPr>
              <w:pStyle w:val="46"/>
              <w:spacing w:after="24"/>
              <w:rPr>
                <w:lang w:val="zh-CN"/>
              </w:rPr>
            </w:pPr>
            <w:r>
              <w:rPr>
                <w:rFonts w:hint="eastAsia"/>
                <w:lang w:val="zh-CN"/>
              </w:rPr>
              <w:t>表7-2</w:t>
            </w:r>
            <w:r>
              <w:rPr>
                <w:rFonts w:hint="eastAsia"/>
              </w:rPr>
              <w:t>9</w:t>
            </w:r>
            <w:r>
              <w:rPr>
                <w:rFonts w:hint="eastAsia"/>
                <w:lang w:val="zh-CN"/>
              </w:rPr>
              <w:t xml:space="preserve">  评价工作等级划分</w:t>
            </w:r>
          </w:p>
          <w:tbl>
            <w:tblPr>
              <w:tblStyle w:val="3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6"/>
              <w:gridCol w:w="1597"/>
              <w:gridCol w:w="1741"/>
              <w:gridCol w:w="1743"/>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2" w:type="pct"/>
                  <w:vAlign w:val="center"/>
                </w:tcPr>
                <w:p>
                  <w:pPr>
                    <w:pStyle w:val="46"/>
                    <w:rPr>
                      <w:lang w:val="zh-CN"/>
                    </w:rPr>
                  </w:pPr>
                  <w:r>
                    <w:rPr>
                      <w:lang w:val="zh-CN"/>
                    </w:rPr>
                    <w:t>环境风险潜势</w:t>
                  </w:r>
                </w:p>
              </w:tc>
              <w:tc>
                <w:tcPr>
                  <w:tcW w:w="916" w:type="pct"/>
                  <w:vAlign w:val="center"/>
                </w:tcPr>
                <w:p>
                  <w:pPr>
                    <w:pStyle w:val="46"/>
                    <w:rPr>
                      <w:lang w:val="zh-CN"/>
                    </w:rPr>
                  </w:pPr>
                  <w:r>
                    <w:rPr>
                      <w:lang w:val="zh-CN"/>
                    </w:rPr>
                    <w:t>Ⅳ、Ⅳ+</w:t>
                  </w:r>
                </w:p>
              </w:tc>
              <w:tc>
                <w:tcPr>
                  <w:tcW w:w="999" w:type="pct"/>
                  <w:vAlign w:val="center"/>
                </w:tcPr>
                <w:p>
                  <w:pPr>
                    <w:pStyle w:val="46"/>
                    <w:rPr>
                      <w:lang w:val="zh-CN"/>
                    </w:rPr>
                  </w:pPr>
                  <w:r>
                    <w:rPr>
                      <w:lang w:val="zh-CN"/>
                    </w:rPr>
                    <w:t>Ⅲ</w:t>
                  </w:r>
                </w:p>
              </w:tc>
              <w:tc>
                <w:tcPr>
                  <w:tcW w:w="1000" w:type="pct"/>
                  <w:vAlign w:val="center"/>
                </w:tcPr>
                <w:p>
                  <w:pPr>
                    <w:pStyle w:val="46"/>
                    <w:rPr>
                      <w:lang w:val="zh-CN"/>
                    </w:rPr>
                  </w:pPr>
                  <w:r>
                    <w:rPr>
                      <w:lang w:val="zh-CN"/>
                    </w:rPr>
                    <w:t>Ⅱ</w:t>
                  </w:r>
                </w:p>
              </w:tc>
              <w:tc>
                <w:tcPr>
                  <w:tcW w:w="1000" w:type="pct"/>
                  <w:vAlign w:val="center"/>
                </w:tcPr>
                <w:p>
                  <w:pPr>
                    <w:pStyle w:val="46"/>
                    <w:rPr>
                      <w:lang w:val="zh-CN"/>
                    </w:rPr>
                  </w:pPr>
                  <w:r>
                    <w:rPr>
                      <w:lang w:val="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2" w:type="pct"/>
                  <w:vAlign w:val="center"/>
                </w:tcPr>
                <w:p>
                  <w:pPr>
                    <w:pStyle w:val="47"/>
                    <w:rPr>
                      <w:szCs w:val="22"/>
                      <w:lang w:val="zh-CN"/>
                    </w:rPr>
                  </w:pPr>
                  <w:r>
                    <w:rPr>
                      <w:szCs w:val="22"/>
                      <w:lang w:val="zh-CN"/>
                    </w:rPr>
                    <w:t>评价工作等级</w:t>
                  </w:r>
                </w:p>
              </w:tc>
              <w:tc>
                <w:tcPr>
                  <w:tcW w:w="916" w:type="pct"/>
                  <w:vAlign w:val="center"/>
                </w:tcPr>
                <w:p>
                  <w:pPr>
                    <w:pStyle w:val="47"/>
                    <w:rPr>
                      <w:szCs w:val="22"/>
                      <w:lang w:val="zh-CN"/>
                    </w:rPr>
                  </w:pPr>
                  <w:r>
                    <w:rPr>
                      <w:szCs w:val="22"/>
                      <w:lang w:val="zh-CN"/>
                    </w:rPr>
                    <w:t>一</w:t>
                  </w:r>
                </w:p>
              </w:tc>
              <w:tc>
                <w:tcPr>
                  <w:tcW w:w="999" w:type="pct"/>
                  <w:vAlign w:val="center"/>
                </w:tcPr>
                <w:p>
                  <w:pPr>
                    <w:pStyle w:val="47"/>
                    <w:rPr>
                      <w:szCs w:val="22"/>
                      <w:lang w:val="zh-CN"/>
                    </w:rPr>
                  </w:pPr>
                  <w:r>
                    <w:rPr>
                      <w:szCs w:val="22"/>
                      <w:lang w:val="zh-CN"/>
                    </w:rPr>
                    <w:t>二</w:t>
                  </w:r>
                </w:p>
              </w:tc>
              <w:tc>
                <w:tcPr>
                  <w:tcW w:w="1000" w:type="pct"/>
                  <w:vAlign w:val="center"/>
                </w:tcPr>
                <w:p>
                  <w:pPr>
                    <w:pStyle w:val="47"/>
                    <w:rPr>
                      <w:szCs w:val="22"/>
                      <w:lang w:val="zh-CN"/>
                    </w:rPr>
                  </w:pPr>
                  <w:r>
                    <w:rPr>
                      <w:szCs w:val="22"/>
                      <w:lang w:val="zh-CN"/>
                    </w:rPr>
                    <w:t>三</w:t>
                  </w:r>
                </w:p>
              </w:tc>
              <w:tc>
                <w:tcPr>
                  <w:tcW w:w="1000" w:type="pct"/>
                  <w:vAlign w:val="center"/>
                </w:tcPr>
                <w:p>
                  <w:pPr>
                    <w:pStyle w:val="47"/>
                    <w:rPr>
                      <w:szCs w:val="22"/>
                      <w:lang w:val="zh-CN"/>
                    </w:rPr>
                  </w:pPr>
                  <w:r>
                    <w:rPr>
                      <w:szCs w:val="22"/>
                      <w:lang w:val="zh-CN"/>
                    </w:rPr>
                    <w:t>简单分析</w:t>
                  </w:r>
                  <w:r>
                    <w:rPr>
                      <w:szCs w:val="22"/>
                      <w:vertAlign w:val="superscript"/>
                      <w:lang w:val="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vAlign w:val="center"/>
                </w:tcPr>
                <w:p>
                  <w:pPr>
                    <w:pStyle w:val="49"/>
                    <w:jc w:val="both"/>
                    <w:rPr>
                      <w:szCs w:val="22"/>
                      <w:lang w:val="zh-CN"/>
                    </w:rPr>
                  </w:pPr>
                  <w:r>
                    <w:rPr>
                      <w:rFonts w:hint="eastAsia"/>
                    </w:rPr>
                    <w:t>注：</w:t>
                  </w:r>
                  <w:r>
                    <w:rPr>
                      <w:lang w:val="zh-CN"/>
                    </w:rPr>
                    <w:t>a是相对于详细评价工作内容而言，在描述危险物质、环境影响途径、环境危害后果、风险防范措施等方面给出定性的说明。见附录A。</w:t>
                  </w:r>
                </w:p>
              </w:tc>
            </w:tr>
          </w:tbl>
          <w:p>
            <w:pPr>
              <w:pStyle w:val="46"/>
              <w:rPr>
                <w:lang w:val="zh-CN"/>
              </w:rPr>
            </w:pPr>
            <w:r>
              <w:rPr>
                <w:rFonts w:hint="eastAsia"/>
                <w:lang w:val="zh-CN"/>
              </w:rPr>
              <w:t>表7</w:t>
            </w:r>
            <w:r>
              <w:rPr>
                <w:rFonts w:hint="eastAsia"/>
              </w:rPr>
              <w:t>-30</w:t>
            </w:r>
            <w:r>
              <w:rPr>
                <w:lang w:val="zh-CN"/>
              </w:rPr>
              <w:t xml:space="preserve">  </w:t>
            </w:r>
            <w:r>
              <w:rPr>
                <w:rFonts w:hint="eastAsia"/>
                <w:lang w:val="zh-CN"/>
              </w:rPr>
              <w:t>建设项目环境风险简单分析内容表</w:t>
            </w:r>
          </w:p>
          <w:tbl>
            <w:tblPr>
              <w:tblStyle w:val="34"/>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11"/>
              <w:gridCol w:w="1329"/>
              <w:gridCol w:w="1343"/>
              <w:gridCol w:w="366"/>
              <w:gridCol w:w="483"/>
              <w:gridCol w:w="910"/>
              <w:gridCol w:w="15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55" w:type="pct"/>
                  <w:tcBorders>
                    <w:top w:val="single" w:color="000000" w:sz="4" w:space="0"/>
                    <w:left w:val="single" w:color="000000" w:sz="4" w:space="0"/>
                    <w:bottom w:val="single" w:color="000000" w:sz="4" w:space="0"/>
                    <w:right w:val="single" w:color="000000" w:sz="4" w:space="0"/>
                  </w:tcBorders>
                  <w:vAlign w:val="center"/>
                </w:tcPr>
                <w:p>
                  <w:pPr>
                    <w:pStyle w:val="47"/>
                    <w:rPr>
                      <w:lang w:val="zh-CN"/>
                    </w:rPr>
                  </w:pPr>
                  <w:r>
                    <w:rPr>
                      <w:lang w:val="zh-CN"/>
                    </w:rPr>
                    <w:t>建设项目名称</w:t>
                  </w:r>
                </w:p>
              </w:tc>
              <w:tc>
                <w:tcPr>
                  <w:tcW w:w="3444" w:type="pct"/>
                  <w:gridSpan w:val="6"/>
                  <w:tcBorders>
                    <w:top w:val="single" w:color="000000" w:sz="4" w:space="0"/>
                    <w:left w:val="single" w:color="000000" w:sz="4" w:space="0"/>
                    <w:bottom w:val="single" w:color="000000" w:sz="4" w:space="0"/>
                    <w:right w:val="single" w:color="000000" w:sz="4" w:space="0"/>
                  </w:tcBorders>
                  <w:vAlign w:val="center"/>
                </w:tcPr>
                <w:p>
                  <w:pPr>
                    <w:pStyle w:val="47"/>
                  </w:pPr>
                  <w:r>
                    <w:rPr>
                      <w:rFonts w:hint="eastAsia"/>
                    </w:rPr>
                    <w:t>嘉兴鸿博机电有限公司</w:t>
                  </w:r>
                </w:p>
                <w:p>
                  <w:pPr>
                    <w:pStyle w:val="47"/>
                  </w:pPr>
                  <w:r>
                    <w:rPr>
                      <w:rFonts w:hint="eastAsia"/>
                    </w:rPr>
                    <w:t>年产30000件精密配件、15000套后倾离心风机项目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55" w:type="pct"/>
                  <w:tcBorders>
                    <w:top w:val="single" w:color="000000" w:sz="4" w:space="0"/>
                    <w:left w:val="single" w:color="000000" w:sz="4" w:space="0"/>
                    <w:bottom w:val="single" w:color="000000" w:sz="4" w:space="0"/>
                    <w:right w:val="single" w:color="000000" w:sz="4" w:space="0"/>
                  </w:tcBorders>
                  <w:vAlign w:val="center"/>
                </w:tcPr>
                <w:p>
                  <w:pPr>
                    <w:pStyle w:val="47"/>
                    <w:rPr>
                      <w:lang w:val="zh-CN"/>
                    </w:rPr>
                  </w:pPr>
                  <w:r>
                    <w:rPr>
                      <w:lang w:val="zh-CN"/>
                    </w:rPr>
                    <w:t>建设地点</w:t>
                  </w:r>
                </w:p>
              </w:tc>
              <w:tc>
                <w:tcPr>
                  <w:tcW w:w="762" w:type="pct"/>
                  <w:tcBorders>
                    <w:top w:val="single" w:color="000000" w:sz="4" w:space="0"/>
                    <w:left w:val="single" w:color="000000" w:sz="4" w:space="0"/>
                    <w:bottom w:val="single" w:color="000000" w:sz="4" w:space="0"/>
                    <w:right w:val="single" w:color="000000" w:sz="4" w:space="0"/>
                  </w:tcBorders>
                  <w:vAlign w:val="center"/>
                </w:tcPr>
                <w:p>
                  <w:pPr>
                    <w:pStyle w:val="47"/>
                    <w:rPr>
                      <w:lang w:val="zh-CN"/>
                    </w:rPr>
                  </w:pPr>
                  <w:r>
                    <w:rPr>
                      <w:lang w:val="zh-CN"/>
                    </w:rPr>
                    <w:t>（浙江）省</w:t>
                  </w:r>
                </w:p>
              </w:tc>
              <w:tc>
                <w:tcPr>
                  <w:tcW w:w="770" w:type="pct"/>
                  <w:tcBorders>
                    <w:top w:val="single" w:color="000000" w:sz="4" w:space="0"/>
                    <w:left w:val="single" w:color="000000" w:sz="4" w:space="0"/>
                    <w:bottom w:val="single" w:color="000000" w:sz="4" w:space="0"/>
                    <w:right w:val="single" w:color="000000" w:sz="4" w:space="0"/>
                  </w:tcBorders>
                  <w:vAlign w:val="center"/>
                </w:tcPr>
                <w:p>
                  <w:pPr>
                    <w:pStyle w:val="47"/>
                    <w:rPr>
                      <w:lang w:val="zh-CN"/>
                    </w:rPr>
                  </w:pPr>
                  <w:r>
                    <w:rPr>
                      <w:lang w:val="zh-CN"/>
                    </w:rPr>
                    <w:t>（</w:t>
                  </w:r>
                  <w:r>
                    <w:rPr>
                      <w:rFonts w:hint="eastAsia"/>
                    </w:rPr>
                    <w:t>嘉兴</w:t>
                  </w:r>
                  <w:r>
                    <w:rPr>
                      <w:lang w:val="zh-CN"/>
                    </w:rPr>
                    <w:t>）市</w:t>
                  </w:r>
                </w:p>
              </w:tc>
              <w:tc>
                <w:tcPr>
                  <w:tcW w:w="487" w:type="pct"/>
                  <w:gridSpan w:val="2"/>
                  <w:tcBorders>
                    <w:top w:val="single" w:color="000000" w:sz="4" w:space="0"/>
                    <w:left w:val="single" w:color="000000" w:sz="4" w:space="0"/>
                    <w:bottom w:val="single" w:color="000000" w:sz="4" w:space="0"/>
                    <w:right w:val="single" w:color="000000" w:sz="4" w:space="0"/>
                  </w:tcBorders>
                  <w:vAlign w:val="center"/>
                </w:tcPr>
                <w:p>
                  <w:pPr>
                    <w:pStyle w:val="47"/>
                    <w:rPr>
                      <w:lang w:val="zh-CN"/>
                    </w:rPr>
                  </w:pPr>
                  <w:r>
                    <w:rPr>
                      <w:lang w:val="zh-CN"/>
                    </w:rPr>
                    <w:t>（</w:t>
                  </w:r>
                  <w:r>
                    <w:rPr>
                      <w:rFonts w:hint="eastAsia"/>
                      <w:lang w:val="zh-CN"/>
                    </w:rPr>
                    <w:t>/</w:t>
                  </w:r>
                  <w:r>
                    <w:rPr>
                      <w:lang w:val="zh-CN"/>
                    </w:rPr>
                    <w:t>）区</w:t>
                  </w:r>
                </w:p>
              </w:tc>
              <w:tc>
                <w:tcPr>
                  <w:tcW w:w="522" w:type="pct"/>
                  <w:tcBorders>
                    <w:top w:val="single" w:color="000000" w:sz="4" w:space="0"/>
                    <w:left w:val="single" w:color="000000" w:sz="4" w:space="0"/>
                    <w:bottom w:val="single" w:color="000000" w:sz="4" w:space="0"/>
                    <w:right w:val="single" w:color="000000" w:sz="4" w:space="0"/>
                  </w:tcBorders>
                  <w:vAlign w:val="center"/>
                </w:tcPr>
                <w:p>
                  <w:pPr>
                    <w:pStyle w:val="47"/>
                    <w:rPr>
                      <w:lang w:val="zh-CN"/>
                    </w:rPr>
                  </w:pPr>
                  <w:r>
                    <w:rPr>
                      <w:lang w:val="zh-CN"/>
                    </w:rPr>
                    <w:t>（</w:t>
                  </w:r>
                  <w:r>
                    <w:rPr>
                      <w:rFonts w:hint="eastAsia"/>
                      <w:lang w:val="zh-CN"/>
                    </w:rPr>
                    <w:t>/</w:t>
                  </w:r>
                  <w:r>
                    <w:rPr>
                      <w:lang w:val="zh-CN"/>
                    </w:rPr>
                    <w:t>）县</w:t>
                  </w:r>
                </w:p>
              </w:tc>
              <w:tc>
                <w:tcPr>
                  <w:tcW w:w="902" w:type="pct"/>
                  <w:tcBorders>
                    <w:top w:val="single" w:color="000000" w:sz="4" w:space="0"/>
                    <w:left w:val="single" w:color="000000" w:sz="4" w:space="0"/>
                    <w:bottom w:val="single" w:color="000000" w:sz="4" w:space="0"/>
                    <w:right w:val="single" w:color="000000" w:sz="4" w:space="0"/>
                  </w:tcBorders>
                  <w:vAlign w:val="center"/>
                </w:tcPr>
                <w:p>
                  <w:pPr>
                    <w:pStyle w:val="47"/>
                    <w:rPr>
                      <w:lang w:val="zh-CN"/>
                    </w:rPr>
                  </w:pPr>
                  <w:r>
                    <w:rPr>
                      <w:rFonts w:hint="eastAsia"/>
                    </w:rPr>
                    <w:t>桐乡市崇福镇杭福路1336号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55" w:type="pct"/>
                  <w:tcBorders>
                    <w:top w:val="single" w:color="000000" w:sz="4" w:space="0"/>
                    <w:left w:val="single" w:color="000000" w:sz="4" w:space="0"/>
                    <w:bottom w:val="single" w:color="000000" w:sz="4" w:space="0"/>
                    <w:right w:val="single" w:color="000000" w:sz="4" w:space="0"/>
                  </w:tcBorders>
                  <w:vAlign w:val="center"/>
                </w:tcPr>
                <w:p>
                  <w:pPr>
                    <w:pStyle w:val="47"/>
                    <w:rPr>
                      <w:lang w:val="zh-CN"/>
                    </w:rPr>
                  </w:pPr>
                  <w:r>
                    <w:rPr>
                      <w:lang w:val="zh-CN"/>
                    </w:rPr>
                    <w:t>地理坐标</w:t>
                  </w:r>
                </w:p>
              </w:tc>
              <w:tc>
                <w:tcPr>
                  <w:tcW w:w="762" w:type="pct"/>
                  <w:tcBorders>
                    <w:top w:val="single" w:color="000000" w:sz="4" w:space="0"/>
                    <w:left w:val="single" w:color="000000" w:sz="4" w:space="0"/>
                    <w:bottom w:val="single" w:color="000000" w:sz="4" w:space="0"/>
                    <w:right w:val="single" w:color="000000" w:sz="4" w:space="0"/>
                  </w:tcBorders>
                  <w:vAlign w:val="center"/>
                </w:tcPr>
                <w:p>
                  <w:pPr>
                    <w:pStyle w:val="47"/>
                    <w:rPr>
                      <w:lang w:val="zh-CN"/>
                    </w:rPr>
                  </w:pPr>
                  <w:r>
                    <w:rPr>
                      <w:lang w:val="zh-CN"/>
                    </w:rPr>
                    <w:t>经度</w:t>
                  </w:r>
                </w:p>
              </w:tc>
              <w:tc>
                <w:tcPr>
                  <w:tcW w:w="980" w:type="pct"/>
                  <w:gridSpan w:val="2"/>
                  <w:tcBorders>
                    <w:top w:val="single" w:color="000000" w:sz="4" w:space="0"/>
                    <w:left w:val="single" w:color="000000" w:sz="4" w:space="0"/>
                    <w:bottom w:val="single" w:color="000000" w:sz="4" w:space="0"/>
                    <w:right w:val="single" w:color="000000" w:sz="4" w:space="0"/>
                  </w:tcBorders>
                  <w:vAlign w:val="center"/>
                </w:tcPr>
                <w:p>
                  <w:pPr>
                    <w:pStyle w:val="47"/>
                    <w:rPr>
                      <w:lang w:val="zh-CN"/>
                    </w:rPr>
                  </w:pPr>
                  <w:r>
                    <w:rPr>
                      <w:lang w:val="zh-CN"/>
                    </w:rPr>
                    <w:t>E</w:t>
                  </w:r>
                  <w:r>
                    <w:rPr>
                      <w:rFonts w:hint="eastAsia"/>
                      <w:lang w:val="zh-CN"/>
                    </w:rPr>
                    <w:t>120.437079°</w:t>
                  </w:r>
                </w:p>
              </w:tc>
              <w:tc>
                <w:tcPr>
                  <w:tcW w:w="799" w:type="pct"/>
                  <w:gridSpan w:val="2"/>
                  <w:tcBorders>
                    <w:top w:val="single" w:color="000000" w:sz="4" w:space="0"/>
                    <w:left w:val="single" w:color="000000" w:sz="4" w:space="0"/>
                    <w:bottom w:val="single" w:color="000000" w:sz="4" w:space="0"/>
                    <w:right w:val="single" w:color="000000" w:sz="4" w:space="0"/>
                  </w:tcBorders>
                  <w:vAlign w:val="center"/>
                </w:tcPr>
                <w:p>
                  <w:pPr>
                    <w:pStyle w:val="47"/>
                    <w:rPr>
                      <w:lang w:val="zh-CN"/>
                    </w:rPr>
                  </w:pPr>
                  <w:r>
                    <w:rPr>
                      <w:lang w:val="zh-CN"/>
                    </w:rPr>
                    <w:t>纬度</w:t>
                  </w:r>
                </w:p>
              </w:tc>
              <w:tc>
                <w:tcPr>
                  <w:tcW w:w="902" w:type="pct"/>
                  <w:tcBorders>
                    <w:top w:val="single" w:color="000000" w:sz="4" w:space="0"/>
                    <w:left w:val="single" w:color="000000" w:sz="4" w:space="0"/>
                    <w:bottom w:val="single" w:color="000000" w:sz="4" w:space="0"/>
                    <w:right w:val="single" w:color="000000" w:sz="4" w:space="0"/>
                  </w:tcBorders>
                  <w:vAlign w:val="center"/>
                </w:tcPr>
                <w:p>
                  <w:pPr>
                    <w:pStyle w:val="47"/>
                    <w:rPr>
                      <w:lang w:val="zh-CN"/>
                    </w:rPr>
                  </w:pPr>
                  <w:r>
                    <w:rPr>
                      <w:lang w:val="zh-CN"/>
                    </w:rPr>
                    <w:t>N</w:t>
                  </w:r>
                  <w:r>
                    <w:rPr>
                      <w:rFonts w:hint="eastAsia"/>
                      <w:lang w:val="zh-CN"/>
                    </w:rPr>
                    <w:t>30.547156°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55" w:type="pct"/>
                  <w:tcBorders>
                    <w:top w:val="single" w:color="000000" w:sz="4" w:space="0"/>
                    <w:left w:val="single" w:color="000000" w:sz="4" w:space="0"/>
                    <w:bottom w:val="single" w:color="000000" w:sz="4" w:space="0"/>
                    <w:right w:val="single" w:color="000000" w:sz="4" w:space="0"/>
                  </w:tcBorders>
                  <w:vAlign w:val="center"/>
                </w:tcPr>
                <w:p>
                  <w:pPr>
                    <w:pStyle w:val="47"/>
                    <w:rPr>
                      <w:lang w:val="zh-CN"/>
                    </w:rPr>
                  </w:pPr>
                  <w:r>
                    <w:rPr>
                      <w:lang w:val="zh-CN"/>
                    </w:rPr>
                    <w:t>主要危险物质及分布</w:t>
                  </w:r>
                </w:p>
              </w:tc>
              <w:tc>
                <w:tcPr>
                  <w:tcW w:w="3444" w:type="pct"/>
                  <w:gridSpan w:val="6"/>
                  <w:tcBorders>
                    <w:top w:val="single" w:color="000000" w:sz="4" w:space="0"/>
                    <w:left w:val="single" w:color="000000" w:sz="4" w:space="0"/>
                    <w:bottom w:val="single" w:color="000000" w:sz="4" w:space="0"/>
                    <w:right w:val="single" w:color="000000" w:sz="4" w:space="0"/>
                  </w:tcBorders>
                  <w:vAlign w:val="center"/>
                </w:tcPr>
                <w:p>
                  <w:pPr>
                    <w:pStyle w:val="47"/>
                    <w:jc w:val="both"/>
                    <w:rPr>
                      <w:lang w:val="zh-CN"/>
                    </w:rPr>
                  </w:pPr>
                  <w:r>
                    <w:rPr>
                      <w:rFonts w:hint="eastAsia"/>
                      <w:lang w:val="zh-CN"/>
                    </w:rPr>
                    <w:t>主要风险物质为</w:t>
                  </w:r>
                  <w:r>
                    <w:rPr>
                      <w:rFonts w:hint="eastAsia"/>
                    </w:rPr>
                    <w:t>机油、废机油、废乳化液和废漆料</w:t>
                  </w:r>
                  <w:r>
                    <w:rPr>
                      <w:rFonts w:hint="eastAsia"/>
                      <w:lang w:val="zh-CN"/>
                    </w:rPr>
                    <w:t>，分别分布于原料仓库和危废仓库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55" w:type="pct"/>
                  <w:tcBorders>
                    <w:top w:val="single" w:color="000000" w:sz="4" w:space="0"/>
                    <w:left w:val="single" w:color="000000" w:sz="4" w:space="0"/>
                    <w:bottom w:val="single" w:color="000000" w:sz="4" w:space="0"/>
                    <w:right w:val="single" w:color="000000" w:sz="4" w:space="0"/>
                  </w:tcBorders>
                  <w:vAlign w:val="center"/>
                </w:tcPr>
                <w:p>
                  <w:pPr>
                    <w:pStyle w:val="47"/>
                    <w:rPr>
                      <w:lang w:val="zh-CN"/>
                    </w:rPr>
                  </w:pPr>
                  <w:r>
                    <w:rPr>
                      <w:lang w:val="zh-CN"/>
                    </w:rPr>
                    <w:t>环境影响途径及危害后果（大气、地表水、地下水等）</w:t>
                  </w:r>
                </w:p>
              </w:tc>
              <w:tc>
                <w:tcPr>
                  <w:tcW w:w="3444" w:type="pct"/>
                  <w:gridSpan w:val="6"/>
                  <w:tcBorders>
                    <w:top w:val="single" w:color="000000" w:sz="4" w:space="0"/>
                    <w:left w:val="single" w:color="000000" w:sz="4" w:space="0"/>
                    <w:bottom w:val="single" w:color="000000" w:sz="4" w:space="0"/>
                    <w:right w:val="single" w:color="000000" w:sz="4" w:space="0"/>
                  </w:tcBorders>
                  <w:vAlign w:val="center"/>
                </w:tcPr>
                <w:p>
                  <w:pPr>
                    <w:pStyle w:val="47"/>
                    <w:jc w:val="both"/>
                    <w:rPr>
                      <w:lang w:val="zh-CN"/>
                    </w:rPr>
                  </w:pPr>
                  <w:r>
                    <w:rPr>
                      <w:lang w:val="zh-CN"/>
                    </w:rPr>
                    <w:t>1</w:t>
                  </w:r>
                  <w:r>
                    <w:rPr>
                      <w:rFonts w:hint="eastAsia"/>
                      <w:lang w:val="zh-CN"/>
                    </w:rPr>
                    <w:t>、泄露事故，对土壤、地表水及地下水造成污染</w:t>
                  </w:r>
                </w:p>
                <w:p>
                  <w:pPr>
                    <w:pStyle w:val="47"/>
                    <w:jc w:val="both"/>
                    <w:rPr>
                      <w:lang w:val="zh-CN"/>
                    </w:rPr>
                  </w:pPr>
                  <w:r>
                    <w:rPr>
                      <w:rFonts w:hint="eastAsia"/>
                      <w:lang w:val="zh-CN"/>
                    </w:rPr>
                    <w:t>2、火灾爆炸事故，伴生大气、地表水及地下水污染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55" w:type="pct"/>
                  <w:tcBorders>
                    <w:top w:val="single" w:color="000000" w:sz="4" w:space="0"/>
                    <w:left w:val="single" w:color="000000" w:sz="4" w:space="0"/>
                    <w:bottom w:val="single" w:color="000000" w:sz="4" w:space="0"/>
                    <w:right w:val="single" w:color="000000" w:sz="4" w:space="0"/>
                  </w:tcBorders>
                  <w:vAlign w:val="center"/>
                </w:tcPr>
                <w:p>
                  <w:pPr>
                    <w:pStyle w:val="47"/>
                    <w:rPr>
                      <w:lang w:val="zh-CN"/>
                    </w:rPr>
                  </w:pPr>
                  <w:r>
                    <w:rPr>
                      <w:lang w:val="zh-CN"/>
                    </w:rPr>
                    <w:t>风险防范措施要求</w:t>
                  </w:r>
                </w:p>
              </w:tc>
              <w:tc>
                <w:tcPr>
                  <w:tcW w:w="3444" w:type="pct"/>
                  <w:gridSpan w:val="6"/>
                  <w:tcBorders>
                    <w:top w:val="single" w:color="000000" w:sz="4" w:space="0"/>
                    <w:left w:val="single" w:color="000000" w:sz="4" w:space="0"/>
                    <w:bottom w:val="single" w:color="000000" w:sz="4" w:space="0"/>
                    <w:right w:val="single" w:color="000000" w:sz="4" w:space="0"/>
                  </w:tcBorders>
                  <w:vAlign w:val="center"/>
                </w:tcPr>
                <w:p>
                  <w:pPr>
                    <w:pStyle w:val="47"/>
                    <w:rPr>
                      <w:lang w:val="en-GB"/>
                    </w:rPr>
                  </w:pPr>
                  <w:r>
                    <w:rPr>
                      <w:rFonts w:hint="eastAsia"/>
                      <w:lang w:val="en-GB"/>
                    </w:rPr>
                    <w:t>加强对危险物质的管理，在储存、使用过程中防止跑、冒、滴、漏；加强设施设备维护检修工作；明确事故防范措施，落实到人。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000" w:type="pct"/>
                  <w:gridSpan w:val="7"/>
                  <w:tcBorders>
                    <w:top w:val="single" w:color="000000" w:sz="4" w:space="0"/>
                    <w:left w:val="single" w:color="000000" w:sz="4" w:space="0"/>
                    <w:bottom w:val="single" w:color="000000" w:sz="4" w:space="0"/>
                    <w:right w:val="single" w:color="000000" w:sz="4" w:space="0"/>
                  </w:tcBorders>
                  <w:vAlign w:val="center"/>
                </w:tcPr>
                <w:p>
                  <w:pPr>
                    <w:pStyle w:val="49"/>
                    <w:jc w:val="both"/>
                    <w:rPr>
                      <w:lang w:val="zh-CN"/>
                    </w:rPr>
                  </w:pPr>
                  <w:r>
                    <w:rPr>
                      <w:lang w:val="zh-CN"/>
                    </w:rPr>
                    <w:t>填表说明（列出项目相关信息及评价说明）：</w:t>
                  </w:r>
                </w:p>
                <w:p>
                  <w:pPr>
                    <w:pStyle w:val="49"/>
                    <w:jc w:val="both"/>
                    <w:rPr>
                      <w:lang w:val="zh-CN"/>
                    </w:rPr>
                  </w:pPr>
                  <w:r>
                    <w:rPr>
                      <w:rFonts w:hint="eastAsia"/>
                      <w:lang w:val="zh-CN"/>
                    </w:rPr>
                    <w:t>1、项目相关信息</w:t>
                  </w:r>
                </w:p>
                <w:p>
                  <w:pPr>
                    <w:pStyle w:val="49"/>
                    <w:jc w:val="both"/>
                    <w:rPr>
                      <w:lang w:val="zh-CN"/>
                    </w:rPr>
                  </w:pPr>
                  <w:r>
                    <w:rPr>
                      <w:rFonts w:hint="eastAsia"/>
                      <w:lang w:val="zh-CN"/>
                    </w:rPr>
                    <w:t>嘉兴鸿博机电有限公司主要从事精密配件、后倾离心风机的生产。为满足企业生产需求，现企业计划购置中节能（桐乡）环保科技有限公司位于桐乡市崇福镇杭福路1336号20幢1号面积为1542.56平方米的工业厂房，并购置加工中心2台、炮塔铣床4台、6140车床1台、平面磨床3台、数控车床3台、平面组合铣床1台、摇臂钻床3台、攻丝机2台、锯床1台、100T油压机1台、真空含浸机1台、电热烘箱1台、10T油压机1台、综合测试平台1台、定子绕线机1台、动平衡机1台、MIG焊机1台、交流氩弧焊机1台、二保焊1台等国产设备，本项目实施后形成年产30000件精密配件、15000套后倾离心风机的生产能力。</w:t>
                  </w:r>
                </w:p>
                <w:p>
                  <w:pPr>
                    <w:pStyle w:val="49"/>
                    <w:jc w:val="both"/>
                    <w:rPr>
                      <w:lang w:val="zh-CN"/>
                    </w:rPr>
                  </w:pPr>
                  <w:r>
                    <w:rPr>
                      <w:rFonts w:hint="eastAsia"/>
                      <w:lang w:val="zh-CN"/>
                    </w:rPr>
                    <w:t>2、评价说明</w:t>
                  </w:r>
                </w:p>
                <w:p>
                  <w:pPr>
                    <w:pStyle w:val="49"/>
                    <w:jc w:val="both"/>
                    <w:rPr>
                      <w:szCs w:val="16"/>
                      <w:lang w:val="zh-CN"/>
                    </w:rPr>
                  </w:pPr>
                  <w:r>
                    <w:rPr>
                      <w:lang w:val="zh-CN"/>
                    </w:rPr>
                    <w:t>本项目运营过程中</w:t>
                  </w:r>
                  <w:r>
                    <w:rPr>
                      <w:rFonts w:hint="eastAsia"/>
                      <w:lang w:val="zh-CN"/>
                    </w:rPr>
                    <w:t>涉及</w:t>
                  </w:r>
                  <w:r>
                    <w:rPr>
                      <w:lang w:val="zh-CN"/>
                    </w:rPr>
                    <w:t>的风险物质厂界内最大存在总量与对应临界量的比值Q＜</w:t>
                  </w:r>
                  <w:r>
                    <w:rPr>
                      <w:rFonts w:hint="eastAsia"/>
                      <w:lang w:val="zh-CN"/>
                    </w:rPr>
                    <w:t>1，该项目环境风险潜势为Ⅰ，进行简单分析即可。在</w:t>
                  </w:r>
                  <w:r>
                    <w:rPr>
                      <w:lang w:val="zh-CN"/>
                    </w:rPr>
                    <w:t>落实防范措施的基础上，环境风险可以承受。</w:t>
                  </w:r>
                </w:p>
              </w:tc>
            </w:tr>
          </w:tbl>
          <w:p>
            <w:pPr>
              <w:pStyle w:val="6"/>
              <w:rPr>
                <w:lang w:val="en-GB"/>
              </w:rPr>
            </w:pPr>
            <w:r>
              <w:rPr>
                <w:rFonts w:hint="eastAsia"/>
                <w:lang w:val="en-GB"/>
              </w:rPr>
              <w:t>7.2.7.4环境风险识别</w:t>
            </w:r>
          </w:p>
          <w:p>
            <w:pPr>
              <w:ind w:firstLine="480"/>
              <w:rPr>
                <w:lang w:val="en-GB"/>
              </w:rPr>
            </w:pPr>
            <w:r>
              <w:rPr>
                <w:rFonts w:hint="eastAsia"/>
                <w:lang w:val="en-GB"/>
              </w:rPr>
              <w:t>1、物料危险性分析</w:t>
            </w:r>
          </w:p>
          <w:p>
            <w:pPr>
              <w:ind w:firstLine="480"/>
              <w:rPr>
                <w:lang w:val="en-GB"/>
              </w:rPr>
            </w:pPr>
            <w:r>
              <w:rPr>
                <w:rFonts w:hint="eastAsia"/>
              </w:rPr>
              <w:t>机油、废机油</w:t>
            </w:r>
            <w:r>
              <w:rPr>
                <w:rFonts w:hint="eastAsia"/>
                <w:lang w:val="en-GB"/>
              </w:rPr>
              <w:t>具有可燃性、刺激性和一定的毒性。急性吸入，可出现乏力、头晕、头痛、恶心，严重者可引起油脂性肺炎。慢接触者，暴露部位可发生油性痤疮和接触性皮炎。可引起神经衰弱综合征，呼吸道和眼刺激症状及慢性油脂性肺炎。有资料报道，接触石油液压油类的工人，有致癌的病例报告。</w:t>
            </w:r>
          </w:p>
          <w:p>
            <w:pPr>
              <w:ind w:firstLine="480"/>
              <w:rPr>
                <w:lang w:val="en-GB"/>
              </w:rPr>
            </w:pPr>
            <w:r>
              <w:rPr>
                <w:rFonts w:hint="eastAsia"/>
                <w:lang w:val="en-GB"/>
              </w:rPr>
              <w:t>本评价将本项目产生的</w:t>
            </w:r>
            <w:r>
              <w:rPr>
                <w:rFonts w:hint="eastAsia"/>
              </w:rPr>
              <w:t>废乳化液、废漆料</w:t>
            </w:r>
            <w:r>
              <w:rPr>
                <w:rFonts w:hint="eastAsia"/>
                <w:lang w:val="en-GB"/>
              </w:rPr>
              <w:t>视为重点关注的危险物质（COD</w:t>
            </w:r>
            <w:r>
              <w:rPr>
                <w:rFonts w:hint="eastAsia"/>
                <w:vertAlign w:val="subscript"/>
                <w:lang w:val="en-GB"/>
              </w:rPr>
              <w:t>Cr</w:t>
            </w:r>
            <w:r>
              <w:rPr>
                <w:rFonts w:hint="eastAsia"/>
                <w:lang w:val="en-GB"/>
              </w:rPr>
              <w:t>浓度≥10000mg/L的有机废液），高浓度有机废液进入水体环境会使受纳水体缺氧甚至厌氧，导致水生生物死亡，产生恶臭，给周围环境造成不良影响。高浓度有机废水中多含有硫化物、氮化物、重金属和有毒有机物，会在水体、土壤等自然环境中不断积累、赋存，最终进入人体，危害人体健康。</w:t>
            </w:r>
          </w:p>
          <w:p>
            <w:pPr>
              <w:ind w:firstLine="480"/>
            </w:pPr>
            <w:r>
              <w:rPr>
                <w:rFonts w:hint="eastAsia"/>
              </w:rPr>
              <w:t>2、风险事故类型</w:t>
            </w:r>
          </w:p>
          <w:p>
            <w:pPr>
              <w:ind w:firstLine="480"/>
            </w:pPr>
            <w:r>
              <w:rPr>
                <w:rFonts w:hint="eastAsia"/>
              </w:rPr>
              <w:t>本项目生产车间不属于易燃易爆场所，如果在设计和安装存在缺陷，设备质量不过关，生产过程中发生误操作或机电设备出故障及外力因素破坏等，就有可能引发风险事故，其主要风险类型是机油、废机油、废乳化液和废漆料泄露、溢出，以及由此引发的火灾或爆炸。</w:t>
            </w:r>
          </w:p>
          <w:p>
            <w:pPr>
              <w:ind w:firstLine="480"/>
            </w:pPr>
            <w:r>
              <w:rPr>
                <w:rFonts w:hint="eastAsia"/>
              </w:rPr>
              <w:t>（1）风险事故成因分析</w:t>
            </w:r>
          </w:p>
          <w:p>
            <w:pPr>
              <w:ind w:firstLine="480"/>
            </w:pPr>
            <w:r>
              <w:rPr>
                <w:rFonts w:hint="eastAsia"/>
              </w:rPr>
              <w:t>可能发生泄漏的成因如下：各类设备出现故障、损坏等导致设备内的机油、废机油、废乳化液和废漆料泄漏；为设备更换机油、废机油、废乳化液和废漆料时操作不当引起的泄漏；存放机油、废机油、废乳化液和废漆料的容器倾倒或出现破损导致机油、废机油、废乳化液和废漆料泄漏。</w:t>
            </w:r>
          </w:p>
          <w:p>
            <w:pPr>
              <w:ind w:firstLine="480"/>
            </w:pPr>
            <w:r>
              <w:rPr>
                <w:rFonts w:hint="eastAsia"/>
              </w:rPr>
              <w:t>可能发生火灾及爆炸原因如下：因机油、废机油、废乳化液和废漆料泄漏，而形成足够的小区域燃烧浓度；在泄漏区域周围有明火出现，如：设备在机械加工时产生火花、钝器意外撞击产生火花、因有关人员衣着材料产生明火以及其它明火；周围电网影响；雷电天气影响。</w:t>
            </w:r>
          </w:p>
          <w:p>
            <w:pPr>
              <w:ind w:firstLine="480"/>
            </w:pPr>
            <w:r>
              <w:rPr>
                <w:rFonts w:hint="eastAsia"/>
              </w:rPr>
              <w:t>从本项目机油、废机油、废乳化液和废漆料的存放情况看，只要严格管理，操作正确，保证存放容器不受破坏，正常情况下，可以避免发生泄漏事故，但不能排除非正常情况下泄漏事故的发生如：火灾和其他一些不可预测潜在突然因素的发生。</w:t>
            </w:r>
          </w:p>
          <w:p>
            <w:pPr>
              <w:ind w:firstLine="480"/>
            </w:pPr>
            <w:r>
              <w:rPr>
                <w:rFonts w:hint="eastAsia"/>
              </w:rPr>
              <w:t>本项目非易燃易爆敏感地，火灾发生危险较低。只要严格按照国家有关防火防爆规定规范进行设计、施工、经营，强化管理，明确责任，并做好各种预防准备措施，则可以最大限度的避免火灾发生，但不能排除不可控制条件下事故的发生。由于本项目涉及的油类物质用量极小，发生火灾的可能性较小，因此本环评主要就泄漏事故对环境的影响进行分析阐述。</w:t>
            </w:r>
          </w:p>
          <w:p>
            <w:pPr>
              <w:ind w:firstLine="480"/>
            </w:pPr>
            <w:r>
              <w:rPr>
                <w:rFonts w:hint="eastAsia"/>
              </w:rPr>
              <w:t>（2）事故影响分析</w:t>
            </w:r>
          </w:p>
          <w:p>
            <w:pPr>
              <w:ind w:firstLine="480"/>
            </w:pPr>
            <w:r>
              <w:rPr>
                <w:rFonts w:hint="eastAsia"/>
              </w:rPr>
              <w:t>机油、废机油、废乳化液和废漆料存放事故泄漏主要指自然灾害或不可抗拒外力造成的机油、废机油、废乳化液和废漆料泄漏对环境的影响，如地震、洪水、滑坡等非人为因素。这种由于自然因素引起的环境污染造成的后果较难估量，最坏的设想是所有存放的机油、废机油、废乳化液和废漆料全部进入环境，对河流、土壤、生物造成严重的污染。这种污染一般是范围较广、面积较大、后果较为严重，达到自然环境的完全恢复需要相当长的时间。对本项目由于自然灾害引起环境污染的防治，最好的办法是采取预防的措施。对暂存点设计合理，不会轻易受到非人为损坏。在存放过程中，做到存放到位，确保存放容器不会轻易倾倒或者破损。</w:t>
            </w:r>
          </w:p>
          <w:p>
            <w:pPr>
              <w:pStyle w:val="6"/>
              <w:rPr>
                <w:lang w:val="en-GB"/>
              </w:rPr>
            </w:pPr>
            <w:r>
              <w:rPr>
                <w:rFonts w:hint="eastAsia"/>
                <w:lang w:val="en-GB"/>
              </w:rPr>
              <w:t>7.2.7.5环境风险防范措施及应急要求</w:t>
            </w:r>
          </w:p>
          <w:p>
            <w:pPr>
              <w:ind w:firstLine="480"/>
              <w:rPr>
                <w:lang w:val="zh-CN"/>
              </w:rPr>
            </w:pPr>
            <w:r>
              <w:rPr>
                <w:rFonts w:hint="eastAsia"/>
                <w:lang w:val="zh-CN"/>
              </w:rPr>
              <w:t>严格遵守国家已有标准，进行危险物质的存放；加强管理，对出现的泄漏要及时采取措施，对隐患要坚决消除，实行以防火为中心的安全管理；配备应急救援设施和器材；为防止可能产生的地面积聚的</w:t>
            </w:r>
            <w:r>
              <w:rPr>
                <w:rFonts w:hint="eastAsia"/>
              </w:rPr>
              <w:t>机油、废机油、废乳化液和废漆料</w:t>
            </w:r>
            <w:r>
              <w:rPr>
                <w:rFonts w:hint="eastAsia"/>
                <w:lang w:val="zh-CN"/>
              </w:rPr>
              <w:t>，以及受油类物质、高浓度有机废液污染的雨水通过地面渗透进入附近土层和水体中，厂区车间地面用水泥硬化处理，危废仓库进行防渗防漏处理；针对运营中可能产生的异常现象和存在的安全隐患，设置合理可行的技术措施，制定严格的操作规程；对原料仓库、危废仓库实行定期巡检制度，及时发现问题，尽快解决；严格执行防火、防爆、防雷击、防毒害等各项要求。</w:t>
            </w:r>
          </w:p>
          <w:p>
            <w:pPr>
              <w:ind w:firstLine="480"/>
              <w:rPr>
                <w:lang w:val="zh-CN"/>
              </w:rPr>
            </w:pPr>
            <w:r>
              <w:rPr>
                <w:rFonts w:hint="eastAsia"/>
                <w:lang w:val="zh-CN"/>
              </w:rPr>
              <w:t>要求企业应做好日常的设施设备维护工作，严格现场操作管理规范与清理工作，同时，车间内应杜绝明火，特别是原料仓库、危废仓库，车间墙壁张贴相应警告标志，平时加强对生产设施的维护、检修，确保设备正常运行，杜绝安全事故的发生。定期进行防火检查，一要进行制度落实情况检查，二要对消防设备器材进行检查维修，保证设备器材完好有效、消防通道畅通无阻。</w:t>
            </w:r>
          </w:p>
          <w:p>
            <w:pPr>
              <w:pStyle w:val="6"/>
              <w:rPr>
                <w:lang w:val="zh-CN"/>
              </w:rPr>
            </w:pPr>
            <w:r>
              <w:rPr>
                <w:rFonts w:hint="eastAsia"/>
                <w:lang w:val="zh-CN"/>
              </w:rPr>
              <w:t>7.2.7.6突发环境事件应急预案</w:t>
            </w:r>
          </w:p>
          <w:p>
            <w:pPr>
              <w:ind w:firstLine="480"/>
              <w:rPr>
                <w:lang w:val="zh-CN"/>
              </w:rPr>
            </w:pPr>
            <w:r>
              <w:rPr>
                <w:rFonts w:hint="eastAsia"/>
                <w:lang w:val="zh-CN"/>
              </w:rPr>
              <w:t>根据《建设项目环境风险评价技术导则》（HJ 169-2018）和《浙江省企业事业单位突发环境事件应急预案管理实施办法》（浙环函[2015]195号）要求，需在项目建成后按照企业实际情况制定详细的应急预案，编制的应急预案应具有可操作性和针对性。具体应急预案实施内容应包括如下：</w:t>
            </w:r>
          </w:p>
          <w:p>
            <w:pPr>
              <w:ind w:firstLine="480"/>
              <w:rPr>
                <w:lang w:val="zh-CN"/>
              </w:rPr>
            </w:pPr>
            <w:r>
              <w:rPr>
                <w:rFonts w:hint="eastAsia"/>
              </w:rPr>
              <w:t>1、</w:t>
            </w:r>
            <w:r>
              <w:rPr>
                <w:rFonts w:hint="eastAsia"/>
                <w:lang w:val="zh-CN"/>
              </w:rPr>
              <w:t>应急计划区。危险目标为原料仓库、危废仓库，保护目标为项目周围的土壤环境；</w:t>
            </w:r>
          </w:p>
          <w:p>
            <w:pPr>
              <w:ind w:firstLine="480"/>
              <w:rPr>
                <w:lang w:val="zh-CN"/>
              </w:rPr>
            </w:pPr>
            <w:r>
              <w:rPr>
                <w:rFonts w:hint="eastAsia"/>
              </w:rPr>
              <w:t>2、</w:t>
            </w:r>
            <w:r>
              <w:rPr>
                <w:rFonts w:hint="eastAsia"/>
                <w:lang w:val="zh-CN"/>
              </w:rPr>
              <w:t>应急组织机构、人员。确定事故应急处置领导机构，一旦发生事故，迅速组织抢救；</w:t>
            </w:r>
          </w:p>
          <w:p>
            <w:pPr>
              <w:ind w:firstLine="480"/>
              <w:rPr>
                <w:lang w:val="zh-CN"/>
              </w:rPr>
            </w:pPr>
            <w:r>
              <w:rPr>
                <w:rFonts w:hint="eastAsia"/>
              </w:rPr>
              <w:t>3、</w:t>
            </w:r>
            <w:r>
              <w:rPr>
                <w:rFonts w:hint="eastAsia"/>
                <w:lang w:val="zh-CN"/>
              </w:rPr>
              <w:t>根据事故不同的严重程度，规定预案的级别及分级相应程序；</w:t>
            </w:r>
          </w:p>
          <w:p>
            <w:pPr>
              <w:ind w:firstLine="480"/>
              <w:rPr>
                <w:lang w:val="zh-CN"/>
              </w:rPr>
            </w:pPr>
            <w:r>
              <w:rPr>
                <w:rFonts w:hint="eastAsia"/>
              </w:rPr>
              <w:t>4、</w:t>
            </w:r>
            <w:r>
              <w:rPr>
                <w:rFonts w:hint="eastAsia"/>
                <w:lang w:val="zh-CN"/>
              </w:rPr>
              <w:t>配备应急设施，如灭火设施等，即要准备足够的消防灭火器材；</w:t>
            </w:r>
          </w:p>
          <w:p>
            <w:pPr>
              <w:ind w:firstLine="480"/>
              <w:rPr>
                <w:lang w:val="zh-CN"/>
              </w:rPr>
            </w:pPr>
            <w:r>
              <w:rPr>
                <w:rFonts w:hint="eastAsia"/>
              </w:rPr>
              <w:t>5、</w:t>
            </w:r>
            <w:r>
              <w:rPr>
                <w:rFonts w:hint="eastAsia"/>
                <w:lang w:val="zh-CN"/>
              </w:rPr>
              <w:t>紧急情况报告程序、联系人员和联系方法；</w:t>
            </w:r>
          </w:p>
          <w:p>
            <w:pPr>
              <w:ind w:firstLine="480"/>
              <w:rPr>
                <w:lang w:val="zh-CN"/>
              </w:rPr>
            </w:pPr>
            <w:r>
              <w:rPr>
                <w:rFonts w:hint="eastAsia"/>
              </w:rPr>
              <w:t>6、</w:t>
            </w:r>
            <w:r>
              <w:rPr>
                <w:rFonts w:hint="eastAsia"/>
                <w:lang w:val="zh-CN"/>
              </w:rPr>
              <w:t>现场救援、抢救、应急环境监测措施；</w:t>
            </w:r>
          </w:p>
          <w:p>
            <w:pPr>
              <w:ind w:firstLine="480"/>
              <w:rPr>
                <w:lang w:val="zh-CN"/>
              </w:rPr>
            </w:pPr>
            <w:r>
              <w:rPr>
                <w:rFonts w:hint="eastAsia"/>
              </w:rPr>
              <w:t>7、</w:t>
            </w:r>
            <w:r>
              <w:rPr>
                <w:rFonts w:hint="eastAsia"/>
                <w:lang w:val="zh-CN"/>
              </w:rPr>
              <w:t>现场应急报警程序；</w:t>
            </w:r>
          </w:p>
          <w:p>
            <w:pPr>
              <w:ind w:firstLine="480"/>
              <w:rPr>
                <w:lang w:val="zh-CN"/>
              </w:rPr>
            </w:pPr>
            <w:r>
              <w:rPr>
                <w:rFonts w:hint="eastAsia"/>
              </w:rPr>
              <w:t>8、</w:t>
            </w:r>
            <w:r>
              <w:rPr>
                <w:rFonts w:hint="eastAsia"/>
                <w:lang w:val="zh-CN"/>
              </w:rPr>
              <w:t>发生</w:t>
            </w:r>
            <w:r>
              <w:rPr>
                <w:rFonts w:hint="eastAsia"/>
              </w:rPr>
              <w:t>机油、废机油、废乳化液和废漆料</w:t>
            </w:r>
            <w:r>
              <w:rPr>
                <w:rFonts w:hint="eastAsia"/>
                <w:lang w:val="zh-CN"/>
              </w:rPr>
              <w:t>泄露、火灾、爆炸等事故时应急程序，包括人员撤离路线、避难场所；</w:t>
            </w:r>
          </w:p>
          <w:p>
            <w:pPr>
              <w:ind w:firstLine="480"/>
              <w:rPr>
                <w:lang w:val="zh-CN"/>
              </w:rPr>
            </w:pPr>
            <w:r>
              <w:rPr>
                <w:rFonts w:hint="eastAsia"/>
              </w:rPr>
              <w:t>9、</w:t>
            </w:r>
            <w:r>
              <w:rPr>
                <w:rFonts w:hint="eastAsia"/>
                <w:lang w:val="zh-CN"/>
              </w:rPr>
              <w:t>应急培训计划；公众教育和信息；其它应急培训程序和措施。</w:t>
            </w:r>
          </w:p>
          <w:p>
            <w:pPr>
              <w:ind w:firstLine="480"/>
            </w:pPr>
            <w:r>
              <w:rPr>
                <w:rFonts w:hint="eastAsia"/>
                <w:lang w:val="zh-CN"/>
              </w:rPr>
              <w:t>综上分析，本项目按消防、防火规范设计、建设和管理，并采取防火、防爆、防雷、抗振等措施，防范生产事故的发生，降低环境风险发生的概率。</w:t>
            </w:r>
          </w:p>
          <w:p>
            <w:pPr>
              <w:pStyle w:val="6"/>
              <w:rPr>
                <w:lang w:val="zh-CN"/>
              </w:rPr>
            </w:pPr>
          </w:p>
          <w:p>
            <w:pPr>
              <w:pStyle w:val="6"/>
              <w:rPr>
                <w:lang w:val="zh-CN"/>
              </w:rPr>
            </w:pPr>
          </w:p>
          <w:p>
            <w:pPr>
              <w:pStyle w:val="6"/>
              <w:rPr>
                <w:lang w:val="zh-CN"/>
              </w:rPr>
            </w:pPr>
          </w:p>
          <w:p>
            <w:pPr>
              <w:pStyle w:val="6"/>
              <w:rPr>
                <w:lang w:val="zh-CN"/>
              </w:rPr>
            </w:pPr>
          </w:p>
          <w:p>
            <w:pPr>
              <w:ind w:firstLine="480"/>
              <w:rPr>
                <w:lang w:val="zh-CN"/>
              </w:rPr>
            </w:pPr>
          </w:p>
          <w:p>
            <w:pPr>
              <w:pStyle w:val="6"/>
              <w:rPr>
                <w:lang w:val="zh-CN"/>
              </w:rPr>
            </w:pPr>
          </w:p>
          <w:p>
            <w:pPr>
              <w:pStyle w:val="6"/>
              <w:rPr>
                <w:lang w:val="zh-CN"/>
              </w:rPr>
            </w:pPr>
          </w:p>
          <w:p>
            <w:pPr>
              <w:pStyle w:val="6"/>
              <w:rPr>
                <w:lang w:val="zh-CN"/>
              </w:rPr>
            </w:pPr>
          </w:p>
          <w:p>
            <w:pPr>
              <w:ind w:firstLine="480"/>
              <w:rPr>
                <w:lang w:val="zh-CN"/>
              </w:rPr>
            </w:pPr>
          </w:p>
          <w:p>
            <w:pPr>
              <w:pStyle w:val="2"/>
              <w:ind w:left="480" w:firstLine="400"/>
              <w:rPr>
                <w:lang w:val="zh-CN"/>
              </w:rPr>
            </w:pPr>
          </w:p>
          <w:p>
            <w:pPr>
              <w:pStyle w:val="2"/>
              <w:ind w:left="480" w:firstLine="400"/>
              <w:rPr>
                <w:lang w:val="zh-CN"/>
              </w:rPr>
            </w:pPr>
          </w:p>
          <w:p>
            <w:pPr>
              <w:pStyle w:val="6"/>
              <w:rPr>
                <w:lang w:val="zh-CN"/>
              </w:rPr>
            </w:pPr>
          </w:p>
          <w:p>
            <w:pPr>
              <w:pStyle w:val="6"/>
              <w:rPr>
                <w:lang w:val="zh-CN"/>
              </w:rPr>
            </w:pPr>
          </w:p>
          <w:p>
            <w:pPr>
              <w:pStyle w:val="6"/>
            </w:pPr>
            <w:r>
              <w:rPr>
                <w:rFonts w:hint="eastAsia"/>
                <w:lang w:val="zh-CN"/>
              </w:rPr>
              <w:t>7.2.7.7环境风险评价自查表</w:t>
            </w:r>
          </w:p>
          <w:p>
            <w:pPr>
              <w:pStyle w:val="46"/>
              <w:spacing w:before="48" w:after="24"/>
              <w:rPr>
                <w:lang w:val="zh-CN"/>
              </w:rPr>
            </w:pPr>
            <w:r>
              <w:t>表7-</w:t>
            </w:r>
            <w:r>
              <w:rPr>
                <w:rFonts w:hint="eastAsia"/>
              </w:rPr>
              <w:t xml:space="preserve">31 </w:t>
            </w:r>
            <w:r>
              <w:t xml:space="preserve"> 环境风险评价自查表</w:t>
            </w:r>
          </w:p>
          <w:tbl>
            <w:tblPr>
              <w:tblStyle w:val="3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1315"/>
              <w:gridCol w:w="1133"/>
              <w:gridCol w:w="241"/>
              <w:gridCol w:w="65"/>
              <w:gridCol w:w="282"/>
              <w:gridCol w:w="370"/>
              <w:gridCol w:w="204"/>
              <w:gridCol w:w="275"/>
              <w:gridCol w:w="180"/>
              <w:gridCol w:w="230"/>
              <w:gridCol w:w="70"/>
              <w:gridCol w:w="204"/>
              <w:gridCol w:w="188"/>
              <w:gridCol w:w="567"/>
              <w:gridCol w:w="119"/>
              <w:gridCol w:w="153"/>
              <w:gridCol w:w="309"/>
              <w:gridCol w:w="378"/>
              <w:gridCol w:w="101"/>
              <w:gridCol w:w="96"/>
              <w:gridCol w:w="281"/>
              <w:gridCol w:w="58"/>
              <w:gridCol w:w="78"/>
              <w:gridCol w:w="343"/>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52" w:type="pct"/>
                  <w:gridSpan w:val="2"/>
                  <w:tcBorders>
                    <w:top w:val="single" w:color="auto" w:sz="4" w:space="0"/>
                    <w:left w:val="single" w:color="auto" w:sz="4" w:space="0"/>
                    <w:bottom w:val="single" w:color="auto" w:sz="4" w:space="0"/>
                    <w:right w:val="single" w:color="auto" w:sz="4" w:space="0"/>
                  </w:tcBorders>
                  <w:vAlign w:val="center"/>
                </w:tcPr>
                <w:p>
                  <w:pPr>
                    <w:pStyle w:val="47"/>
                    <w:rPr>
                      <w:b/>
                      <w:bCs/>
                      <w:sz w:val="18"/>
                      <w:szCs w:val="16"/>
                    </w:rPr>
                  </w:pPr>
                  <w:r>
                    <w:rPr>
                      <w:b/>
                      <w:bCs/>
                      <w:sz w:val="18"/>
                      <w:szCs w:val="16"/>
                    </w:rPr>
                    <w:t>工作内容</w:t>
                  </w:r>
                </w:p>
              </w:tc>
              <w:tc>
                <w:tcPr>
                  <w:tcW w:w="3948" w:type="pct"/>
                  <w:gridSpan w:val="24"/>
                  <w:tcBorders>
                    <w:top w:val="single" w:color="auto" w:sz="4" w:space="0"/>
                    <w:left w:val="single" w:color="auto" w:sz="4" w:space="0"/>
                    <w:bottom w:val="single" w:color="auto" w:sz="4" w:space="0"/>
                    <w:right w:val="single" w:color="auto" w:sz="4" w:space="0"/>
                  </w:tcBorders>
                  <w:vAlign w:val="center"/>
                </w:tcPr>
                <w:p>
                  <w:pPr>
                    <w:pStyle w:val="47"/>
                    <w:rPr>
                      <w:b/>
                      <w:bCs/>
                      <w:sz w:val="18"/>
                      <w:szCs w:val="16"/>
                    </w:rPr>
                  </w:pPr>
                  <w:r>
                    <w:rPr>
                      <w:b/>
                      <w:bCs/>
                      <w:sz w:val="18"/>
                      <w:szCs w:val="16"/>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8" w:type="pct"/>
                  <w:vMerge w:val="restart"/>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风</w:t>
                  </w:r>
                </w:p>
                <w:p>
                  <w:pPr>
                    <w:pStyle w:val="47"/>
                    <w:rPr>
                      <w:sz w:val="18"/>
                      <w:szCs w:val="16"/>
                    </w:rPr>
                  </w:pPr>
                  <w:r>
                    <w:rPr>
                      <w:sz w:val="18"/>
                      <w:szCs w:val="16"/>
                    </w:rPr>
                    <w:t>险</w:t>
                  </w:r>
                </w:p>
                <w:p>
                  <w:pPr>
                    <w:pStyle w:val="47"/>
                    <w:rPr>
                      <w:sz w:val="18"/>
                      <w:szCs w:val="16"/>
                    </w:rPr>
                  </w:pPr>
                  <w:r>
                    <w:rPr>
                      <w:sz w:val="18"/>
                      <w:szCs w:val="16"/>
                    </w:rPr>
                    <w:t>调</w:t>
                  </w:r>
                </w:p>
                <w:p>
                  <w:pPr>
                    <w:pStyle w:val="47"/>
                    <w:rPr>
                      <w:sz w:val="18"/>
                      <w:szCs w:val="16"/>
                    </w:rPr>
                  </w:pPr>
                  <w:r>
                    <w:rPr>
                      <w:sz w:val="18"/>
                      <w:szCs w:val="16"/>
                    </w:rPr>
                    <w:t>查</w:t>
                  </w:r>
                </w:p>
              </w:tc>
              <w:tc>
                <w:tcPr>
                  <w:tcW w:w="754" w:type="pct"/>
                  <w:vMerge w:val="restart"/>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危险物质</w:t>
                  </w:r>
                </w:p>
              </w:tc>
              <w:tc>
                <w:tcPr>
                  <w:tcW w:w="650" w:type="pct"/>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名称</w:t>
                  </w:r>
                </w:p>
              </w:tc>
              <w:tc>
                <w:tcPr>
                  <w:tcW w:w="549" w:type="pct"/>
                  <w:gridSpan w:val="4"/>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rFonts w:hint="eastAsia"/>
                      <w:sz w:val="18"/>
                      <w:szCs w:val="16"/>
                    </w:rPr>
                    <w:t>机油</w:t>
                  </w:r>
                </w:p>
              </w:tc>
              <w:tc>
                <w:tcPr>
                  <w:tcW w:w="550" w:type="pct"/>
                  <w:gridSpan w:val="5"/>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rFonts w:hint="eastAsia"/>
                      <w:sz w:val="18"/>
                      <w:szCs w:val="16"/>
                    </w:rPr>
                    <w:t>废机油</w:t>
                  </w:r>
                </w:p>
              </w:tc>
              <w:tc>
                <w:tcPr>
                  <w:tcW w:w="549" w:type="pct"/>
                  <w:gridSpan w:val="3"/>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rFonts w:hint="eastAsia"/>
                      <w:sz w:val="18"/>
                      <w:szCs w:val="16"/>
                    </w:rPr>
                    <w:t>废乳化液</w:t>
                  </w:r>
                </w:p>
              </w:tc>
              <w:tc>
                <w:tcPr>
                  <w:tcW w:w="550" w:type="pct"/>
                  <w:gridSpan w:val="4"/>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rFonts w:hint="eastAsia"/>
                      <w:sz w:val="18"/>
                      <w:szCs w:val="16"/>
                    </w:rPr>
                    <w:t>废漆料</w:t>
                  </w:r>
                </w:p>
              </w:tc>
              <w:tc>
                <w:tcPr>
                  <w:tcW w:w="549" w:type="pct"/>
                  <w:gridSpan w:val="6"/>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rFonts w:hint="eastAsia"/>
                      <w:sz w:val="18"/>
                      <w:szCs w:val="16"/>
                    </w:rPr>
                    <w:t>/</w:t>
                  </w:r>
                </w:p>
              </w:tc>
              <w:tc>
                <w:tcPr>
                  <w:tcW w:w="550" w:type="pct"/>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rFonts w:hint="eastAsia"/>
                      <w:sz w:val="18"/>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8" w:type="pct"/>
                  <w:vMerge w:val="continue"/>
                  <w:tcBorders>
                    <w:top w:val="single" w:color="auto" w:sz="4" w:space="0"/>
                    <w:left w:val="single" w:color="auto" w:sz="4" w:space="0"/>
                    <w:bottom w:val="single" w:color="auto" w:sz="4" w:space="0"/>
                    <w:right w:val="single" w:color="auto" w:sz="4" w:space="0"/>
                  </w:tcBorders>
                  <w:vAlign w:val="center"/>
                </w:tcPr>
                <w:p>
                  <w:pPr>
                    <w:pStyle w:val="47"/>
                    <w:rPr>
                      <w:sz w:val="18"/>
                      <w:szCs w:val="16"/>
                    </w:rPr>
                  </w:pPr>
                </w:p>
              </w:tc>
              <w:tc>
                <w:tcPr>
                  <w:tcW w:w="754" w:type="pct"/>
                  <w:vMerge w:val="continue"/>
                  <w:tcBorders>
                    <w:top w:val="single" w:color="auto" w:sz="4" w:space="0"/>
                    <w:left w:val="single" w:color="auto" w:sz="4" w:space="0"/>
                    <w:bottom w:val="single" w:color="auto" w:sz="4" w:space="0"/>
                    <w:right w:val="single" w:color="auto" w:sz="4" w:space="0"/>
                  </w:tcBorders>
                  <w:vAlign w:val="center"/>
                </w:tcPr>
                <w:p>
                  <w:pPr>
                    <w:pStyle w:val="47"/>
                    <w:rPr>
                      <w:sz w:val="18"/>
                      <w:szCs w:val="16"/>
                    </w:rPr>
                  </w:pPr>
                </w:p>
              </w:tc>
              <w:tc>
                <w:tcPr>
                  <w:tcW w:w="650" w:type="pct"/>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存在总量/t</w:t>
                  </w:r>
                </w:p>
              </w:tc>
              <w:tc>
                <w:tcPr>
                  <w:tcW w:w="549" w:type="pct"/>
                  <w:gridSpan w:val="4"/>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rFonts w:hint="eastAsia"/>
                      <w:sz w:val="18"/>
                      <w:szCs w:val="16"/>
                    </w:rPr>
                    <w:t>0.02</w:t>
                  </w:r>
                </w:p>
              </w:tc>
              <w:tc>
                <w:tcPr>
                  <w:tcW w:w="550" w:type="pct"/>
                  <w:gridSpan w:val="5"/>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rFonts w:hint="eastAsia"/>
                      <w:sz w:val="18"/>
                      <w:szCs w:val="16"/>
                    </w:rPr>
                    <w:t>0.02</w:t>
                  </w:r>
                </w:p>
              </w:tc>
              <w:tc>
                <w:tcPr>
                  <w:tcW w:w="549" w:type="pct"/>
                  <w:gridSpan w:val="3"/>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rFonts w:hint="eastAsia"/>
                      <w:sz w:val="18"/>
                      <w:szCs w:val="16"/>
                    </w:rPr>
                    <w:t>1</w:t>
                  </w:r>
                  <w:r>
                    <w:rPr>
                      <w:sz w:val="18"/>
                      <w:szCs w:val="16"/>
                    </w:rPr>
                    <w:t>.0</w:t>
                  </w:r>
                </w:p>
              </w:tc>
              <w:tc>
                <w:tcPr>
                  <w:tcW w:w="550" w:type="pct"/>
                  <w:gridSpan w:val="4"/>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rFonts w:hint="eastAsia"/>
                      <w:sz w:val="18"/>
                      <w:szCs w:val="16"/>
                    </w:rPr>
                    <w:t>0.2</w:t>
                  </w:r>
                </w:p>
              </w:tc>
              <w:tc>
                <w:tcPr>
                  <w:tcW w:w="549" w:type="pct"/>
                  <w:gridSpan w:val="6"/>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rFonts w:hint="eastAsia"/>
                      <w:sz w:val="18"/>
                      <w:szCs w:val="16"/>
                    </w:rPr>
                    <w:t>/</w:t>
                  </w:r>
                </w:p>
              </w:tc>
              <w:tc>
                <w:tcPr>
                  <w:tcW w:w="550" w:type="pct"/>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rFonts w:hint="eastAsia"/>
                      <w:sz w:val="18"/>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8" w:type="pct"/>
                  <w:vMerge w:val="continue"/>
                  <w:tcBorders>
                    <w:top w:val="single" w:color="auto" w:sz="4" w:space="0"/>
                    <w:left w:val="single" w:color="auto" w:sz="4" w:space="0"/>
                    <w:bottom w:val="single" w:color="auto" w:sz="4" w:space="0"/>
                    <w:right w:val="single" w:color="auto" w:sz="4" w:space="0"/>
                  </w:tcBorders>
                  <w:vAlign w:val="center"/>
                </w:tcPr>
                <w:p>
                  <w:pPr>
                    <w:pStyle w:val="47"/>
                    <w:rPr>
                      <w:sz w:val="18"/>
                      <w:szCs w:val="16"/>
                    </w:rPr>
                  </w:pPr>
                </w:p>
              </w:tc>
              <w:tc>
                <w:tcPr>
                  <w:tcW w:w="754" w:type="pct"/>
                  <w:vMerge w:val="restart"/>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环境敏感性</w:t>
                  </w:r>
                </w:p>
              </w:tc>
              <w:tc>
                <w:tcPr>
                  <w:tcW w:w="650" w:type="pct"/>
                  <w:vMerge w:val="restart"/>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大气</w:t>
                  </w:r>
                </w:p>
              </w:tc>
              <w:tc>
                <w:tcPr>
                  <w:tcW w:w="1649" w:type="pct"/>
                  <w:gridSpan w:val="12"/>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500m范围内人口数</w:t>
                  </w:r>
                  <w:r>
                    <w:rPr>
                      <w:rFonts w:hint="eastAsia"/>
                      <w:sz w:val="18"/>
                      <w:szCs w:val="16"/>
                    </w:rPr>
                    <w:t xml:space="preserve"> </w:t>
                  </w:r>
                  <w:r>
                    <w:rPr>
                      <w:sz w:val="18"/>
                      <w:szCs w:val="16"/>
                    </w:rPr>
                    <w:t xml:space="preserve">  /   人</w:t>
                  </w:r>
                </w:p>
              </w:tc>
              <w:tc>
                <w:tcPr>
                  <w:tcW w:w="1649" w:type="pct"/>
                  <w:gridSpan w:val="11"/>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5km范围内人口数   /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8" w:type="pct"/>
                  <w:vMerge w:val="continue"/>
                  <w:tcBorders>
                    <w:top w:val="single" w:color="auto" w:sz="4" w:space="0"/>
                    <w:left w:val="single" w:color="auto" w:sz="4" w:space="0"/>
                    <w:bottom w:val="single" w:color="auto" w:sz="4" w:space="0"/>
                    <w:right w:val="single" w:color="auto" w:sz="4" w:space="0"/>
                  </w:tcBorders>
                  <w:vAlign w:val="center"/>
                </w:tcPr>
                <w:p>
                  <w:pPr>
                    <w:pStyle w:val="47"/>
                    <w:rPr>
                      <w:sz w:val="18"/>
                      <w:szCs w:val="16"/>
                    </w:rPr>
                  </w:pPr>
                </w:p>
              </w:tc>
              <w:tc>
                <w:tcPr>
                  <w:tcW w:w="754" w:type="pct"/>
                  <w:vMerge w:val="continue"/>
                  <w:tcBorders>
                    <w:top w:val="single" w:color="auto" w:sz="4" w:space="0"/>
                    <w:left w:val="single" w:color="auto" w:sz="4" w:space="0"/>
                    <w:bottom w:val="single" w:color="auto" w:sz="4" w:space="0"/>
                    <w:right w:val="single" w:color="auto" w:sz="4" w:space="0"/>
                  </w:tcBorders>
                  <w:vAlign w:val="center"/>
                </w:tcPr>
                <w:p>
                  <w:pPr>
                    <w:pStyle w:val="47"/>
                    <w:rPr>
                      <w:sz w:val="18"/>
                      <w:szCs w:val="16"/>
                    </w:rPr>
                  </w:pPr>
                </w:p>
              </w:tc>
              <w:tc>
                <w:tcPr>
                  <w:tcW w:w="650" w:type="pct"/>
                  <w:vMerge w:val="continue"/>
                  <w:tcBorders>
                    <w:top w:val="single" w:color="auto" w:sz="4" w:space="0"/>
                    <w:left w:val="single" w:color="auto" w:sz="4" w:space="0"/>
                    <w:bottom w:val="single" w:color="auto" w:sz="4" w:space="0"/>
                    <w:right w:val="single" w:color="auto" w:sz="4" w:space="0"/>
                  </w:tcBorders>
                  <w:vAlign w:val="center"/>
                </w:tcPr>
                <w:p>
                  <w:pPr>
                    <w:pStyle w:val="47"/>
                    <w:rPr>
                      <w:sz w:val="18"/>
                      <w:szCs w:val="16"/>
                    </w:rPr>
                  </w:pPr>
                </w:p>
              </w:tc>
              <w:tc>
                <w:tcPr>
                  <w:tcW w:w="1649" w:type="pct"/>
                  <w:gridSpan w:val="12"/>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每公里管段周边200m范围内人口数（最大）</w:t>
                  </w:r>
                </w:p>
              </w:tc>
              <w:tc>
                <w:tcPr>
                  <w:tcW w:w="1649" w:type="pct"/>
                  <w:gridSpan w:val="11"/>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 xml:space="preserve">   /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8" w:type="pct"/>
                  <w:vMerge w:val="continue"/>
                  <w:tcBorders>
                    <w:top w:val="single" w:color="auto" w:sz="4" w:space="0"/>
                    <w:left w:val="single" w:color="auto" w:sz="4" w:space="0"/>
                    <w:bottom w:val="single" w:color="auto" w:sz="4" w:space="0"/>
                    <w:right w:val="single" w:color="auto" w:sz="4" w:space="0"/>
                  </w:tcBorders>
                  <w:vAlign w:val="center"/>
                </w:tcPr>
                <w:p>
                  <w:pPr>
                    <w:pStyle w:val="47"/>
                    <w:rPr>
                      <w:sz w:val="18"/>
                      <w:szCs w:val="16"/>
                    </w:rPr>
                  </w:pPr>
                </w:p>
              </w:tc>
              <w:tc>
                <w:tcPr>
                  <w:tcW w:w="754" w:type="pct"/>
                  <w:vMerge w:val="continue"/>
                  <w:tcBorders>
                    <w:top w:val="single" w:color="auto" w:sz="4" w:space="0"/>
                    <w:left w:val="single" w:color="auto" w:sz="4" w:space="0"/>
                    <w:bottom w:val="single" w:color="auto" w:sz="4" w:space="0"/>
                    <w:right w:val="single" w:color="auto" w:sz="4" w:space="0"/>
                  </w:tcBorders>
                  <w:vAlign w:val="center"/>
                </w:tcPr>
                <w:p>
                  <w:pPr>
                    <w:pStyle w:val="47"/>
                    <w:rPr>
                      <w:sz w:val="18"/>
                      <w:szCs w:val="16"/>
                    </w:rPr>
                  </w:pPr>
                </w:p>
              </w:tc>
              <w:tc>
                <w:tcPr>
                  <w:tcW w:w="650" w:type="pct"/>
                  <w:vMerge w:val="restart"/>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地表水</w:t>
                  </w:r>
                </w:p>
              </w:tc>
              <w:tc>
                <w:tcPr>
                  <w:tcW w:w="1059" w:type="pct"/>
                  <w:gridSpan w:val="8"/>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地表水功能敏感性</w:t>
                  </w:r>
                </w:p>
              </w:tc>
              <w:tc>
                <w:tcPr>
                  <w:tcW w:w="746" w:type="pct"/>
                  <w:gridSpan w:val="6"/>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F1 □</w:t>
                  </w:r>
                </w:p>
              </w:tc>
              <w:tc>
                <w:tcPr>
                  <w:tcW w:w="746" w:type="pct"/>
                  <w:gridSpan w:val="7"/>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F2 □</w:t>
                  </w:r>
                </w:p>
              </w:tc>
              <w:tc>
                <w:tcPr>
                  <w:tcW w:w="747" w:type="pct"/>
                  <w:gridSpan w:val="2"/>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F3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8" w:type="pct"/>
                  <w:vMerge w:val="continue"/>
                  <w:tcBorders>
                    <w:top w:val="single" w:color="auto" w:sz="4" w:space="0"/>
                    <w:left w:val="single" w:color="auto" w:sz="4" w:space="0"/>
                    <w:bottom w:val="single" w:color="auto" w:sz="4" w:space="0"/>
                    <w:right w:val="single" w:color="auto" w:sz="4" w:space="0"/>
                  </w:tcBorders>
                  <w:vAlign w:val="center"/>
                </w:tcPr>
                <w:p>
                  <w:pPr>
                    <w:pStyle w:val="47"/>
                    <w:rPr>
                      <w:sz w:val="18"/>
                      <w:szCs w:val="16"/>
                    </w:rPr>
                  </w:pPr>
                </w:p>
              </w:tc>
              <w:tc>
                <w:tcPr>
                  <w:tcW w:w="754" w:type="pct"/>
                  <w:vMerge w:val="continue"/>
                  <w:tcBorders>
                    <w:top w:val="single" w:color="auto" w:sz="4" w:space="0"/>
                    <w:left w:val="single" w:color="auto" w:sz="4" w:space="0"/>
                    <w:bottom w:val="single" w:color="auto" w:sz="4" w:space="0"/>
                    <w:right w:val="single" w:color="auto" w:sz="4" w:space="0"/>
                  </w:tcBorders>
                  <w:vAlign w:val="center"/>
                </w:tcPr>
                <w:p>
                  <w:pPr>
                    <w:pStyle w:val="47"/>
                    <w:rPr>
                      <w:sz w:val="18"/>
                      <w:szCs w:val="16"/>
                    </w:rPr>
                  </w:pPr>
                </w:p>
              </w:tc>
              <w:tc>
                <w:tcPr>
                  <w:tcW w:w="650" w:type="pct"/>
                  <w:vMerge w:val="continue"/>
                  <w:tcBorders>
                    <w:top w:val="single" w:color="auto" w:sz="4" w:space="0"/>
                    <w:left w:val="single" w:color="auto" w:sz="4" w:space="0"/>
                    <w:bottom w:val="single" w:color="auto" w:sz="4" w:space="0"/>
                    <w:right w:val="single" w:color="auto" w:sz="4" w:space="0"/>
                  </w:tcBorders>
                  <w:vAlign w:val="center"/>
                </w:tcPr>
                <w:p>
                  <w:pPr>
                    <w:pStyle w:val="47"/>
                    <w:rPr>
                      <w:sz w:val="18"/>
                      <w:szCs w:val="16"/>
                    </w:rPr>
                  </w:pPr>
                </w:p>
              </w:tc>
              <w:tc>
                <w:tcPr>
                  <w:tcW w:w="1059" w:type="pct"/>
                  <w:gridSpan w:val="8"/>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环境敏感目标分级</w:t>
                  </w:r>
                </w:p>
              </w:tc>
              <w:tc>
                <w:tcPr>
                  <w:tcW w:w="746" w:type="pct"/>
                  <w:gridSpan w:val="6"/>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S1 □</w:t>
                  </w:r>
                </w:p>
              </w:tc>
              <w:tc>
                <w:tcPr>
                  <w:tcW w:w="746" w:type="pct"/>
                  <w:gridSpan w:val="7"/>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S2 □</w:t>
                  </w:r>
                </w:p>
              </w:tc>
              <w:tc>
                <w:tcPr>
                  <w:tcW w:w="747" w:type="pct"/>
                  <w:gridSpan w:val="2"/>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S3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8" w:type="pct"/>
                  <w:vMerge w:val="continue"/>
                  <w:tcBorders>
                    <w:top w:val="single" w:color="auto" w:sz="4" w:space="0"/>
                    <w:left w:val="single" w:color="auto" w:sz="4" w:space="0"/>
                    <w:bottom w:val="single" w:color="auto" w:sz="4" w:space="0"/>
                    <w:right w:val="single" w:color="auto" w:sz="4" w:space="0"/>
                  </w:tcBorders>
                  <w:vAlign w:val="center"/>
                </w:tcPr>
                <w:p>
                  <w:pPr>
                    <w:pStyle w:val="47"/>
                    <w:rPr>
                      <w:sz w:val="18"/>
                      <w:szCs w:val="16"/>
                    </w:rPr>
                  </w:pPr>
                </w:p>
              </w:tc>
              <w:tc>
                <w:tcPr>
                  <w:tcW w:w="754" w:type="pct"/>
                  <w:vMerge w:val="continue"/>
                  <w:tcBorders>
                    <w:top w:val="single" w:color="auto" w:sz="4" w:space="0"/>
                    <w:left w:val="single" w:color="auto" w:sz="4" w:space="0"/>
                    <w:bottom w:val="single" w:color="auto" w:sz="4" w:space="0"/>
                    <w:right w:val="single" w:color="auto" w:sz="4" w:space="0"/>
                  </w:tcBorders>
                  <w:vAlign w:val="center"/>
                </w:tcPr>
                <w:p>
                  <w:pPr>
                    <w:pStyle w:val="47"/>
                    <w:rPr>
                      <w:sz w:val="18"/>
                      <w:szCs w:val="16"/>
                    </w:rPr>
                  </w:pPr>
                </w:p>
              </w:tc>
              <w:tc>
                <w:tcPr>
                  <w:tcW w:w="650" w:type="pct"/>
                  <w:vMerge w:val="restart"/>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地下水</w:t>
                  </w:r>
                </w:p>
              </w:tc>
              <w:tc>
                <w:tcPr>
                  <w:tcW w:w="1059" w:type="pct"/>
                  <w:gridSpan w:val="8"/>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地下水功能敏感性</w:t>
                  </w:r>
                </w:p>
              </w:tc>
              <w:tc>
                <w:tcPr>
                  <w:tcW w:w="746" w:type="pct"/>
                  <w:gridSpan w:val="6"/>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G1 □</w:t>
                  </w:r>
                </w:p>
              </w:tc>
              <w:tc>
                <w:tcPr>
                  <w:tcW w:w="746" w:type="pct"/>
                  <w:gridSpan w:val="7"/>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G2 □</w:t>
                  </w:r>
                </w:p>
              </w:tc>
              <w:tc>
                <w:tcPr>
                  <w:tcW w:w="747" w:type="pct"/>
                  <w:gridSpan w:val="2"/>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G3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8" w:type="pct"/>
                  <w:vMerge w:val="continue"/>
                  <w:tcBorders>
                    <w:top w:val="single" w:color="auto" w:sz="4" w:space="0"/>
                    <w:left w:val="single" w:color="auto" w:sz="4" w:space="0"/>
                    <w:bottom w:val="single" w:color="auto" w:sz="4" w:space="0"/>
                    <w:right w:val="single" w:color="auto" w:sz="4" w:space="0"/>
                  </w:tcBorders>
                  <w:vAlign w:val="center"/>
                </w:tcPr>
                <w:p>
                  <w:pPr>
                    <w:pStyle w:val="47"/>
                    <w:rPr>
                      <w:sz w:val="18"/>
                      <w:szCs w:val="16"/>
                    </w:rPr>
                  </w:pPr>
                </w:p>
              </w:tc>
              <w:tc>
                <w:tcPr>
                  <w:tcW w:w="754" w:type="pct"/>
                  <w:vMerge w:val="continue"/>
                  <w:tcBorders>
                    <w:top w:val="single" w:color="auto" w:sz="4" w:space="0"/>
                    <w:left w:val="single" w:color="auto" w:sz="4" w:space="0"/>
                    <w:bottom w:val="single" w:color="auto" w:sz="4" w:space="0"/>
                    <w:right w:val="single" w:color="auto" w:sz="4" w:space="0"/>
                  </w:tcBorders>
                  <w:vAlign w:val="center"/>
                </w:tcPr>
                <w:p>
                  <w:pPr>
                    <w:pStyle w:val="47"/>
                    <w:rPr>
                      <w:sz w:val="18"/>
                      <w:szCs w:val="16"/>
                    </w:rPr>
                  </w:pPr>
                </w:p>
              </w:tc>
              <w:tc>
                <w:tcPr>
                  <w:tcW w:w="650" w:type="pct"/>
                  <w:vMerge w:val="continue"/>
                  <w:tcBorders>
                    <w:top w:val="single" w:color="auto" w:sz="4" w:space="0"/>
                    <w:left w:val="single" w:color="auto" w:sz="4" w:space="0"/>
                    <w:bottom w:val="single" w:color="auto" w:sz="4" w:space="0"/>
                    <w:right w:val="single" w:color="auto" w:sz="4" w:space="0"/>
                  </w:tcBorders>
                  <w:vAlign w:val="center"/>
                </w:tcPr>
                <w:p>
                  <w:pPr>
                    <w:pStyle w:val="47"/>
                    <w:rPr>
                      <w:sz w:val="18"/>
                      <w:szCs w:val="16"/>
                    </w:rPr>
                  </w:pPr>
                </w:p>
              </w:tc>
              <w:tc>
                <w:tcPr>
                  <w:tcW w:w="1059" w:type="pct"/>
                  <w:gridSpan w:val="8"/>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包气带防污性能</w:t>
                  </w:r>
                </w:p>
              </w:tc>
              <w:tc>
                <w:tcPr>
                  <w:tcW w:w="746" w:type="pct"/>
                  <w:gridSpan w:val="6"/>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D1 □</w:t>
                  </w:r>
                </w:p>
              </w:tc>
              <w:tc>
                <w:tcPr>
                  <w:tcW w:w="746" w:type="pct"/>
                  <w:gridSpan w:val="7"/>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D2 □</w:t>
                  </w:r>
                </w:p>
              </w:tc>
              <w:tc>
                <w:tcPr>
                  <w:tcW w:w="747" w:type="pct"/>
                  <w:gridSpan w:val="2"/>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D3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52" w:type="pct"/>
                  <w:gridSpan w:val="2"/>
                  <w:vMerge w:val="restart"/>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物质及工艺系统</w:t>
                  </w:r>
                </w:p>
                <w:p>
                  <w:pPr>
                    <w:pStyle w:val="47"/>
                    <w:rPr>
                      <w:sz w:val="18"/>
                      <w:szCs w:val="16"/>
                    </w:rPr>
                  </w:pPr>
                  <w:r>
                    <w:rPr>
                      <w:sz w:val="18"/>
                      <w:szCs w:val="16"/>
                    </w:rPr>
                    <w:t>危险性</w:t>
                  </w:r>
                </w:p>
              </w:tc>
              <w:tc>
                <w:tcPr>
                  <w:tcW w:w="650" w:type="pct"/>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Q值</w:t>
                  </w:r>
                </w:p>
              </w:tc>
              <w:tc>
                <w:tcPr>
                  <w:tcW w:w="824" w:type="pct"/>
                  <w:gridSpan w:val="6"/>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 xml:space="preserve">Q＜1 </w:t>
                  </w:r>
                  <w:r>
                    <w:rPr>
                      <w:sz w:val="18"/>
                      <w:szCs w:val="16"/>
                    </w:rPr>
                    <w:sym w:font="Wingdings 2" w:char="F052"/>
                  </w:r>
                </w:p>
              </w:tc>
              <w:tc>
                <w:tcPr>
                  <w:tcW w:w="825" w:type="pct"/>
                  <w:gridSpan w:val="6"/>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1≤Q＜10 □</w:t>
                  </w:r>
                </w:p>
              </w:tc>
              <w:tc>
                <w:tcPr>
                  <w:tcW w:w="824" w:type="pct"/>
                  <w:gridSpan w:val="7"/>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10≤Q＜100 □</w:t>
                  </w:r>
                </w:p>
              </w:tc>
              <w:tc>
                <w:tcPr>
                  <w:tcW w:w="825" w:type="pct"/>
                  <w:gridSpan w:val="4"/>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Q＞100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52" w:type="pct"/>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sz w:val="18"/>
                      <w:szCs w:val="16"/>
                    </w:rPr>
                  </w:pPr>
                </w:p>
              </w:tc>
              <w:tc>
                <w:tcPr>
                  <w:tcW w:w="650" w:type="pct"/>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M值</w:t>
                  </w:r>
                </w:p>
              </w:tc>
              <w:tc>
                <w:tcPr>
                  <w:tcW w:w="824" w:type="pct"/>
                  <w:gridSpan w:val="6"/>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M1 □</w:t>
                  </w:r>
                </w:p>
              </w:tc>
              <w:tc>
                <w:tcPr>
                  <w:tcW w:w="825" w:type="pct"/>
                  <w:gridSpan w:val="6"/>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M2 □</w:t>
                  </w:r>
                </w:p>
              </w:tc>
              <w:tc>
                <w:tcPr>
                  <w:tcW w:w="824" w:type="pct"/>
                  <w:gridSpan w:val="7"/>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M3 □</w:t>
                  </w:r>
                </w:p>
              </w:tc>
              <w:tc>
                <w:tcPr>
                  <w:tcW w:w="825" w:type="pct"/>
                  <w:gridSpan w:val="4"/>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M4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52" w:type="pct"/>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sz w:val="18"/>
                      <w:szCs w:val="16"/>
                    </w:rPr>
                  </w:pPr>
                </w:p>
              </w:tc>
              <w:tc>
                <w:tcPr>
                  <w:tcW w:w="650" w:type="pct"/>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P值</w:t>
                  </w:r>
                </w:p>
              </w:tc>
              <w:tc>
                <w:tcPr>
                  <w:tcW w:w="824" w:type="pct"/>
                  <w:gridSpan w:val="6"/>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P1 □</w:t>
                  </w:r>
                </w:p>
              </w:tc>
              <w:tc>
                <w:tcPr>
                  <w:tcW w:w="825" w:type="pct"/>
                  <w:gridSpan w:val="6"/>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P2 □</w:t>
                  </w:r>
                </w:p>
              </w:tc>
              <w:tc>
                <w:tcPr>
                  <w:tcW w:w="824" w:type="pct"/>
                  <w:gridSpan w:val="7"/>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P3 □</w:t>
                  </w:r>
                </w:p>
              </w:tc>
              <w:tc>
                <w:tcPr>
                  <w:tcW w:w="825" w:type="pct"/>
                  <w:gridSpan w:val="4"/>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P4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52" w:type="pct"/>
                  <w:gridSpan w:val="2"/>
                  <w:vMerge w:val="restart"/>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环境敏感程度</w:t>
                  </w:r>
                </w:p>
              </w:tc>
              <w:tc>
                <w:tcPr>
                  <w:tcW w:w="650" w:type="pct"/>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大气</w:t>
                  </w:r>
                </w:p>
              </w:tc>
              <w:tc>
                <w:tcPr>
                  <w:tcW w:w="1098" w:type="pct"/>
                  <w:gridSpan w:val="9"/>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E1 □</w:t>
                  </w:r>
                </w:p>
              </w:tc>
              <w:tc>
                <w:tcPr>
                  <w:tcW w:w="1098" w:type="pct"/>
                  <w:gridSpan w:val="7"/>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E2 □</w:t>
                  </w:r>
                </w:p>
              </w:tc>
              <w:tc>
                <w:tcPr>
                  <w:tcW w:w="1102" w:type="pct"/>
                  <w:gridSpan w:val="7"/>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E3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52" w:type="pct"/>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sz w:val="18"/>
                      <w:szCs w:val="16"/>
                    </w:rPr>
                  </w:pPr>
                </w:p>
              </w:tc>
              <w:tc>
                <w:tcPr>
                  <w:tcW w:w="650" w:type="pct"/>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地表水</w:t>
                  </w:r>
                </w:p>
              </w:tc>
              <w:tc>
                <w:tcPr>
                  <w:tcW w:w="1098" w:type="pct"/>
                  <w:gridSpan w:val="9"/>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E1 □</w:t>
                  </w:r>
                </w:p>
              </w:tc>
              <w:tc>
                <w:tcPr>
                  <w:tcW w:w="1098" w:type="pct"/>
                  <w:gridSpan w:val="7"/>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E2 □</w:t>
                  </w:r>
                </w:p>
              </w:tc>
              <w:tc>
                <w:tcPr>
                  <w:tcW w:w="1102" w:type="pct"/>
                  <w:gridSpan w:val="7"/>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E3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52" w:type="pct"/>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sz w:val="18"/>
                      <w:szCs w:val="16"/>
                    </w:rPr>
                  </w:pPr>
                </w:p>
              </w:tc>
              <w:tc>
                <w:tcPr>
                  <w:tcW w:w="650" w:type="pct"/>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地下水</w:t>
                  </w:r>
                </w:p>
              </w:tc>
              <w:tc>
                <w:tcPr>
                  <w:tcW w:w="1098" w:type="pct"/>
                  <w:gridSpan w:val="9"/>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E1 □</w:t>
                  </w:r>
                </w:p>
              </w:tc>
              <w:tc>
                <w:tcPr>
                  <w:tcW w:w="1098" w:type="pct"/>
                  <w:gridSpan w:val="7"/>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E2 □</w:t>
                  </w:r>
                </w:p>
              </w:tc>
              <w:tc>
                <w:tcPr>
                  <w:tcW w:w="1102" w:type="pct"/>
                  <w:gridSpan w:val="7"/>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E3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52" w:type="pct"/>
                  <w:gridSpan w:val="2"/>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环境风险潜势</w:t>
                  </w:r>
                </w:p>
              </w:tc>
              <w:tc>
                <w:tcPr>
                  <w:tcW w:w="788" w:type="pct"/>
                  <w:gridSpan w:val="2"/>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rFonts w:hint="eastAsia"/>
                      <w:sz w:val="18"/>
                      <w:szCs w:val="16"/>
                    </w:rPr>
                    <w:t>Ⅳ</w:t>
                  </w:r>
                  <w:r>
                    <w:rPr>
                      <w:sz w:val="18"/>
                      <w:szCs w:val="16"/>
                    </w:rPr>
                    <w:t>+ □</w:t>
                  </w:r>
                </w:p>
              </w:tc>
              <w:tc>
                <w:tcPr>
                  <w:tcW w:w="789" w:type="pct"/>
                  <w:gridSpan w:val="6"/>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rFonts w:hint="eastAsia"/>
                      <w:sz w:val="18"/>
                      <w:szCs w:val="16"/>
                    </w:rPr>
                    <w:t>Ⅳ</w:t>
                  </w:r>
                  <w:r>
                    <w:rPr>
                      <w:sz w:val="18"/>
                      <w:szCs w:val="16"/>
                    </w:rPr>
                    <w:t xml:space="preserve"> □</w:t>
                  </w:r>
                </w:p>
              </w:tc>
              <w:tc>
                <w:tcPr>
                  <w:tcW w:w="790" w:type="pct"/>
                  <w:gridSpan w:val="6"/>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rFonts w:hint="eastAsia"/>
                      <w:sz w:val="18"/>
                      <w:szCs w:val="16"/>
                    </w:rPr>
                    <w:t>Ⅲ</w:t>
                  </w:r>
                  <w:r>
                    <w:rPr>
                      <w:sz w:val="18"/>
                      <w:szCs w:val="16"/>
                    </w:rPr>
                    <w:t xml:space="preserve"> □</w:t>
                  </w:r>
                </w:p>
              </w:tc>
              <w:tc>
                <w:tcPr>
                  <w:tcW w:w="789" w:type="pct"/>
                  <w:gridSpan w:val="7"/>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rFonts w:hint="eastAsia"/>
                      <w:sz w:val="18"/>
                      <w:szCs w:val="16"/>
                    </w:rPr>
                    <w:t>Ⅱ</w:t>
                  </w:r>
                  <w:r>
                    <w:rPr>
                      <w:sz w:val="18"/>
                      <w:szCs w:val="16"/>
                    </w:rPr>
                    <w:t xml:space="preserve"> □</w:t>
                  </w:r>
                </w:p>
              </w:tc>
              <w:tc>
                <w:tcPr>
                  <w:tcW w:w="791" w:type="pct"/>
                  <w:gridSpan w:val="3"/>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 xml:space="preserve">I </w:t>
                  </w:r>
                  <w:r>
                    <w:rPr>
                      <w:sz w:val="18"/>
                      <w:szCs w:val="16"/>
                    </w:rPr>
                    <w:sym w:font="Wingdings 2" w:char="F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52" w:type="pct"/>
                  <w:gridSpan w:val="2"/>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评价等级</w:t>
                  </w:r>
                </w:p>
              </w:tc>
              <w:tc>
                <w:tcPr>
                  <w:tcW w:w="987" w:type="pct"/>
                  <w:gridSpan w:val="4"/>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一级 □</w:t>
                  </w:r>
                </w:p>
              </w:tc>
              <w:tc>
                <w:tcPr>
                  <w:tcW w:w="987" w:type="pct"/>
                  <w:gridSpan w:val="8"/>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二级 □</w:t>
                  </w:r>
                </w:p>
              </w:tc>
              <w:tc>
                <w:tcPr>
                  <w:tcW w:w="988" w:type="pct"/>
                  <w:gridSpan w:val="7"/>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三级 □</w:t>
                  </w:r>
                </w:p>
              </w:tc>
              <w:tc>
                <w:tcPr>
                  <w:tcW w:w="986" w:type="pct"/>
                  <w:gridSpan w:val="5"/>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 xml:space="preserve">简单分析 </w:t>
                  </w:r>
                  <w:r>
                    <w:rPr>
                      <w:sz w:val="18"/>
                      <w:szCs w:val="16"/>
                    </w:rPr>
                    <w:sym w:font="Wingdings 2" w:char="F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298" w:type="pct"/>
                  <w:vMerge w:val="restart"/>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风</w:t>
                  </w:r>
                </w:p>
                <w:p>
                  <w:pPr>
                    <w:pStyle w:val="47"/>
                    <w:rPr>
                      <w:sz w:val="18"/>
                      <w:szCs w:val="16"/>
                    </w:rPr>
                  </w:pPr>
                  <w:r>
                    <w:rPr>
                      <w:sz w:val="18"/>
                      <w:szCs w:val="16"/>
                    </w:rPr>
                    <w:t>险</w:t>
                  </w:r>
                </w:p>
                <w:p>
                  <w:pPr>
                    <w:pStyle w:val="47"/>
                    <w:rPr>
                      <w:sz w:val="18"/>
                      <w:szCs w:val="16"/>
                    </w:rPr>
                  </w:pPr>
                  <w:r>
                    <w:rPr>
                      <w:sz w:val="18"/>
                      <w:szCs w:val="16"/>
                    </w:rPr>
                    <w:t>识</w:t>
                  </w:r>
                </w:p>
                <w:p>
                  <w:pPr>
                    <w:pStyle w:val="47"/>
                    <w:rPr>
                      <w:sz w:val="18"/>
                      <w:szCs w:val="16"/>
                    </w:rPr>
                  </w:pPr>
                  <w:r>
                    <w:rPr>
                      <w:sz w:val="18"/>
                      <w:szCs w:val="16"/>
                    </w:rPr>
                    <w:t>别</w:t>
                  </w:r>
                </w:p>
              </w:tc>
              <w:tc>
                <w:tcPr>
                  <w:tcW w:w="754" w:type="pct"/>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物质危险性</w:t>
                  </w:r>
                </w:p>
              </w:tc>
              <w:tc>
                <w:tcPr>
                  <w:tcW w:w="1974" w:type="pct"/>
                  <w:gridSpan w:val="12"/>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 xml:space="preserve">有毒有害 </w:t>
                  </w:r>
                  <w:r>
                    <w:rPr>
                      <w:sz w:val="18"/>
                      <w:szCs w:val="16"/>
                    </w:rPr>
                    <w:sym w:font="Wingdings 2" w:char="F052"/>
                  </w:r>
                </w:p>
              </w:tc>
              <w:tc>
                <w:tcPr>
                  <w:tcW w:w="1974" w:type="pct"/>
                  <w:gridSpan w:val="12"/>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 xml:space="preserve">易燃易爆 </w:t>
                  </w:r>
                  <w:r>
                    <w:rPr>
                      <w:sz w:val="18"/>
                      <w:szCs w:val="16"/>
                    </w:rPr>
                    <w:sym w:font="Wingdings 2" w:char="F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8" w:type="pct"/>
                  <w:vMerge w:val="continue"/>
                  <w:tcBorders>
                    <w:top w:val="single" w:color="auto" w:sz="4" w:space="0"/>
                    <w:left w:val="single" w:color="auto" w:sz="4" w:space="0"/>
                    <w:bottom w:val="single" w:color="auto" w:sz="4" w:space="0"/>
                    <w:right w:val="single" w:color="auto" w:sz="4" w:space="0"/>
                  </w:tcBorders>
                  <w:vAlign w:val="center"/>
                </w:tcPr>
                <w:p>
                  <w:pPr>
                    <w:pStyle w:val="47"/>
                    <w:rPr>
                      <w:sz w:val="18"/>
                      <w:szCs w:val="16"/>
                    </w:rPr>
                  </w:pPr>
                </w:p>
              </w:tc>
              <w:tc>
                <w:tcPr>
                  <w:tcW w:w="754" w:type="pct"/>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环境风险类型</w:t>
                  </w:r>
                </w:p>
              </w:tc>
              <w:tc>
                <w:tcPr>
                  <w:tcW w:w="1974" w:type="pct"/>
                  <w:gridSpan w:val="12"/>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 xml:space="preserve">泄漏 </w:t>
                  </w:r>
                  <w:r>
                    <w:rPr>
                      <w:sz w:val="18"/>
                      <w:szCs w:val="16"/>
                    </w:rPr>
                    <w:sym w:font="Wingdings 2" w:char="F052"/>
                  </w:r>
                  <w:r>
                    <w:rPr>
                      <w:sz w:val="18"/>
                      <w:szCs w:val="16"/>
                    </w:rPr>
                    <w:t xml:space="preserve"> </w:t>
                  </w:r>
                </w:p>
              </w:tc>
              <w:tc>
                <w:tcPr>
                  <w:tcW w:w="1974" w:type="pct"/>
                  <w:gridSpan w:val="12"/>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 xml:space="preserve">火灾、爆炸引发伴生/次生污染物排放 </w:t>
                  </w:r>
                  <w:r>
                    <w:rPr>
                      <w:sz w:val="18"/>
                      <w:szCs w:val="16"/>
                    </w:rPr>
                    <w:sym w:font="Wingdings 2" w:char="F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8" w:type="pct"/>
                  <w:vMerge w:val="continue"/>
                  <w:tcBorders>
                    <w:top w:val="single" w:color="auto" w:sz="4" w:space="0"/>
                    <w:left w:val="single" w:color="auto" w:sz="4" w:space="0"/>
                    <w:bottom w:val="single" w:color="auto" w:sz="4" w:space="0"/>
                    <w:right w:val="single" w:color="auto" w:sz="4" w:space="0"/>
                  </w:tcBorders>
                  <w:vAlign w:val="center"/>
                </w:tcPr>
                <w:p>
                  <w:pPr>
                    <w:pStyle w:val="47"/>
                    <w:rPr>
                      <w:sz w:val="18"/>
                      <w:szCs w:val="16"/>
                    </w:rPr>
                  </w:pPr>
                </w:p>
              </w:tc>
              <w:tc>
                <w:tcPr>
                  <w:tcW w:w="754" w:type="pct"/>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影响途径</w:t>
                  </w:r>
                </w:p>
              </w:tc>
              <w:tc>
                <w:tcPr>
                  <w:tcW w:w="1316" w:type="pct"/>
                  <w:gridSpan w:val="6"/>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 xml:space="preserve">大气 </w:t>
                  </w:r>
                  <w:r>
                    <w:rPr>
                      <w:sz w:val="18"/>
                      <w:szCs w:val="16"/>
                    </w:rPr>
                    <w:sym w:font="Wingdings 2" w:char="F052"/>
                  </w:r>
                </w:p>
              </w:tc>
              <w:tc>
                <w:tcPr>
                  <w:tcW w:w="1316" w:type="pct"/>
                  <w:gridSpan w:val="10"/>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 xml:space="preserve">地表水 </w:t>
                  </w:r>
                  <w:r>
                    <w:rPr>
                      <w:sz w:val="18"/>
                      <w:szCs w:val="16"/>
                    </w:rPr>
                    <w:sym w:font="Wingdings 2" w:char="F052"/>
                  </w:r>
                </w:p>
              </w:tc>
              <w:tc>
                <w:tcPr>
                  <w:tcW w:w="1316" w:type="pct"/>
                  <w:gridSpan w:val="8"/>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 xml:space="preserve">地下水 </w:t>
                  </w:r>
                  <w:r>
                    <w:rPr>
                      <w:sz w:val="18"/>
                      <w:szCs w:val="16"/>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52" w:type="pct"/>
                  <w:gridSpan w:val="2"/>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 xml:space="preserve">事故情形分析 </w:t>
                  </w:r>
                </w:p>
              </w:tc>
              <w:tc>
                <w:tcPr>
                  <w:tcW w:w="825" w:type="pct"/>
                  <w:gridSpan w:val="3"/>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源强设定方法</w:t>
                  </w:r>
                </w:p>
              </w:tc>
              <w:tc>
                <w:tcPr>
                  <w:tcW w:w="1041" w:type="pct"/>
                  <w:gridSpan w:val="8"/>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计算法 □</w:t>
                  </w:r>
                </w:p>
              </w:tc>
              <w:tc>
                <w:tcPr>
                  <w:tcW w:w="1041" w:type="pct"/>
                  <w:gridSpan w:val="7"/>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经验估算法 □</w:t>
                  </w:r>
                </w:p>
              </w:tc>
              <w:tc>
                <w:tcPr>
                  <w:tcW w:w="1041" w:type="pct"/>
                  <w:gridSpan w:val="6"/>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其他估算法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8" w:type="pct"/>
                  <w:vMerge w:val="restart"/>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风险</w:t>
                  </w:r>
                </w:p>
                <w:p>
                  <w:pPr>
                    <w:pStyle w:val="47"/>
                    <w:rPr>
                      <w:sz w:val="18"/>
                      <w:szCs w:val="16"/>
                    </w:rPr>
                  </w:pPr>
                  <w:r>
                    <w:rPr>
                      <w:sz w:val="18"/>
                      <w:szCs w:val="16"/>
                    </w:rPr>
                    <w:t>预测</w:t>
                  </w:r>
                </w:p>
                <w:p>
                  <w:pPr>
                    <w:pStyle w:val="47"/>
                    <w:rPr>
                      <w:sz w:val="18"/>
                      <w:szCs w:val="16"/>
                    </w:rPr>
                  </w:pPr>
                  <w:r>
                    <w:rPr>
                      <w:sz w:val="18"/>
                      <w:szCs w:val="16"/>
                    </w:rPr>
                    <w:t>与</w:t>
                  </w:r>
                </w:p>
                <w:p>
                  <w:pPr>
                    <w:pStyle w:val="47"/>
                    <w:rPr>
                      <w:sz w:val="18"/>
                      <w:szCs w:val="16"/>
                    </w:rPr>
                  </w:pPr>
                  <w:r>
                    <w:rPr>
                      <w:sz w:val="18"/>
                      <w:szCs w:val="16"/>
                    </w:rPr>
                    <w:t>评价</w:t>
                  </w:r>
                </w:p>
              </w:tc>
              <w:tc>
                <w:tcPr>
                  <w:tcW w:w="754" w:type="pct"/>
                  <w:vMerge w:val="restart"/>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大气</w:t>
                  </w:r>
                </w:p>
              </w:tc>
              <w:tc>
                <w:tcPr>
                  <w:tcW w:w="825" w:type="pct"/>
                  <w:gridSpan w:val="3"/>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预测模型</w:t>
                  </w:r>
                </w:p>
              </w:tc>
              <w:tc>
                <w:tcPr>
                  <w:tcW w:w="1041" w:type="pct"/>
                  <w:gridSpan w:val="8"/>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SLAB □</w:t>
                  </w:r>
                </w:p>
              </w:tc>
              <w:tc>
                <w:tcPr>
                  <w:tcW w:w="1041" w:type="pct"/>
                  <w:gridSpan w:val="7"/>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AFTOX □</w:t>
                  </w:r>
                </w:p>
              </w:tc>
              <w:tc>
                <w:tcPr>
                  <w:tcW w:w="1041" w:type="pct"/>
                  <w:gridSpan w:val="6"/>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8" w:type="pct"/>
                  <w:vMerge w:val="continue"/>
                  <w:tcBorders>
                    <w:top w:val="single" w:color="auto" w:sz="4" w:space="0"/>
                    <w:left w:val="single" w:color="auto" w:sz="4" w:space="0"/>
                    <w:bottom w:val="single" w:color="auto" w:sz="4" w:space="0"/>
                    <w:right w:val="single" w:color="auto" w:sz="4" w:space="0"/>
                  </w:tcBorders>
                  <w:vAlign w:val="center"/>
                </w:tcPr>
                <w:p>
                  <w:pPr>
                    <w:pStyle w:val="47"/>
                    <w:rPr>
                      <w:sz w:val="18"/>
                      <w:szCs w:val="16"/>
                    </w:rPr>
                  </w:pPr>
                </w:p>
              </w:tc>
              <w:tc>
                <w:tcPr>
                  <w:tcW w:w="754" w:type="pct"/>
                  <w:vMerge w:val="continue"/>
                  <w:tcBorders>
                    <w:top w:val="single" w:color="auto" w:sz="4" w:space="0"/>
                    <w:left w:val="single" w:color="auto" w:sz="4" w:space="0"/>
                    <w:bottom w:val="single" w:color="auto" w:sz="4" w:space="0"/>
                    <w:right w:val="single" w:color="auto" w:sz="4" w:space="0"/>
                  </w:tcBorders>
                  <w:vAlign w:val="center"/>
                </w:tcPr>
                <w:p>
                  <w:pPr>
                    <w:pStyle w:val="47"/>
                    <w:rPr>
                      <w:sz w:val="18"/>
                      <w:szCs w:val="16"/>
                    </w:rPr>
                  </w:pPr>
                </w:p>
              </w:tc>
              <w:tc>
                <w:tcPr>
                  <w:tcW w:w="825" w:type="pct"/>
                  <w:gridSpan w:val="3"/>
                  <w:vMerge w:val="restart"/>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预测结果</w:t>
                  </w:r>
                </w:p>
              </w:tc>
              <w:tc>
                <w:tcPr>
                  <w:tcW w:w="3123" w:type="pct"/>
                  <w:gridSpan w:val="21"/>
                  <w:tcBorders>
                    <w:top w:val="single" w:color="auto" w:sz="4" w:space="0"/>
                    <w:left w:val="single" w:color="auto" w:sz="4" w:space="0"/>
                    <w:bottom w:val="single" w:color="auto" w:sz="4" w:space="0"/>
                    <w:right w:val="single" w:color="auto" w:sz="4" w:space="0"/>
                  </w:tcBorders>
                  <w:vAlign w:val="center"/>
                </w:tcPr>
                <w:p>
                  <w:pPr>
                    <w:pStyle w:val="47"/>
                    <w:jc w:val="both"/>
                    <w:rPr>
                      <w:sz w:val="18"/>
                      <w:szCs w:val="16"/>
                    </w:rPr>
                  </w:pPr>
                  <w:r>
                    <w:rPr>
                      <w:sz w:val="18"/>
                      <w:szCs w:val="16"/>
                    </w:rPr>
                    <w:t>大气毒性终点浓度-1 最大影响范围</w:t>
                  </w:r>
                  <w:r>
                    <w:rPr>
                      <w:sz w:val="18"/>
                      <w:szCs w:val="16"/>
                      <w:u w:val="single"/>
                    </w:rPr>
                    <w:t xml:space="preserve">     </w:t>
                  </w:r>
                  <w:r>
                    <w:rPr>
                      <w:sz w:val="18"/>
                      <w:szCs w:val="16"/>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8" w:type="pct"/>
                  <w:vMerge w:val="continue"/>
                  <w:tcBorders>
                    <w:top w:val="single" w:color="auto" w:sz="4" w:space="0"/>
                    <w:left w:val="single" w:color="auto" w:sz="4" w:space="0"/>
                    <w:bottom w:val="single" w:color="auto" w:sz="4" w:space="0"/>
                    <w:right w:val="single" w:color="auto" w:sz="4" w:space="0"/>
                  </w:tcBorders>
                  <w:vAlign w:val="center"/>
                </w:tcPr>
                <w:p>
                  <w:pPr>
                    <w:pStyle w:val="47"/>
                    <w:rPr>
                      <w:sz w:val="18"/>
                      <w:szCs w:val="16"/>
                    </w:rPr>
                  </w:pPr>
                </w:p>
              </w:tc>
              <w:tc>
                <w:tcPr>
                  <w:tcW w:w="754" w:type="pct"/>
                  <w:vMerge w:val="continue"/>
                  <w:tcBorders>
                    <w:top w:val="single" w:color="auto" w:sz="4" w:space="0"/>
                    <w:left w:val="single" w:color="auto" w:sz="4" w:space="0"/>
                    <w:bottom w:val="single" w:color="auto" w:sz="4" w:space="0"/>
                    <w:right w:val="single" w:color="auto" w:sz="4" w:space="0"/>
                  </w:tcBorders>
                  <w:vAlign w:val="center"/>
                </w:tcPr>
                <w:p>
                  <w:pPr>
                    <w:pStyle w:val="47"/>
                    <w:rPr>
                      <w:sz w:val="18"/>
                      <w:szCs w:val="16"/>
                    </w:rPr>
                  </w:pPr>
                </w:p>
              </w:tc>
              <w:tc>
                <w:tcPr>
                  <w:tcW w:w="825" w:type="pct"/>
                  <w:gridSpan w:val="3"/>
                  <w:vMerge w:val="continue"/>
                  <w:tcBorders>
                    <w:top w:val="single" w:color="auto" w:sz="4" w:space="0"/>
                    <w:left w:val="single" w:color="auto" w:sz="4" w:space="0"/>
                    <w:bottom w:val="single" w:color="auto" w:sz="4" w:space="0"/>
                    <w:right w:val="single" w:color="auto" w:sz="4" w:space="0"/>
                  </w:tcBorders>
                  <w:vAlign w:val="center"/>
                </w:tcPr>
                <w:p>
                  <w:pPr>
                    <w:pStyle w:val="47"/>
                    <w:rPr>
                      <w:sz w:val="18"/>
                      <w:szCs w:val="16"/>
                    </w:rPr>
                  </w:pPr>
                </w:p>
              </w:tc>
              <w:tc>
                <w:tcPr>
                  <w:tcW w:w="3123" w:type="pct"/>
                  <w:gridSpan w:val="21"/>
                  <w:tcBorders>
                    <w:top w:val="single" w:color="auto" w:sz="4" w:space="0"/>
                    <w:left w:val="single" w:color="auto" w:sz="4" w:space="0"/>
                    <w:bottom w:val="single" w:color="auto" w:sz="4" w:space="0"/>
                    <w:right w:val="single" w:color="auto" w:sz="4" w:space="0"/>
                  </w:tcBorders>
                  <w:vAlign w:val="center"/>
                </w:tcPr>
                <w:p>
                  <w:pPr>
                    <w:pStyle w:val="47"/>
                    <w:jc w:val="both"/>
                    <w:rPr>
                      <w:sz w:val="18"/>
                      <w:szCs w:val="16"/>
                    </w:rPr>
                  </w:pPr>
                  <w:r>
                    <w:rPr>
                      <w:sz w:val="18"/>
                      <w:szCs w:val="16"/>
                    </w:rPr>
                    <w:t>大气毒性终点浓度-2 最大影响范围</w:t>
                  </w:r>
                  <w:r>
                    <w:rPr>
                      <w:sz w:val="18"/>
                      <w:szCs w:val="16"/>
                      <w:u w:val="single"/>
                    </w:rPr>
                    <w:t xml:space="preserve">     </w:t>
                  </w:r>
                  <w:r>
                    <w:rPr>
                      <w:sz w:val="18"/>
                      <w:szCs w:val="16"/>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8" w:type="pct"/>
                  <w:vMerge w:val="continue"/>
                  <w:tcBorders>
                    <w:top w:val="single" w:color="auto" w:sz="4" w:space="0"/>
                    <w:left w:val="single" w:color="auto" w:sz="4" w:space="0"/>
                    <w:bottom w:val="single" w:color="auto" w:sz="4" w:space="0"/>
                    <w:right w:val="single" w:color="auto" w:sz="4" w:space="0"/>
                  </w:tcBorders>
                  <w:vAlign w:val="center"/>
                </w:tcPr>
                <w:p>
                  <w:pPr>
                    <w:pStyle w:val="47"/>
                    <w:rPr>
                      <w:sz w:val="18"/>
                      <w:szCs w:val="16"/>
                    </w:rPr>
                  </w:pPr>
                </w:p>
              </w:tc>
              <w:tc>
                <w:tcPr>
                  <w:tcW w:w="754" w:type="pct"/>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地表水</w:t>
                  </w:r>
                </w:p>
              </w:tc>
              <w:tc>
                <w:tcPr>
                  <w:tcW w:w="3948" w:type="pct"/>
                  <w:gridSpan w:val="24"/>
                  <w:tcBorders>
                    <w:top w:val="single" w:color="auto" w:sz="4" w:space="0"/>
                    <w:left w:val="single" w:color="auto" w:sz="4" w:space="0"/>
                    <w:bottom w:val="single" w:color="auto" w:sz="4" w:space="0"/>
                    <w:right w:val="single" w:color="auto" w:sz="4" w:space="0"/>
                  </w:tcBorders>
                  <w:vAlign w:val="center"/>
                </w:tcPr>
                <w:p>
                  <w:pPr>
                    <w:pStyle w:val="47"/>
                    <w:jc w:val="both"/>
                    <w:rPr>
                      <w:sz w:val="18"/>
                      <w:szCs w:val="16"/>
                    </w:rPr>
                  </w:pPr>
                  <w:r>
                    <w:rPr>
                      <w:sz w:val="18"/>
                      <w:szCs w:val="16"/>
                    </w:rPr>
                    <w:t>最近环境敏感目标</w:t>
                  </w:r>
                  <w:r>
                    <w:rPr>
                      <w:sz w:val="18"/>
                      <w:szCs w:val="16"/>
                      <w:u w:val="single"/>
                    </w:rPr>
                    <w:t xml:space="preserve">      </w:t>
                  </w:r>
                  <w:r>
                    <w:rPr>
                      <w:sz w:val="18"/>
                      <w:szCs w:val="16"/>
                    </w:rPr>
                    <w:t>，到达时间</w:t>
                  </w:r>
                  <w:r>
                    <w:rPr>
                      <w:sz w:val="18"/>
                      <w:szCs w:val="16"/>
                      <w:u w:val="single"/>
                    </w:rPr>
                    <w:t xml:space="preserve">     </w:t>
                  </w:r>
                  <w:r>
                    <w:rPr>
                      <w:sz w:val="18"/>
                      <w:szCs w:val="16"/>
                    </w:rPr>
                    <w:t xml:space="preserve"> 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8" w:type="pct"/>
                  <w:vMerge w:val="continue"/>
                  <w:tcBorders>
                    <w:top w:val="single" w:color="auto" w:sz="4" w:space="0"/>
                    <w:left w:val="single" w:color="auto" w:sz="4" w:space="0"/>
                    <w:bottom w:val="single" w:color="auto" w:sz="4" w:space="0"/>
                    <w:right w:val="single" w:color="auto" w:sz="4" w:space="0"/>
                  </w:tcBorders>
                  <w:vAlign w:val="center"/>
                </w:tcPr>
                <w:p>
                  <w:pPr>
                    <w:pStyle w:val="47"/>
                    <w:rPr>
                      <w:sz w:val="18"/>
                      <w:szCs w:val="16"/>
                    </w:rPr>
                  </w:pPr>
                </w:p>
              </w:tc>
              <w:tc>
                <w:tcPr>
                  <w:tcW w:w="754" w:type="pct"/>
                  <w:vMerge w:val="restart"/>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地下水</w:t>
                  </w:r>
                </w:p>
              </w:tc>
              <w:tc>
                <w:tcPr>
                  <w:tcW w:w="3948" w:type="pct"/>
                  <w:gridSpan w:val="24"/>
                  <w:tcBorders>
                    <w:top w:val="single" w:color="auto" w:sz="4" w:space="0"/>
                    <w:left w:val="single" w:color="auto" w:sz="4" w:space="0"/>
                    <w:bottom w:val="single" w:color="auto" w:sz="4" w:space="0"/>
                    <w:right w:val="single" w:color="auto" w:sz="4" w:space="0"/>
                  </w:tcBorders>
                  <w:vAlign w:val="center"/>
                </w:tcPr>
                <w:p>
                  <w:pPr>
                    <w:pStyle w:val="47"/>
                    <w:jc w:val="both"/>
                    <w:rPr>
                      <w:sz w:val="18"/>
                      <w:szCs w:val="16"/>
                    </w:rPr>
                  </w:pPr>
                  <w:r>
                    <w:rPr>
                      <w:sz w:val="18"/>
                      <w:szCs w:val="16"/>
                    </w:rPr>
                    <w:t>下游厂区边界到达时间</w:t>
                  </w:r>
                  <w:r>
                    <w:rPr>
                      <w:sz w:val="18"/>
                      <w:szCs w:val="16"/>
                      <w:u w:val="single"/>
                    </w:rPr>
                    <w:t xml:space="preserve">      </w:t>
                  </w:r>
                  <w:r>
                    <w:rPr>
                      <w:sz w:val="18"/>
                      <w:szCs w:val="16"/>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8" w:type="pct"/>
                  <w:vMerge w:val="continue"/>
                  <w:tcBorders>
                    <w:top w:val="single" w:color="auto" w:sz="4" w:space="0"/>
                    <w:left w:val="single" w:color="auto" w:sz="4" w:space="0"/>
                    <w:bottom w:val="single" w:color="auto" w:sz="4" w:space="0"/>
                    <w:right w:val="single" w:color="auto" w:sz="4" w:space="0"/>
                  </w:tcBorders>
                  <w:vAlign w:val="center"/>
                </w:tcPr>
                <w:p>
                  <w:pPr>
                    <w:pStyle w:val="47"/>
                    <w:rPr>
                      <w:sz w:val="18"/>
                      <w:szCs w:val="16"/>
                    </w:rPr>
                  </w:pPr>
                </w:p>
              </w:tc>
              <w:tc>
                <w:tcPr>
                  <w:tcW w:w="754" w:type="pct"/>
                  <w:vMerge w:val="continue"/>
                  <w:tcBorders>
                    <w:top w:val="single" w:color="auto" w:sz="4" w:space="0"/>
                    <w:left w:val="single" w:color="auto" w:sz="4" w:space="0"/>
                    <w:bottom w:val="single" w:color="auto" w:sz="4" w:space="0"/>
                    <w:right w:val="single" w:color="auto" w:sz="4" w:space="0"/>
                  </w:tcBorders>
                  <w:vAlign w:val="center"/>
                </w:tcPr>
                <w:p>
                  <w:pPr>
                    <w:pStyle w:val="47"/>
                    <w:rPr>
                      <w:sz w:val="18"/>
                      <w:szCs w:val="16"/>
                    </w:rPr>
                  </w:pPr>
                </w:p>
              </w:tc>
              <w:tc>
                <w:tcPr>
                  <w:tcW w:w="3948" w:type="pct"/>
                  <w:gridSpan w:val="24"/>
                  <w:tcBorders>
                    <w:top w:val="single" w:color="auto" w:sz="4" w:space="0"/>
                    <w:left w:val="single" w:color="auto" w:sz="4" w:space="0"/>
                    <w:bottom w:val="single" w:color="auto" w:sz="4" w:space="0"/>
                    <w:right w:val="single" w:color="auto" w:sz="4" w:space="0"/>
                  </w:tcBorders>
                  <w:vAlign w:val="center"/>
                </w:tcPr>
                <w:p>
                  <w:pPr>
                    <w:pStyle w:val="47"/>
                    <w:jc w:val="both"/>
                    <w:rPr>
                      <w:sz w:val="18"/>
                      <w:szCs w:val="16"/>
                    </w:rPr>
                  </w:pPr>
                  <w:r>
                    <w:rPr>
                      <w:sz w:val="18"/>
                      <w:szCs w:val="16"/>
                    </w:rPr>
                    <w:t>最近环境敏感目标</w:t>
                  </w:r>
                  <w:r>
                    <w:rPr>
                      <w:sz w:val="18"/>
                      <w:szCs w:val="16"/>
                      <w:u w:val="single"/>
                    </w:rPr>
                    <w:t xml:space="preserve">      </w:t>
                  </w:r>
                  <w:r>
                    <w:rPr>
                      <w:sz w:val="18"/>
                      <w:szCs w:val="16"/>
                    </w:rPr>
                    <w:t>，到达时间</w:t>
                  </w:r>
                  <w:r>
                    <w:rPr>
                      <w:sz w:val="18"/>
                      <w:szCs w:val="16"/>
                      <w:u w:val="single"/>
                    </w:rPr>
                    <w:t xml:space="preserve">      </w:t>
                  </w:r>
                  <w:r>
                    <w:rPr>
                      <w:sz w:val="18"/>
                      <w:szCs w:val="16"/>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52" w:type="pct"/>
                  <w:gridSpan w:val="2"/>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重点风险防范措施</w:t>
                  </w:r>
                </w:p>
              </w:tc>
              <w:tc>
                <w:tcPr>
                  <w:tcW w:w="3948" w:type="pct"/>
                  <w:gridSpan w:val="24"/>
                  <w:tcBorders>
                    <w:top w:val="single" w:color="auto" w:sz="4" w:space="0"/>
                    <w:left w:val="single" w:color="auto" w:sz="4" w:space="0"/>
                    <w:bottom w:val="single" w:color="auto" w:sz="4" w:space="0"/>
                    <w:right w:val="single" w:color="auto" w:sz="4" w:space="0"/>
                  </w:tcBorders>
                  <w:vAlign w:val="center"/>
                </w:tcPr>
                <w:p>
                  <w:pPr>
                    <w:pStyle w:val="47"/>
                    <w:jc w:val="both"/>
                    <w:rPr>
                      <w:sz w:val="18"/>
                      <w:szCs w:val="16"/>
                    </w:rPr>
                  </w:pPr>
                  <w:r>
                    <w:rPr>
                      <w:sz w:val="18"/>
                      <w:szCs w:val="16"/>
                      <w:lang w:val="zh-CN"/>
                    </w:rPr>
                    <w:t>加强对危险物质的管理，在储存、使用过程中防止跑、冒、滴、漏；</w:t>
                  </w:r>
                  <w:r>
                    <w:rPr>
                      <w:rFonts w:hint="eastAsia"/>
                      <w:sz w:val="18"/>
                      <w:szCs w:val="16"/>
                      <w:lang w:val="zh-CN"/>
                    </w:rPr>
                    <w:t>加强设施设备维护检修工作；</w:t>
                  </w:r>
                  <w:r>
                    <w:rPr>
                      <w:sz w:val="18"/>
                      <w:szCs w:val="16"/>
                      <w:lang w:val="zh-CN"/>
                    </w:rPr>
                    <w:t>明确事故防范措施，落实到人。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52" w:type="pct"/>
                  <w:gridSpan w:val="2"/>
                  <w:tcBorders>
                    <w:top w:val="single" w:color="auto" w:sz="4" w:space="0"/>
                    <w:left w:val="single" w:color="auto" w:sz="4" w:space="0"/>
                    <w:bottom w:val="single" w:color="auto" w:sz="4" w:space="0"/>
                    <w:right w:val="single" w:color="auto" w:sz="4" w:space="0"/>
                  </w:tcBorders>
                  <w:vAlign w:val="center"/>
                </w:tcPr>
                <w:p>
                  <w:pPr>
                    <w:pStyle w:val="47"/>
                    <w:rPr>
                      <w:sz w:val="18"/>
                      <w:szCs w:val="16"/>
                    </w:rPr>
                  </w:pPr>
                  <w:r>
                    <w:rPr>
                      <w:sz w:val="18"/>
                      <w:szCs w:val="16"/>
                    </w:rPr>
                    <w:t>评价结论与建议</w:t>
                  </w:r>
                </w:p>
              </w:tc>
              <w:tc>
                <w:tcPr>
                  <w:tcW w:w="3948" w:type="pct"/>
                  <w:gridSpan w:val="24"/>
                  <w:tcBorders>
                    <w:top w:val="single" w:color="auto" w:sz="4" w:space="0"/>
                    <w:left w:val="single" w:color="auto" w:sz="4" w:space="0"/>
                    <w:bottom w:val="single" w:color="auto" w:sz="4" w:space="0"/>
                    <w:right w:val="single" w:color="auto" w:sz="4" w:space="0"/>
                  </w:tcBorders>
                  <w:vAlign w:val="center"/>
                </w:tcPr>
                <w:p>
                  <w:pPr>
                    <w:pStyle w:val="47"/>
                    <w:jc w:val="both"/>
                    <w:rPr>
                      <w:sz w:val="18"/>
                      <w:szCs w:val="16"/>
                    </w:rPr>
                  </w:pPr>
                  <w:r>
                    <w:rPr>
                      <w:sz w:val="18"/>
                      <w:szCs w:val="16"/>
                      <w:lang w:val="zh-CN"/>
                    </w:rPr>
                    <w:t>落实防范措施，环境风险可以承受。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gridSpan w:val="26"/>
                  <w:tcBorders>
                    <w:top w:val="single" w:color="auto" w:sz="4" w:space="0"/>
                    <w:left w:val="single" w:color="auto" w:sz="4" w:space="0"/>
                    <w:bottom w:val="single" w:color="auto" w:sz="4" w:space="0"/>
                    <w:right w:val="single" w:color="auto" w:sz="4" w:space="0"/>
                  </w:tcBorders>
                  <w:vAlign w:val="center"/>
                </w:tcPr>
                <w:p>
                  <w:pPr>
                    <w:pStyle w:val="47"/>
                    <w:jc w:val="both"/>
                    <w:rPr>
                      <w:sz w:val="18"/>
                      <w:szCs w:val="16"/>
                    </w:rPr>
                  </w:pPr>
                  <w:r>
                    <w:rPr>
                      <w:sz w:val="18"/>
                      <w:szCs w:val="16"/>
                    </w:rPr>
                    <w:t>注：“□”为勾选项，“</w:t>
                  </w:r>
                  <w:r>
                    <w:rPr>
                      <w:sz w:val="18"/>
                      <w:szCs w:val="16"/>
                      <w:u w:val="single"/>
                    </w:rPr>
                    <w:softHyphen/>
                  </w:r>
                  <w:r>
                    <w:rPr>
                      <w:sz w:val="18"/>
                      <w:szCs w:val="16"/>
                      <w:u w:val="single"/>
                    </w:rPr>
                    <w:t xml:space="preserve">  </w:t>
                  </w:r>
                  <w:r>
                    <w:rPr>
                      <w:sz w:val="18"/>
                      <w:szCs w:val="16"/>
                    </w:rPr>
                    <w:t>”为填写项。</w:t>
                  </w:r>
                </w:p>
              </w:tc>
            </w:tr>
          </w:tbl>
          <w:p>
            <w:pPr>
              <w:pStyle w:val="5"/>
            </w:pPr>
            <w:bookmarkStart w:id="169" w:name="_Toc29388597"/>
            <w:bookmarkStart w:id="170" w:name="_Toc29380646"/>
            <w:r>
              <w:t>7.3环境监测计划</w:t>
            </w:r>
            <w:bookmarkEnd w:id="169"/>
            <w:bookmarkEnd w:id="170"/>
          </w:p>
          <w:p>
            <w:pPr>
              <w:ind w:firstLine="480"/>
            </w:pPr>
            <w:r>
              <w:t>本项目需做好竣工验收工作和运营期常规监测，</w:t>
            </w:r>
            <w:r>
              <w:rPr>
                <w:rFonts w:hint="eastAsia"/>
              </w:rPr>
              <w:t>根据《排污单位自行监测技术指南 总则》（HJ819-2017）及《排污单位自行监测技术指南 涂装》（HJ</w:t>
            </w:r>
            <w:r>
              <w:t>1086-2020</w:t>
            </w:r>
            <w:r>
              <w:rPr>
                <w:rFonts w:hint="eastAsia"/>
              </w:rPr>
              <w:t>）相关要求制定监测计划</w:t>
            </w:r>
            <w:r>
              <w:t>，具体可参照如下：</w:t>
            </w:r>
          </w:p>
          <w:p>
            <w:pPr>
              <w:pStyle w:val="46"/>
            </w:pPr>
          </w:p>
          <w:p>
            <w:pPr>
              <w:pStyle w:val="46"/>
            </w:pPr>
            <w:r>
              <w:t>表7-</w:t>
            </w:r>
            <w:r>
              <w:rPr>
                <w:rFonts w:hint="eastAsia"/>
              </w:rPr>
              <w:t xml:space="preserve">32 </w:t>
            </w:r>
            <w:r>
              <w:t>项目验收监测计划</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4"/>
              <w:gridCol w:w="2250"/>
              <w:gridCol w:w="2415"/>
              <w:gridCol w:w="2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pct"/>
                  <w:tcBorders>
                    <w:top w:val="single" w:color="auto" w:sz="4" w:space="0"/>
                    <w:left w:val="single" w:color="auto" w:sz="4" w:space="0"/>
                    <w:bottom w:val="single" w:color="auto" w:sz="4" w:space="0"/>
                    <w:right w:val="single" w:color="auto" w:sz="4" w:space="0"/>
                  </w:tcBorders>
                  <w:vAlign w:val="center"/>
                </w:tcPr>
                <w:p>
                  <w:pPr>
                    <w:pStyle w:val="46"/>
                  </w:pPr>
                  <w:r>
                    <w:t>监测内容</w:t>
                  </w:r>
                </w:p>
              </w:tc>
              <w:tc>
                <w:tcPr>
                  <w:tcW w:w="1290" w:type="pct"/>
                  <w:tcBorders>
                    <w:top w:val="single" w:color="auto" w:sz="4" w:space="0"/>
                    <w:left w:val="single" w:color="auto" w:sz="4" w:space="0"/>
                    <w:bottom w:val="single" w:color="auto" w:sz="4" w:space="0"/>
                    <w:right w:val="single" w:color="auto" w:sz="4" w:space="0"/>
                  </w:tcBorders>
                  <w:vAlign w:val="center"/>
                </w:tcPr>
                <w:p>
                  <w:pPr>
                    <w:pStyle w:val="46"/>
                  </w:pPr>
                  <w:r>
                    <w:t>监测点位</w:t>
                  </w:r>
                </w:p>
              </w:tc>
              <w:tc>
                <w:tcPr>
                  <w:tcW w:w="1385" w:type="pct"/>
                  <w:tcBorders>
                    <w:top w:val="single" w:color="auto" w:sz="4" w:space="0"/>
                    <w:left w:val="single" w:color="auto" w:sz="4" w:space="0"/>
                    <w:bottom w:val="single" w:color="auto" w:sz="4" w:space="0"/>
                    <w:right w:val="single" w:color="auto" w:sz="4" w:space="0"/>
                  </w:tcBorders>
                  <w:vAlign w:val="center"/>
                </w:tcPr>
                <w:p>
                  <w:pPr>
                    <w:pStyle w:val="46"/>
                  </w:pPr>
                  <w:r>
                    <w:t>监测项目</w:t>
                  </w:r>
                </w:p>
              </w:tc>
              <w:tc>
                <w:tcPr>
                  <w:tcW w:w="1410" w:type="pct"/>
                  <w:tcBorders>
                    <w:top w:val="single" w:color="auto" w:sz="4" w:space="0"/>
                    <w:left w:val="single" w:color="auto" w:sz="4" w:space="0"/>
                    <w:bottom w:val="single" w:color="auto" w:sz="4" w:space="0"/>
                    <w:right w:val="single" w:color="auto" w:sz="4" w:space="0"/>
                  </w:tcBorders>
                  <w:vAlign w:val="center"/>
                </w:tcPr>
                <w:p>
                  <w:pPr>
                    <w:pStyle w:val="46"/>
                  </w:pPr>
                  <w: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pct"/>
                  <w:vMerge w:val="restart"/>
                  <w:tcBorders>
                    <w:top w:val="single" w:color="auto" w:sz="4" w:space="0"/>
                    <w:left w:val="single" w:color="auto" w:sz="4" w:space="0"/>
                    <w:right w:val="single" w:color="auto" w:sz="4" w:space="0"/>
                  </w:tcBorders>
                  <w:vAlign w:val="center"/>
                </w:tcPr>
                <w:p>
                  <w:pPr>
                    <w:pStyle w:val="47"/>
                  </w:pPr>
                  <w:r>
                    <w:t>废气</w:t>
                  </w:r>
                </w:p>
              </w:tc>
              <w:tc>
                <w:tcPr>
                  <w:tcW w:w="1290" w:type="pct"/>
                  <w:tcBorders>
                    <w:top w:val="single" w:color="auto" w:sz="4" w:space="0"/>
                    <w:left w:val="single" w:color="auto" w:sz="4" w:space="0"/>
                    <w:bottom w:val="single" w:color="auto" w:sz="4" w:space="0"/>
                    <w:right w:val="single" w:color="auto" w:sz="4" w:space="0"/>
                  </w:tcBorders>
                  <w:vAlign w:val="center"/>
                </w:tcPr>
                <w:p>
                  <w:pPr>
                    <w:pStyle w:val="47"/>
                  </w:pPr>
                  <w:r>
                    <w:t>厂界无组织监控点</w:t>
                  </w:r>
                </w:p>
              </w:tc>
              <w:tc>
                <w:tcPr>
                  <w:tcW w:w="1385"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非甲烷总烃、总悬浮颗粒物、臭气浓度</w:t>
                  </w:r>
                </w:p>
              </w:tc>
              <w:tc>
                <w:tcPr>
                  <w:tcW w:w="1410" w:type="pct"/>
                  <w:tcBorders>
                    <w:top w:val="single" w:color="auto" w:sz="4" w:space="0"/>
                    <w:left w:val="single" w:color="auto" w:sz="4" w:space="0"/>
                    <w:bottom w:val="single" w:color="auto" w:sz="4" w:space="0"/>
                    <w:right w:val="single" w:color="auto" w:sz="4" w:space="0"/>
                  </w:tcBorders>
                  <w:vAlign w:val="center"/>
                </w:tcPr>
                <w:p>
                  <w:pPr>
                    <w:pStyle w:val="47"/>
                  </w:pPr>
                  <w:r>
                    <w:t>每天每点4次，监测2天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pct"/>
                  <w:vMerge w:val="continue"/>
                  <w:tcBorders>
                    <w:left w:val="single" w:color="auto" w:sz="4" w:space="0"/>
                    <w:bottom w:val="single" w:color="auto" w:sz="4" w:space="0"/>
                    <w:right w:val="single" w:color="auto" w:sz="4" w:space="0"/>
                  </w:tcBorders>
                  <w:vAlign w:val="center"/>
                </w:tcPr>
                <w:p>
                  <w:pPr>
                    <w:pStyle w:val="47"/>
                  </w:pPr>
                </w:p>
              </w:tc>
              <w:tc>
                <w:tcPr>
                  <w:tcW w:w="1290" w:type="pct"/>
                  <w:tcBorders>
                    <w:top w:val="single" w:color="auto" w:sz="4" w:space="0"/>
                    <w:left w:val="single" w:color="auto" w:sz="4" w:space="0"/>
                    <w:right w:val="single" w:color="auto" w:sz="4" w:space="0"/>
                  </w:tcBorders>
                  <w:vAlign w:val="center"/>
                </w:tcPr>
                <w:p>
                  <w:pPr>
                    <w:pStyle w:val="47"/>
                  </w:pPr>
                  <w:r>
                    <w:rPr>
                      <w:rFonts w:hint="eastAsia"/>
                    </w:rPr>
                    <w:t>DA001排气筒</w:t>
                  </w:r>
                </w:p>
              </w:tc>
              <w:tc>
                <w:tcPr>
                  <w:tcW w:w="1385"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非甲烷总烃、臭气浓度</w:t>
                  </w:r>
                </w:p>
              </w:tc>
              <w:tc>
                <w:tcPr>
                  <w:tcW w:w="1410" w:type="pct"/>
                  <w:tcBorders>
                    <w:top w:val="single" w:color="auto" w:sz="4" w:space="0"/>
                    <w:left w:val="single" w:color="auto" w:sz="4" w:space="0"/>
                    <w:right w:val="single" w:color="auto" w:sz="4" w:space="0"/>
                  </w:tcBorders>
                  <w:vAlign w:val="center"/>
                </w:tcPr>
                <w:p>
                  <w:pPr>
                    <w:pStyle w:val="47"/>
                  </w:pPr>
                  <w:r>
                    <w:t>每天每点</w:t>
                  </w:r>
                  <w:r>
                    <w:rPr>
                      <w:rFonts w:hint="eastAsia"/>
                    </w:rPr>
                    <w:t>3</w:t>
                  </w:r>
                  <w:r>
                    <w:t>次，监测2天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pct"/>
                  <w:tcBorders>
                    <w:top w:val="single" w:color="auto" w:sz="4" w:space="0"/>
                    <w:left w:val="single" w:color="auto" w:sz="4" w:space="0"/>
                    <w:bottom w:val="single" w:color="auto" w:sz="4" w:space="0"/>
                    <w:right w:val="single" w:color="auto" w:sz="4" w:space="0"/>
                  </w:tcBorders>
                  <w:vAlign w:val="center"/>
                </w:tcPr>
                <w:p>
                  <w:pPr>
                    <w:pStyle w:val="47"/>
                  </w:pPr>
                  <w:r>
                    <w:t>废水</w:t>
                  </w:r>
                </w:p>
              </w:tc>
              <w:tc>
                <w:tcPr>
                  <w:tcW w:w="1290"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废水</w:t>
                  </w:r>
                  <w:r>
                    <w:t>总排放口</w:t>
                  </w:r>
                </w:p>
              </w:tc>
              <w:tc>
                <w:tcPr>
                  <w:tcW w:w="1385" w:type="pct"/>
                  <w:tcBorders>
                    <w:top w:val="single" w:color="auto" w:sz="4" w:space="0"/>
                    <w:left w:val="single" w:color="auto" w:sz="4" w:space="0"/>
                    <w:bottom w:val="single" w:color="auto" w:sz="4" w:space="0"/>
                    <w:right w:val="single" w:color="auto" w:sz="4" w:space="0"/>
                  </w:tcBorders>
                  <w:vAlign w:val="center"/>
                </w:tcPr>
                <w:p>
                  <w:pPr>
                    <w:pStyle w:val="47"/>
                  </w:pPr>
                  <w:r>
                    <w:t>pH、化学需氧量、总磷、氨氮、五日生化需氧量</w:t>
                  </w:r>
                </w:p>
              </w:tc>
              <w:tc>
                <w:tcPr>
                  <w:tcW w:w="1410" w:type="pct"/>
                  <w:tcBorders>
                    <w:top w:val="single" w:color="auto" w:sz="4" w:space="0"/>
                    <w:left w:val="single" w:color="auto" w:sz="4" w:space="0"/>
                    <w:bottom w:val="single" w:color="auto" w:sz="4" w:space="0"/>
                    <w:right w:val="single" w:color="auto" w:sz="4" w:space="0"/>
                  </w:tcBorders>
                  <w:vAlign w:val="center"/>
                </w:tcPr>
                <w:p>
                  <w:pPr>
                    <w:pStyle w:val="47"/>
                  </w:pPr>
                  <w:r>
                    <w:t>每天4次，监测2天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pct"/>
                  <w:tcBorders>
                    <w:top w:val="single" w:color="auto" w:sz="4" w:space="0"/>
                    <w:left w:val="single" w:color="auto" w:sz="4" w:space="0"/>
                    <w:bottom w:val="single" w:color="auto" w:sz="4" w:space="0"/>
                    <w:right w:val="single" w:color="auto" w:sz="4" w:space="0"/>
                  </w:tcBorders>
                  <w:vAlign w:val="center"/>
                </w:tcPr>
                <w:p>
                  <w:pPr>
                    <w:pStyle w:val="47"/>
                  </w:pPr>
                  <w:r>
                    <w:t>噪声</w:t>
                  </w:r>
                </w:p>
              </w:tc>
              <w:tc>
                <w:tcPr>
                  <w:tcW w:w="1290" w:type="pct"/>
                  <w:tcBorders>
                    <w:top w:val="single" w:color="auto" w:sz="4" w:space="0"/>
                    <w:left w:val="single" w:color="auto" w:sz="4" w:space="0"/>
                    <w:bottom w:val="single" w:color="auto" w:sz="4" w:space="0"/>
                    <w:right w:val="single" w:color="auto" w:sz="4" w:space="0"/>
                  </w:tcBorders>
                  <w:vAlign w:val="center"/>
                </w:tcPr>
                <w:p>
                  <w:pPr>
                    <w:pStyle w:val="47"/>
                  </w:pPr>
                  <w:r>
                    <w:t>厂界</w:t>
                  </w:r>
                  <w:r>
                    <w:rPr>
                      <w:rFonts w:hint="eastAsia"/>
                    </w:rPr>
                    <w:t>东、南、北三侧</w:t>
                  </w:r>
                </w:p>
              </w:tc>
              <w:tc>
                <w:tcPr>
                  <w:tcW w:w="1385" w:type="pct"/>
                  <w:tcBorders>
                    <w:top w:val="single" w:color="auto" w:sz="4" w:space="0"/>
                    <w:left w:val="single" w:color="auto" w:sz="4" w:space="0"/>
                    <w:bottom w:val="single" w:color="auto" w:sz="4" w:space="0"/>
                    <w:right w:val="single" w:color="auto" w:sz="4" w:space="0"/>
                  </w:tcBorders>
                  <w:vAlign w:val="center"/>
                </w:tcPr>
                <w:p>
                  <w:pPr>
                    <w:pStyle w:val="47"/>
                  </w:pPr>
                  <w:r>
                    <w:t>昼间Leq（A）</w:t>
                  </w:r>
                </w:p>
              </w:tc>
              <w:tc>
                <w:tcPr>
                  <w:tcW w:w="1410" w:type="pct"/>
                  <w:tcBorders>
                    <w:top w:val="single" w:color="auto" w:sz="4" w:space="0"/>
                    <w:left w:val="single" w:color="auto" w:sz="4" w:space="0"/>
                    <w:bottom w:val="single" w:color="auto" w:sz="4" w:space="0"/>
                    <w:right w:val="single" w:color="auto" w:sz="4" w:space="0"/>
                  </w:tcBorders>
                  <w:vAlign w:val="center"/>
                </w:tcPr>
                <w:p>
                  <w:pPr>
                    <w:pStyle w:val="47"/>
                  </w:pPr>
                  <w:r>
                    <w:t>每天1次，监测2天</w:t>
                  </w:r>
                </w:p>
              </w:tc>
            </w:tr>
          </w:tbl>
          <w:p>
            <w:pPr>
              <w:pStyle w:val="46"/>
              <w:spacing w:before="120" w:beforeLines="50" w:after="24"/>
            </w:pPr>
            <w:r>
              <w:t>表7-</w:t>
            </w:r>
            <w:r>
              <w:rPr>
                <w:rFonts w:hint="eastAsia"/>
              </w:rPr>
              <w:t xml:space="preserve">33  </w:t>
            </w:r>
            <w:r>
              <w:t>营运期环境监测计划</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4"/>
              <w:gridCol w:w="2250"/>
              <w:gridCol w:w="2415"/>
              <w:gridCol w:w="2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pct"/>
                  <w:tcBorders>
                    <w:top w:val="single" w:color="auto" w:sz="4" w:space="0"/>
                    <w:left w:val="single" w:color="auto" w:sz="4" w:space="0"/>
                    <w:bottom w:val="single" w:color="auto" w:sz="4" w:space="0"/>
                    <w:right w:val="single" w:color="auto" w:sz="4" w:space="0"/>
                  </w:tcBorders>
                  <w:vAlign w:val="center"/>
                </w:tcPr>
                <w:p>
                  <w:pPr>
                    <w:pStyle w:val="46"/>
                  </w:pPr>
                  <w:r>
                    <w:t>项目</w:t>
                  </w:r>
                </w:p>
              </w:tc>
              <w:tc>
                <w:tcPr>
                  <w:tcW w:w="1290" w:type="pct"/>
                  <w:tcBorders>
                    <w:top w:val="single" w:color="auto" w:sz="4" w:space="0"/>
                    <w:left w:val="single" w:color="auto" w:sz="4" w:space="0"/>
                    <w:bottom w:val="single" w:color="auto" w:sz="4" w:space="0"/>
                    <w:right w:val="single" w:color="auto" w:sz="4" w:space="0"/>
                  </w:tcBorders>
                  <w:vAlign w:val="center"/>
                </w:tcPr>
                <w:p>
                  <w:pPr>
                    <w:pStyle w:val="46"/>
                  </w:pPr>
                  <w:r>
                    <w:t>监测点位</w:t>
                  </w:r>
                </w:p>
              </w:tc>
              <w:tc>
                <w:tcPr>
                  <w:tcW w:w="1385" w:type="pct"/>
                  <w:tcBorders>
                    <w:top w:val="single" w:color="auto" w:sz="4" w:space="0"/>
                    <w:left w:val="single" w:color="auto" w:sz="4" w:space="0"/>
                    <w:bottom w:val="single" w:color="auto" w:sz="4" w:space="0"/>
                    <w:right w:val="single" w:color="auto" w:sz="4" w:space="0"/>
                  </w:tcBorders>
                  <w:vAlign w:val="center"/>
                </w:tcPr>
                <w:p>
                  <w:pPr>
                    <w:pStyle w:val="46"/>
                  </w:pPr>
                  <w:r>
                    <w:t>监测项目</w:t>
                  </w:r>
                </w:p>
              </w:tc>
              <w:tc>
                <w:tcPr>
                  <w:tcW w:w="1410" w:type="pct"/>
                  <w:tcBorders>
                    <w:top w:val="single" w:color="auto" w:sz="4" w:space="0"/>
                    <w:left w:val="single" w:color="auto" w:sz="4" w:space="0"/>
                    <w:bottom w:val="single" w:color="auto" w:sz="4" w:space="0"/>
                    <w:right w:val="single" w:color="auto" w:sz="4" w:space="0"/>
                  </w:tcBorders>
                  <w:vAlign w:val="center"/>
                </w:tcPr>
                <w:p>
                  <w:pPr>
                    <w:pStyle w:val="46"/>
                  </w:pPr>
                  <w: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pct"/>
                  <w:vMerge w:val="restart"/>
                  <w:tcBorders>
                    <w:top w:val="single" w:color="auto" w:sz="4" w:space="0"/>
                    <w:left w:val="single" w:color="auto" w:sz="4" w:space="0"/>
                    <w:right w:val="single" w:color="auto" w:sz="4" w:space="0"/>
                  </w:tcBorders>
                  <w:vAlign w:val="center"/>
                </w:tcPr>
                <w:p>
                  <w:pPr>
                    <w:pStyle w:val="47"/>
                  </w:pPr>
                  <w:r>
                    <w:t>废气</w:t>
                  </w:r>
                </w:p>
              </w:tc>
              <w:tc>
                <w:tcPr>
                  <w:tcW w:w="1290" w:type="pct"/>
                  <w:tcBorders>
                    <w:top w:val="single" w:color="auto" w:sz="4" w:space="0"/>
                    <w:left w:val="single" w:color="auto" w:sz="4" w:space="0"/>
                    <w:bottom w:val="single" w:color="auto" w:sz="4" w:space="0"/>
                    <w:right w:val="single" w:color="auto" w:sz="4" w:space="0"/>
                  </w:tcBorders>
                  <w:vAlign w:val="center"/>
                </w:tcPr>
                <w:p>
                  <w:pPr>
                    <w:pStyle w:val="47"/>
                  </w:pPr>
                  <w:r>
                    <w:t>厂界无组织监控点</w:t>
                  </w:r>
                </w:p>
              </w:tc>
              <w:tc>
                <w:tcPr>
                  <w:tcW w:w="1385"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非甲烷总烃、总悬浮颗粒物、臭气浓度</w:t>
                  </w:r>
                </w:p>
              </w:tc>
              <w:tc>
                <w:tcPr>
                  <w:tcW w:w="1410"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半年</w:t>
                  </w:r>
                  <w: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pct"/>
                  <w:vMerge w:val="continue"/>
                  <w:tcBorders>
                    <w:left w:val="single" w:color="auto" w:sz="4" w:space="0"/>
                    <w:bottom w:val="single" w:color="auto" w:sz="4" w:space="0"/>
                    <w:right w:val="single" w:color="auto" w:sz="4" w:space="0"/>
                  </w:tcBorders>
                  <w:vAlign w:val="center"/>
                </w:tcPr>
                <w:p>
                  <w:pPr>
                    <w:pStyle w:val="47"/>
                  </w:pPr>
                </w:p>
              </w:tc>
              <w:tc>
                <w:tcPr>
                  <w:tcW w:w="1290" w:type="pct"/>
                  <w:tcBorders>
                    <w:top w:val="single" w:color="auto" w:sz="4" w:space="0"/>
                    <w:left w:val="single" w:color="auto" w:sz="4" w:space="0"/>
                    <w:right w:val="single" w:color="auto" w:sz="4" w:space="0"/>
                  </w:tcBorders>
                  <w:vAlign w:val="center"/>
                </w:tcPr>
                <w:p>
                  <w:pPr>
                    <w:pStyle w:val="47"/>
                  </w:pPr>
                  <w:r>
                    <w:rPr>
                      <w:rFonts w:hint="eastAsia"/>
                    </w:rPr>
                    <w:t>DA001排气筒</w:t>
                  </w:r>
                </w:p>
              </w:tc>
              <w:tc>
                <w:tcPr>
                  <w:tcW w:w="1385"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非甲烷总烃、臭气浓度</w:t>
                  </w:r>
                </w:p>
              </w:tc>
              <w:tc>
                <w:tcPr>
                  <w:tcW w:w="1410" w:type="pct"/>
                  <w:tcBorders>
                    <w:top w:val="single" w:color="auto" w:sz="4" w:space="0"/>
                    <w:left w:val="single" w:color="auto" w:sz="4" w:space="0"/>
                    <w:right w:val="single" w:color="auto" w:sz="4" w:space="0"/>
                  </w:tcBorders>
                  <w:vAlign w:val="center"/>
                </w:tcPr>
                <w:p>
                  <w:pPr>
                    <w:pStyle w:val="47"/>
                  </w:pPr>
                  <w:r>
                    <w:rPr>
                      <w:rFonts w:hint="eastAsia"/>
                    </w:rPr>
                    <w:t>半年/次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pct"/>
                  <w:tcBorders>
                    <w:top w:val="single" w:color="auto" w:sz="4" w:space="0"/>
                    <w:left w:val="single" w:color="auto" w:sz="4" w:space="0"/>
                    <w:right w:val="single" w:color="auto" w:sz="4" w:space="0"/>
                  </w:tcBorders>
                  <w:vAlign w:val="center"/>
                </w:tcPr>
                <w:p>
                  <w:pPr>
                    <w:pStyle w:val="47"/>
                  </w:pPr>
                  <w:r>
                    <w:t>废水</w:t>
                  </w:r>
                </w:p>
              </w:tc>
              <w:tc>
                <w:tcPr>
                  <w:tcW w:w="1290"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废水</w:t>
                  </w:r>
                  <w:r>
                    <w:t>总排放口</w:t>
                  </w:r>
                </w:p>
              </w:tc>
              <w:tc>
                <w:tcPr>
                  <w:tcW w:w="1385" w:type="pct"/>
                  <w:tcBorders>
                    <w:top w:val="single" w:color="auto" w:sz="4" w:space="0"/>
                    <w:left w:val="single" w:color="auto" w:sz="4" w:space="0"/>
                    <w:bottom w:val="single" w:color="auto" w:sz="4" w:space="0"/>
                    <w:right w:val="single" w:color="auto" w:sz="4" w:space="0"/>
                  </w:tcBorders>
                  <w:vAlign w:val="center"/>
                </w:tcPr>
                <w:p>
                  <w:pPr>
                    <w:pStyle w:val="47"/>
                  </w:pPr>
                  <w:r>
                    <w:t>pH、COD</w:t>
                  </w:r>
                  <w:r>
                    <w:rPr>
                      <w:vertAlign w:val="subscript"/>
                    </w:rPr>
                    <w:t>Cr</w:t>
                  </w:r>
                  <w:r>
                    <w:t>、氨氮</w:t>
                  </w:r>
                </w:p>
              </w:tc>
              <w:tc>
                <w:tcPr>
                  <w:tcW w:w="1410"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季度</w:t>
                  </w:r>
                  <w: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pct"/>
                  <w:tcBorders>
                    <w:top w:val="single" w:color="auto" w:sz="4" w:space="0"/>
                    <w:left w:val="single" w:color="auto" w:sz="4" w:space="0"/>
                    <w:bottom w:val="single" w:color="auto" w:sz="4" w:space="0"/>
                    <w:right w:val="single" w:color="auto" w:sz="4" w:space="0"/>
                  </w:tcBorders>
                  <w:vAlign w:val="center"/>
                </w:tcPr>
                <w:p>
                  <w:pPr>
                    <w:pStyle w:val="47"/>
                  </w:pPr>
                  <w:r>
                    <w:t>噪声</w:t>
                  </w:r>
                </w:p>
              </w:tc>
              <w:tc>
                <w:tcPr>
                  <w:tcW w:w="1290" w:type="pct"/>
                  <w:tcBorders>
                    <w:top w:val="single" w:color="auto" w:sz="4" w:space="0"/>
                    <w:left w:val="single" w:color="auto" w:sz="4" w:space="0"/>
                    <w:bottom w:val="single" w:color="auto" w:sz="4" w:space="0"/>
                    <w:right w:val="single" w:color="auto" w:sz="4" w:space="0"/>
                  </w:tcBorders>
                  <w:vAlign w:val="center"/>
                </w:tcPr>
                <w:p>
                  <w:pPr>
                    <w:pStyle w:val="47"/>
                  </w:pPr>
                  <w:r>
                    <w:t>厂界</w:t>
                  </w:r>
                  <w:r>
                    <w:rPr>
                      <w:rFonts w:hint="eastAsia"/>
                    </w:rPr>
                    <w:t>东、南、北三侧</w:t>
                  </w:r>
                </w:p>
              </w:tc>
              <w:tc>
                <w:tcPr>
                  <w:tcW w:w="1385" w:type="pct"/>
                  <w:tcBorders>
                    <w:top w:val="single" w:color="auto" w:sz="4" w:space="0"/>
                    <w:left w:val="single" w:color="auto" w:sz="4" w:space="0"/>
                    <w:bottom w:val="single" w:color="auto" w:sz="4" w:space="0"/>
                    <w:right w:val="single" w:color="auto" w:sz="4" w:space="0"/>
                  </w:tcBorders>
                  <w:vAlign w:val="center"/>
                </w:tcPr>
                <w:p>
                  <w:pPr>
                    <w:pStyle w:val="47"/>
                  </w:pPr>
                  <w:r>
                    <w:t>昼间Leq（A）</w:t>
                  </w:r>
                </w:p>
              </w:tc>
              <w:tc>
                <w:tcPr>
                  <w:tcW w:w="1410" w:type="pct"/>
                  <w:tcBorders>
                    <w:top w:val="single" w:color="auto" w:sz="4" w:space="0"/>
                    <w:left w:val="single" w:color="auto" w:sz="4" w:space="0"/>
                    <w:bottom w:val="single" w:color="auto" w:sz="4" w:space="0"/>
                    <w:right w:val="single" w:color="auto" w:sz="4" w:space="0"/>
                  </w:tcBorders>
                  <w:vAlign w:val="center"/>
                </w:tcPr>
                <w:p>
                  <w:pPr>
                    <w:pStyle w:val="47"/>
                  </w:pPr>
                  <w:r>
                    <w:t>每季度监测一次，每次测昼间噪声</w:t>
                  </w:r>
                </w:p>
              </w:tc>
            </w:tr>
          </w:tbl>
          <w:p>
            <w:pPr>
              <w:pStyle w:val="2"/>
              <w:ind w:left="480" w:firstLine="300"/>
              <w:rPr>
                <w:sz w:val="15"/>
                <w:szCs w:val="15"/>
              </w:rPr>
            </w:pPr>
          </w:p>
          <w:p>
            <w:pPr>
              <w:pStyle w:val="2"/>
              <w:ind w:left="480" w:firstLine="300"/>
              <w:rPr>
                <w:sz w:val="15"/>
                <w:szCs w:val="15"/>
              </w:rPr>
            </w:pPr>
          </w:p>
          <w:p>
            <w:pPr>
              <w:pStyle w:val="2"/>
              <w:ind w:left="480" w:firstLine="300"/>
              <w:rPr>
                <w:sz w:val="15"/>
                <w:szCs w:val="15"/>
              </w:rPr>
            </w:pPr>
          </w:p>
          <w:p>
            <w:pPr>
              <w:pStyle w:val="2"/>
              <w:ind w:left="480" w:firstLine="300"/>
              <w:rPr>
                <w:sz w:val="15"/>
                <w:szCs w:val="15"/>
              </w:rPr>
            </w:pPr>
          </w:p>
          <w:p>
            <w:pPr>
              <w:pStyle w:val="2"/>
              <w:ind w:left="480" w:firstLine="300"/>
              <w:rPr>
                <w:sz w:val="15"/>
                <w:szCs w:val="15"/>
              </w:rPr>
            </w:pPr>
          </w:p>
          <w:p>
            <w:pPr>
              <w:pStyle w:val="2"/>
              <w:ind w:left="480" w:firstLine="300"/>
              <w:rPr>
                <w:sz w:val="15"/>
                <w:szCs w:val="15"/>
              </w:rPr>
            </w:pPr>
          </w:p>
          <w:p>
            <w:pPr>
              <w:pStyle w:val="2"/>
              <w:ind w:left="480" w:firstLine="300"/>
              <w:rPr>
                <w:sz w:val="15"/>
                <w:szCs w:val="15"/>
              </w:rPr>
            </w:pPr>
          </w:p>
          <w:p>
            <w:pPr>
              <w:pStyle w:val="2"/>
              <w:ind w:left="480" w:firstLine="300"/>
              <w:rPr>
                <w:sz w:val="15"/>
                <w:szCs w:val="15"/>
              </w:rPr>
            </w:pPr>
          </w:p>
          <w:p>
            <w:pPr>
              <w:pStyle w:val="2"/>
              <w:ind w:left="480" w:firstLine="300"/>
              <w:rPr>
                <w:sz w:val="15"/>
                <w:szCs w:val="15"/>
              </w:rPr>
            </w:pPr>
          </w:p>
          <w:p>
            <w:pPr>
              <w:pStyle w:val="2"/>
              <w:ind w:left="480" w:firstLine="300"/>
              <w:rPr>
                <w:sz w:val="15"/>
                <w:szCs w:val="15"/>
              </w:rPr>
            </w:pPr>
          </w:p>
          <w:p>
            <w:pPr>
              <w:pStyle w:val="2"/>
              <w:ind w:left="480" w:firstLine="300"/>
              <w:rPr>
                <w:sz w:val="15"/>
                <w:szCs w:val="15"/>
              </w:rPr>
            </w:pPr>
          </w:p>
          <w:p>
            <w:pPr>
              <w:pStyle w:val="2"/>
              <w:ind w:left="480" w:firstLine="300"/>
              <w:rPr>
                <w:sz w:val="15"/>
                <w:szCs w:val="15"/>
              </w:rPr>
            </w:pPr>
          </w:p>
          <w:p>
            <w:pPr>
              <w:pStyle w:val="2"/>
              <w:ind w:left="480" w:firstLine="300"/>
              <w:rPr>
                <w:sz w:val="15"/>
                <w:szCs w:val="15"/>
              </w:rPr>
            </w:pPr>
          </w:p>
          <w:p>
            <w:pPr>
              <w:pStyle w:val="2"/>
              <w:ind w:left="480" w:firstLine="300"/>
              <w:rPr>
                <w:sz w:val="15"/>
                <w:szCs w:val="15"/>
              </w:rPr>
            </w:pPr>
          </w:p>
          <w:p>
            <w:pPr>
              <w:pStyle w:val="2"/>
              <w:ind w:left="480" w:firstLine="300"/>
              <w:rPr>
                <w:sz w:val="15"/>
                <w:szCs w:val="15"/>
              </w:rPr>
            </w:pPr>
          </w:p>
          <w:p>
            <w:pPr>
              <w:pStyle w:val="2"/>
              <w:ind w:left="480" w:firstLine="300"/>
              <w:rPr>
                <w:sz w:val="15"/>
                <w:szCs w:val="15"/>
              </w:rPr>
            </w:pPr>
          </w:p>
          <w:p>
            <w:pPr>
              <w:pStyle w:val="2"/>
              <w:ind w:left="480" w:firstLine="300"/>
              <w:rPr>
                <w:sz w:val="15"/>
                <w:szCs w:val="15"/>
              </w:rPr>
            </w:pPr>
          </w:p>
          <w:p>
            <w:pPr>
              <w:pStyle w:val="2"/>
              <w:ind w:left="480" w:firstLine="300"/>
              <w:rPr>
                <w:sz w:val="15"/>
                <w:szCs w:val="15"/>
              </w:rPr>
            </w:pPr>
          </w:p>
          <w:p>
            <w:pPr>
              <w:pStyle w:val="2"/>
              <w:ind w:left="480" w:firstLine="300"/>
              <w:rPr>
                <w:sz w:val="15"/>
                <w:szCs w:val="15"/>
              </w:rPr>
            </w:pPr>
          </w:p>
          <w:p>
            <w:pPr>
              <w:pStyle w:val="2"/>
              <w:ind w:left="480" w:firstLine="300"/>
              <w:rPr>
                <w:sz w:val="15"/>
                <w:szCs w:val="15"/>
              </w:rPr>
            </w:pPr>
          </w:p>
          <w:p>
            <w:pPr>
              <w:pStyle w:val="2"/>
              <w:ind w:left="480" w:firstLine="300"/>
              <w:rPr>
                <w:sz w:val="15"/>
                <w:szCs w:val="15"/>
              </w:rPr>
            </w:pPr>
          </w:p>
          <w:p>
            <w:pPr>
              <w:pStyle w:val="2"/>
              <w:ind w:left="480" w:firstLine="300"/>
              <w:rPr>
                <w:sz w:val="15"/>
                <w:szCs w:val="15"/>
              </w:rPr>
            </w:pPr>
          </w:p>
          <w:p>
            <w:pPr>
              <w:pStyle w:val="2"/>
              <w:ind w:left="480" w:firstLine="300"/>
              <w:rPr>
                <w:sz w:val="15"/>
                <w:szCs w:val="15"/>
              </w:rPr>
            </w:pPr>
          </w:p>
        </w:tc>
      </w:tr>
    </w:tbl>
    <w:p>
      <w:pPr>
        <w:pStyle w:val="4"/>
        <w:rPr>
          <w:szCs w:val="32"/>
        </w:rPr>
      </w:pPr>
      <w:bookmarkStart w:id="171" w:name="_Toc141539319"/>
      <w:bookmarkStart w:id="172" w:name="_Toc29380648"/>
      <w:bookmarkStart w:id="173" w:name="_Toc657"/>
      <w:bookmarkStart w:id="174" w:name="_Toc29388599"/>
      <w:r>
        <w:rPr>
          <w:szCs w:val="32"/>
        </w:rPr>
        <w:t>8、建设项目拟采取的防治措施及预期治理效果</w:t>
      </w:r>
      <w:bookmarkEnd w:id="171"/>
      <w:bookmarkEnd w:id="172"/>
      <w:bookmarkEnd w:id="173"/>
      <w:bookmarkEnd w:id="174"/>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06"/>
        <w:gridCol w:w="1545"/>
        <w:gridCol w:w="1399"/>
        <w:gridCol w:w="3135"/>
        <w:gridCol w:w="1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1" w:hRule="atLeast"/>
          <w:jc w:val="center"/>
        </w:trPr>
        <w:tc>
          <w:tcPr>
            <w:tcW w:w="459" w:type="pct"/>
            <w:tcBorders>
              <w:top w:val="single" w:color="auto" w:sz="12" w:space="0"/>
              <w:left w:val="single" w:color="auto" w:sz="12" w:space="0"/>
              <w:bottom w:val="single" w:color="auto" w:sz="4" w:space="0"/>
              <w:tl2br w:val="single" w:color="auto" w:sz="4" w:space="0"/>
            </w:tcBorders>
            <w:vAlign w:val="center"/>
          </w:tcPr>
          <w:p>
            <w:pPr>
              <w:pStyle w:val="46"/>
              <w:jc w:val="right"/>
            </w:pPr>
            <w:r>
              <w:t>内容</w:t>
            </w:r>
          </w:p>
          <w:p>
            <w:pPr>
              <w:pStyle w:val="46"/>
            </w:pPr>
          </w:p>
          <w:p>
            <w:pPr>
              <w:pStyle w:val="46"/>
              <w:jc w:val="left"/>
            </w:pPr>
            <w:r>
              <w:t>类型</w:t>
            </w:r>
          </w:p>
        </w:tc>
        <w:tc>
          <w:tcPr>
            <w:tcW w:w="879" w:type="pct"/>
            <w:tcBorders>
              <w:top w:val="single" w:color="auto" w:sz="12" w:space="0"/>
              <w:bottom w:val="single" w:color="auto" w:sz="4" w:space="0"/>
            </w:tcBorders>
            <w:vAlign w:val="center"/>
          </w:tcPr>
          <w:p>
            <w:pPr>
              <w:pStyle w:val="46"/>
            </w:pPr>
            <w:r>
              <w:t>排放源</w:t>
            </w:r>
          </w:p>
        </w:tc>
        <w:tc>
          <w:tcPr>
            <w:tcW w:w="796" w:type="pct"/>
            <w:tcBorders>
              <w:top w:val="single" w:color="auto" w:sz="12" w:space="0"/>
              <w:bottom w:val="single" w:color="auto" w:sz="4" w:space="0"/>
            </w:tcBorders>
            <w:vAlign w:val="center"/>
          </w:tcPr>
          <w:p>
            <w:pPr>
              <w:pStyle w:val="46"/>
            </w:pPr>
            <w:r>
              <w:t>污染物名称</w:t>
            </w:r>
          </w:p>
        </w:tc>
        <w:tc>
          <w:tcPr>
            <w:tcW w:w="1784" w:type="pct"/>
            <w:tcBorders>
              <w:top w:val="single" w:color="auto" w:sz="12" w:space="0"/>
              <w:bottom w:val="single" w:color="auto" w:sz="4" w:space="0"/>
            </w:tcBorders>
            <w:vAlign w:val="center"/>
          </w:tcPr>
          <w:p>
            <w:pPr>
              <w:pStyle w:val="46"/>
            </w:pPr>
            <w:r>
              <w:t>防治措施</w:t>
            </w:r>
          </w:p>
        </w:tc>
        <w:tc>
          <w:tcPr>
            <w:tcW w:w="1080" w:type="pct"/>
            <w:tcBorders>
              <w:top w:val="single" w:color="auto" w:sz="12" w:space="0"/>
              <w:bottom w:val="single" w:color="auto" w:sz="4" w:space="0"/>
              <w:right w:val="single" w:color="auto" w:sz="12" w:space="0"/>
            </w:tcBorders>
            <w:vAlign w:val="center"/>
          </w:tcPr>
          <w:p>
            <w:pPr>
              <w:pStyle w:val="46"/>
            </w:pPr>
            <w: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459" w:type="pct"/>
            <w:vMerge w:val="restart"/>
            <w:tcBorders>
              <w:left w:val="single" w:color="auto" w:sz="12" w:space="0"/>
            </w:tcBorders>
            <w:vAlign w:val="center"/>
          </w:tcPr>
          <w:p>
            <w:pPr>
              <w:snapToGrid w:val="0"/>
              <w:spacing w:line="240" w:lineRule="auto"/>
              <w:ind w:firstLine="0" w:firstLineChars="0"/>
              <w:jc w:val="center"/>
              <w:rPr>
                <w:b/>
                <w:sz w:val="21"/>
                <w:szCs w:val="21"/>
              </w:rPr>
            </w:pPr>
            <w:r>
              <w:rPr>
                <w:b/>
                <w:sz w:val="21"/>
                <w:szCs w:val="21"/>
              </w:rPr>
              <w:t>水</w:t>
            </w:r>
          </w:p>
          <w:p>
            <w:pPr>
              <w:snapToGrid w:val="0"/>
              <w:spacing w:line="240" w:lineRule="auto"/>
              <w:ind w:firstLine="0" w:firstLineChars="0"/>
              <w:jc w:val="center"/>
              <w:rPr>
                <w:b/>
                <w:sz w:val="21"/>
                <w:szCs w:val="21"/>
              </w:rPr>
            </w:pPr>
            <w:r>
              <w:rPr>
                <w:b/>
                <w:sz w:val="21"/>
                <w:szCs w:val="21"/>
              </w:rPr>
              <w:t>污</w:t>
            </w:r>
          </w:p>
          <w:p>
            <w:pPr>
              <w:snapToGrid w:val="0"/>
              <w:spacing w:line="240" w:lineRule="auto"/>
              <w:ind w:firstLine="0" w:firstLineChars="0"/>
              <w:jc w:val="center"/>
              <w:rPr>
                <w:b/>
                <w:sz w:val="21"/>
                <w:szCs w:val="21"/>
              </w:rPr>
            </w:pPr>
            <w:r>
              <w:rPr>
                <w:b/>
                <w:sz w:val="21"/>
                <w:szCs w:val="21"/>
              </w:rPr>
              <w:t>染</w:t>
            </w:r>
          </w:p>
          <w:p>
            <w:pPr>
              <w:snapToGrid w:val="0"/>
              <w:spacing w:line="240" w:lineRule="auto"/>
              <w:ind w:firstLine="0" w:firstLineChars="0"/>
              <w:jc w:val="center"/>
              <w:rPr>
                <w:b/>
                <w:sz w:val="21"/>
                <w:szCs w:val="21"/>
              </w:rPr>
            </w:pPr>
            <w:r>
              <w:rPr>
                <w:b/>
                <w:sz w:val="21"/>
                <w:szCs w:val="21"/>
              </w:rPr>
              <w:t>物</w:t>
            </w:r>
          </w:p>
        </w:tc>
        <w:tc>
          <w:tcPr>
            <w:tcW w:w="879" w:type="pct"/>
            <w:vAlign w:val="center"/>
          </w:tcPr>
          <w:p>
            <w:pPr>
              <w:pStyle w:val="47"/>
            </w:pPr>
            <w:r>
              <w:rPr>
                <w:rFonts w:hint="eastAsia"/>
              </w:rPr>
              <w:t>打磨</w:t>
            </w:r>
          </w:p>
        </w:tc>
        <w:tc>
          <w:tcPr>
            <w:tcW w:w="796" w:type="pct"/>
            <w:vAlign w:val="center"/>
          </w:tcPr>
          <w:p>
            <w:pPr>
              <w:pStyle w:val="47"/>
            </w:pPr>
            <w:r>
              <w:rPr>
                <w:rFonts w:hint="eastAsia"/>
              </w:rPr>
              <w:t>打磨废水</w:t>
            </w:r>
          </w:p>
        </w:tc>
        <w:tc>
          <w:tcPr>
            <w:tcW w:w="1784" w:type="pct"/>
            <w:vAlign w:val="center"/>
          </w:tcPr>
          <w:p>
            <w:pPr>
              <w:pStyle w:val="47"/>
              <w:jc w:val="left"/>
            </w:pPr>
            <w:r>
              <w:rPr>
                <w:rFonts w:hint="eastAsia"/>
              </w:rPr>
              <w:t>经沉淀后上清液</w:t>
            </w:r>
            <w:r>
              <w:t>循环使用，定期补充</w:t>
            </w:r>
            <w:r>
              <w:rPr>
                <w:rFonts w:hint="eastAsia"/>
              </w:rPr>
              <w:t>损耗，</w:t>
            </w:r>
            <w:r>
              <w:t>不外排。</w:t>
            </w:r>
          </w:p>
        </w:tc>
        <w:tc>
          <w:tcPr>
            <w:tcW w:w="1080" w:type="pct"/>
            <w:tcBorders>
              <w:right w:val="single" w:color="auto" w:sz="12" w:space="0"/>
            </w:tcBorders>
            <w:vAlign w:val="center"/>
          </w:tcPr>
          <w:p>
            <w:pPr>
              <w:pStyle w:val="47"/>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06" w:hRule="atLeast"/>
          <w:jc w:val="center"/>
        </w:trPr>
        <w:tc>
          <w:tcPr>
            <w:tcW w:w="459" w:type="pct"/>
            <w:vMerge w:val="continue"/>
            <w:tcBorders>
              <w:left w:val="single" w:color="auto" w:sz="12" w:space="0"/>
            </w:tcBorders>
            <w:vAlign w:val="center"/>
          </w:tcPr>
          <w:p>
            <w:pPr>
              <w:snapToGrid w:val="0"/>
              <w:spacing w:line="240" w:lineRule="auto"/>
              <w:ind w:firstLine="0" w:firstLineChars="0"/>
              <w:jc w:val="center"/>
              <w:rPr>
                <w:b/>
                <w:sz w:val="21"/>
                <w:szCs w:val="21"/>
              </w:rPr>
            </w:pPr>
          </w:p>
        </w:tc>
        <w:tc>
          <w:tcPr>
            <w:tcW w:w="879" w:type="pct"/>
            <w:vMerge w:val="restart"/>
            <w:vAlign w:val="center"/>
          </w:tcPr>
          <w:p>
            <w:pPr>
              <w:pStyle w:val="47"/>
            </w:pPr>
            <w:r>
              <w:t>职工生活</w:t>
            </w:r>
          </w:p>
        </w:tc>
        <w:tc>
          <w:tcPr>
            <w:tcW w:w="796" w:type="pct"/>
            <w:vAlign w:val="center"/>
          </w:tcPr>
          <w:p>
            <w:pPr>
              <w:pStyle w:val="47"/>
            </w:pPr>
            <w:r>
              <w:t>COD</w:t>
            </w:r>
            <w:r>
              <w:rPr>
                <w:vertAlign w:val="subscript"/>
              </w:rPr>
              <w:t>Cr</w:t>
            </w:r>
          </w:p>
        </w:tc>
        <w:tc>
          <w:tcPr>
            <w:tcW w:w="1784" w:type="pct"/>
            <w:vMerge w:val="restart"/>
            <w:vAlign w:val="center"/>
          </w:tcPr>
          <w:p>
            <w:pPr>
              <w:pStyle w:val="47"/>
              <w:jc w:val="left"/>
            </w:pPr>
            <w:r>
              <w:t>实行清污分流、雨污分流；生活污水经化粪池预处理达到入网标准后接入区域污水收集管网，最终经桐乡市城市污水处理有限责任公司崇福污水处理厂处理后达标排入钱塘江。</w:t>
            </w:r>
          </w:p>
        </w:tc>
        <w:tc>
          <w:tcPr>
            <w:tcW w:w="1080" w:type="pct"/>
            <w:vMerge w:val="restart"/>
            <w:tcBorders>
              <w:right w:val="single" w:color="auto" w:sz="12" w:space="0"/>
            </w:tcBorders>
            <w:vAlign w:val="center"/>
          </w:tcPr>
          <w:p>
            <w:pPr>
              <w:pStyle w:val="47"/>
              <w:jc w:val="left"/>
            </w:pPr>
            <w:r>
              <w:t>达到《城镇污水处理厂污染物排放标准》（GB18918-2002）表1中一级A标准。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06" w:hRule="atLeast"/>
          <w:jc w:val="center"/>
        </w:trPr>
        <w:tc>
          <w:tcPr>
            <w:tcW w:w="459" w:type="pct"/>
            <w:vMerge w:val="continue"/>
            <w:tcBorders>
              <w:left w:val="single" w:color="auto" w:sz="12" w:space="0"/>
            </w:tcBorders>
            <w:vAlign w:val="center"/>
          </w:tcPr>
          <w:p>
            <w:pPr>
              <w:snapToGrid w:val="0"/>
              <w:spacing w:line="240" w:lineRule="auto"/>
              <w:ind w:firstLine="0" w:firstLineChars="0"/>
              <w:jc w:val="center"/>
              <w:rPr>
                <w:b/>
                <w:sz w:val="21"/>
                <w:szCs w:val="21"/>
              </w:rPr>
            </w:pPr>
          </w:p>
        </w:tc>
        <w:tc>
          <w:tcPr>
            <w:tcW w:w="879" w:type="pct"/>
            <w:vMerge w:val="continue"/>
            <w:vAlign w:val="center"/>
          </w:tcPr>
          <w:p>
            <w:pPr>
              <w:pStyle w:val="47"/>
            </w:pPr>
          </w:p>
        </w:tc>
        <w:tc>
          <w:tcPr>
            <w:tcW w:w="796" w:type="pct"/>
            <w:vAlign w:val="center"/>
          </w:tcPr>
          <w:p>
            <w:pPr>
              <w:pStyle w:val="47"/>
            </w:pPr>
            <w:r>
              <w:t>NH</w:t>
            </w:r>
            <w:r>
              <w:rPr>
                <w:vertAlign w:val="subscript"/>
              </w:rPr>
              <w:t>3</w:t>
            </w:r>
            <w:r>
              <w:t>-N</w:t>
            </w:r>
          </w:p>
        </w:tc>
        <w:tc>
          <w:tcPr>
            <w:tcW w:w="1784" w:type="pct"/>
            <w:vMerge w:val="continue"/>
            <w:vAlign w:val="center"/>
          </w:tcPr>
          <w:p>
            <w:pPr>
              <w:pStyle w:val="47"/>
              <w:jc w:val="left"/>
            </w:pPr>
          </w:p>
        </w:tc>
        <w:tc>
          <w:tcPr>
            <w:tcW w:w="1080" w:type="pct"/>
            <w:vMerge w:val="continue"/>
            <w:tcBorders>
              <w:right w:val="single" w:color="auto" w:sz="12" w:space="0"/>
            </w:tcBorders>
            <w:vAlign w:val="center"/>
          </w:tcPr>
          <w:p>
            <w:pPr>
              <w:pStyle w:val="47"/>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41" w:hRule="atLeast"/>
          <w:jc w:val="center"/>
        </w:trPr>
        <w:tc>
          <w:tcPr>
            <w:tcW w:w="459" w:type="pct"/>
            <w:vMerge w:val="restart"/>
            <w:tcBorders>
              <w:left w:val="single" w:color="auto" w:sz="12" w:space="0"/>
            </w:tcBorders>
            <w:vAlign w:val="center"/>
          </w:tcPr>
          <w:p>
            <w:pPr>
              <w:snapToGrid w:val="0"/>
              <w:spacing w:line="240" w:lineRule="auto"/>
              <w:ind w:firstLine="0" w:firstLineChars="0"/>
              <w:jc w:val="center"/>
              <w:rPr>
                <w:b/>
                <w:sz w:val="21"/>
                <w:szCs w:val="21"/>
              </w:rPr>
            </w:pPr>
            <w:r>
              <w:rPr>
                <w:b/>
                <w:sz w:val="21"/>
                <w:szCs w:val="21"/>
              </w:rPr>
              <w:t>大</w:t>
            </w:r>
          </w:p>
          <w:p>
            <w:pPr>
              <w:snapToGrid w:val="0"/>
              <w:spacing w:line="240" w:lineRule="auto"/>
              <w:ind w:firstLine="0" w:firstLineChars="0"/>
              <w:jc w:val="center"/>
              <w:rPr>
                <w:b/>
                <w:sz w:val="21"/>
                <w:szCs w:val="21"/>
              </w:rPr>
            </w:pPr>
            <w:r>
              <w:rPr>
                <w:b/>
                <w:sz w:val="21"/>
                <w:szCs w:val="21"/>
              </w:rPr>
              <w:t>气</w:t>
            </w:r>
          </w:p>
          <w:p>
            <w:pPr>
              <w:snapToGrid w:val="0"/>
              <w:spacing w:line="240" w:lineRule="auto"/>
              <w:ind w:firstLine="0" w:firstLineChars="0"/>
              <w:jc w:val="center"/>
              <w:rPr>
                <w:b/>
                <w:sz w:val="21"/>
                <w:szCs w:val="21"/>
              </w:rPr>
            </w:pPr>
            <w:r>
              <w:rPr>
                <w:b/>
                <w:sz w:val="21"/>
                <w:szCs w:val="21"/>
              </w:rPr>
              <w:t>污</w:t>
            </w:r>
          </w:p>
          <w:p>
            <w:pPr>
              <w:snapToGrid w:val="0"/>
              <w:spacing w:line="240" w:lineRule="auto"/>
              <w:ind w:firstLine="0" w:firstLineChars="0"/>
              <w:jc w:val="center"/>
              <w:rPr>
                <w:b/>
                <w:sz w:val="21"/>
                <w:szCs w:val="21"/>
              </w:rPr>
            </w:pPr>
            <w:r>
              <w:rPr>
                <w:b/>
                <w:sz w:val="21"/>
                <w:szCs w:val="21"/>
              </w:rPr>
              <w:t>染</w:t>
            </w:r>
          </w:p>
          <w:p>
            <w:pPr>
              <w:snapToGrid w:val="0"/>
              <w:spacing w:line="240" w:lineRule="auto"/>
              <w:ind w:firstLine="0" w:firstLineChars="0"/>
              <w:jc w:val="center"/>
              <w:rPr>
                <w:b/>
                <w:sz w:val="21"/>
                <w:szCs w:val="21"/>
              </w:rPr>
            </w:pPr>
            <w:r>
              <w:rPr>
                <w:b/>
                <w:sz w:val="21"/>
                <w:szCs w:val="21"/>
              </w:rPr>
              <w:t>物</w:t>
            </w:r>
          </w:p>
        </w:tc>
        <w:tc>
          <w:tcPr>
            <w:tcW w:w="879" w:type="pct"/>
            <w:vAlign w:val="center"/>
          </w:tcPr>
          <w:p>
            <w:pPr>
              <w:pStyle w:val="47"/>
            </w:pPr>
            <w:r>
              <w:rPr>
                <w:rFonts w:hint="eastAsia"/>
              </w:rPr>
              <w:t>焊接</w:t>
            </w:r>
          </w:p>
        </w:tc>
        <w:tc>
          <w:tcPr>
            <w:tcW w:w="796" w:type="pct"/>
            <w:vAlign w:val="center"/>
          </w:tcPr>
          <w:p>
            <w:pPr>
              <w:pStyle w:val="47"/>
            </w:pPr>
            <w:r>
              <w:rPr>
                <w:rFonts w:hint="eastAsia"/>
              </w:rPr>
              <w:t>烟尘</w:t>
            </w:r>
          </w:p>
        </w:tc>
        <w:tc>
          <w:tcPr>
            <w:tcW w:w="1784" w:type="pct"/>
            <w:vAlign w:val="center"/>
          </w:tcPr>
          <w:p>
            <w:pPr>
              <w:pStyle w:val="47"/>
              <w:jc w:val="left"/>
            </w:pPr>
            <w:r>
              <w:rPr>
                <w:rFonts w:hint="eastAsia"/>
              </w:rPr>
              <w:t>在焊接设备上方设置集气罩（收集率按大于80%），收集的烟尘使用移动式焊接烟尘净化器处理（滤芯除尘，处理效率按90%计）后，尾气在车间内无组织排放。</w:t>
            </w:r>
          </w:p>
        </w:tc>
        <w:tc>
          <w:tcPr>
            <w:tcW w:w="1080" w:type="pct"/>
            <w:tcBorders>
              <w:right w:val="single" w:color="auto" w:sz="12" w:space="0"/>
            </w:tcBorders>
            <w:vAlign w:val="center"/>
          </w:tcPr>
          <w:p>
            <w:pPr>
              <w:pStyle w:val="47"/>
              <w:jc w:val="left"/>
            </w:pPr>
            <w:r>
              <w:t>达到《大气污染物综合排放标准》（GB16297-1996）表2中的二级标准。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06" w:hRule="atLeast"/>
          <w:jc w:val="center"/>
        </w:trPr>
        <w:tc>
          <w:tcPr>
            <w:tcW w:w="459" w:type="pct"/>
            <w:vMerge w:val="continue"/>
            <w:tcBorders>
              <w:left w:val="single" w:color="auto" w:sz="12" w:space="0"/>
            </w:tcBorders>
            <w:vAlign w:val="center"/>
          </w:tcPr>
          <w:p>
            <w:pPr>
              <w:snapToGrid w:val="0"/>
              <w:spacing w:line="240" w:lineRule="auto"/>
              <w:ind w:firstLine="0" w:firstLineChars="0"/>
              <w:jc w:val="center"/>
              <w:rPr>
                <w:b/>
                <w:sz w:val="21"/>
                <w:szCs w:val="21"/>
              </w:rPr>
            </w:pPr>
          </w:p>
        </w:tc>
        <w:tc>
          <w:tcPr>
            <w:tcW w:w="879" w:type="pct"/>
            <w:vAlign w:val="center"/>
          </w:tcPr>
          <w:p>
            <w:pPr>
              <w:pStyle w:val="47"/>
            </w:pPr>
            <w:r>
              <w:rPr>
                <w:rFonts w:hint="eastAsia"/>
              </w:rPr>
              <w:t>浸漆、烘干</w:t>
            </w:r>
          </w:p>
        </w:tc>
        <w:tc>
          <w:tcPr>
            <w:tcW w:w="796" w:type="pct"/>
            <w:vAlign w:val="center"/>
          </w:tcPr>
          <w:p>
            <w:pPr>
              <w:pStyle w:val="47"/>
            </w:pPr>
            <w:r>
              <w:rPr>
                <w:rFonts w:hint="eastAsia"/>
              </w:rPr>
              <w:t>非甲烷总烃、恶臭</w:t>
            </w:r>
          </w:p>
        </w:tc>
        <w:tc>
          <w:tcPr>
            <w:tcW w:w="1784" w:type="pct"/>
            <w:vAlign w:val="center"/>
          </w:tcPr>
          <w:p>
            <w:pPr>
              <w:pStyle w:val="47"/>
              <w:jc w:val="left"/>
            </w:pPr>
            <w:r>
              <w:rPr>
                <w:rFonts w:hint="eastAsia"/>
              </w:rPr>
              <w:t>设备置于独立密闭空间，保持微负压状态对废气进行收集，</w:t>
            </w:r>
            <w:r>
              <w:rPr>
                <w:rFonts w:hint="eastAsia"/>
                <w:szCs w:val="22"/>
              </w:rPr>
              <w:t>再</w:t>
            </w:r>
            <w:r>
              <w:rPr>
                <w:rFonts w:hint="eastAsia"/>
              </w:rPr>
              <w:t>经“一级活性炭+二级活性炭”吸附处理后通过20m高以上的排气筒（DA001）高空排放，废气收集效率以90%计，净化效率以90%计。</w:t>
            </w:r>
          </w:p>
        </w:tc>
        <w:tc>
          <w:tcPr>
            <w:tcW w:w="1080" w:type="pct"/>
            <w:tcBorders>
              <w:right w:val="single" w:color="auto" w:sz="12" w:space="0"/>
            </w:tcBorders>
            <w:vAlign w:val="center"/>
          </w:tcPr>
          <w:p>
            <w:pPr>
              <w:pStyle w:val="47"/>
              <w:jc w:val="left"/>
            </w:pPr>
            <w:r>
              <w:rPr>
                <w:rFonts w:hint="eastAsia"/>
              </w:rPr>
              <w:t>非甲烷总烃排放浓度达到《工业涂装工序大气污染物排放标准》（DB33/2146-2018）中表1规定的大气污染物排放限值。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9" w:type="pct"/>
            <w:vMerge w:val="restart"/>
            <w:tcBorders>
              <w:left w:val="single" w:color="auto" w:sz="12" w:space="0"/>
            </w:tcBorders>
            <w:vAlign w:val="center"/>
          </w:tcPr>
          <w:p>
            <w:pPr>
              <w:snapToGrid w:val="0"/>
              <w:spacing w:line="240" w:lineRule="auto"/>
              <w:ind w:firstLine="0" w:firstLineChars="0"/>
              <w:jc w:val="center"/>
              <w:rPr>
                <w:b/>
                <w:sz w:val="21"/>
                <w:szCs w:val="21"/>
              </w:rPr>
            </w:pPr>
            <w:r>
              <w:rPr>
                <w:b/>
                <w:sz w:val="21"/>
                <w:szCs w:val="21"/>
              </w:rPr>
              <w:t>固</w:t>
            </w:r>
          </w:p>
          <w:p>
            <w:pPr>
              <w:snapToGrid w:val="0"/>
              <w:spacing w:line="240" w:lineRule="auto"/>
              <w:ind w:firstLine="0" w:firstLineChars="0"/>
              <w:jc w:val="center"/>
              <w:rPr>
                <w:b/>
                <w:sz w:val="21"/>
                <w:szCs w:val="21"/>
              </w:rPr>
            </w:pPr>
            <w:r>
              <w:rPr>
                <w:b/>
                <w:sz w:val="21"/>
                <w:szCs w:val="21"/>
              </w:rPr>
              <w:t>体</w:t>
            </w:r>
          </w:p>
          <w:p>
            <w:pPr>
              <w:snapToGrid w:val="0"/>
              <w:spacing w:line="240" w:lineRule="auto"/>
              <w:ind w:firstLine="0" w:firstLineChars="0"/>
              <w:jc w:val="center"/>
              <w:rPr>
                <w:b/>
                <w:sz w:val="21"/>
                <w:szCs w:val="21"/>
              </w:rPr>
            </w:pPr>
            <w:r>
              <w:rPr>
                <w:b/>
                <w:sz w:val="21"/>
                <w:szCs w:val="21"/>
              </w:rPr>
              <w:t>废</w:t>
            </w:r>
          </w:p>
          <w:p>
            <w:pPr>
              <w:snapToGrid w:val="0"/>
              <w:spacing w:line="240" w:lineRule="auto"/>
              <w:ind w:firstLine="0" w:firstLineChars="0"/>
              <w:jc w:val="center"/>
              <w:rPr>
                <w:b/>
                <w:sz w:val="21"/>
                <w:szCs w:val="21"/>
              </w:rPr>
            </w:pPr>
            <w:r>
              <w:rPr>
                <w:b/>
                <w:sz w:val="21"/>
                <w:szCs w:val="21"/>
              </w:rPr>
              <w:t>物</w:t>
            </w:r>
          </w:p>
        </w:tc>
        <w:tc>
          <w:tcPr>
            <w:tcW w:w="879" w:type="pct"/>
            <w:vAlign w:val="center"/>
          </w:tcPr>
          <w:p>
            <w:pPr>
              <w:pStyle w:val="47"/>
            </w:pPr>
            <w:r>
              <w:t>原料使用</w:t>
            </w:r>
          </w:p>
        </w:tc>
        <w:tc>
          <w:tcPr>
            <w:tcW w:w="796" w:type="pct"/>
            <w:vAlign w:val="center"/>
          </w:tcPr>
          <w:p>
            <w:pPr>
              <w:pStyle w:val="47"/>
            </w:pPr>
            <w:r>
              <w:t>一般包装材料</w:t>
            </w:r>
          </w:p>
        </w:tc>
        <w:tc>
          <w:tcPr>
            <w:tcW w:w="1784" w:type="pct"/>
            <w:vMerge w:val="restart"/>
            <w:vAlign w:val="center"/>
          </w:tcPr>
          <w:p>
            <w:pPr>
              <w:pStyle w:val="47"/>
              <w:jc w:val="left"/>
            </w:pPr>
            <w:r>
              <w:t>收集后外售综合利用。</w:t>
            </w:r>
          </w:p>
        </w:tc>
        <w:tc>
          <w:tcPr>
            <w:tcW w:w="1080" w:type="pct"/>
            <w:vMerge w:val="restart"/>
            <w:tcBorders>
              <w:right w:val="single" w:color="auto" w:sz="12" w:space="0"/>
            </w:tcBorders>
            <w:vAlign w:val="center"/>
          </w:tcPr>
          <w:p>
            <w:pPr>
              <w:pStyle w:val="47"/>
              <w:jc w:val="left"/>
            </w:pPr>
            <w:r>
              <w:t>资源化、减量化或无害化。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9" w:type="pct"/>
            <w:vMerge w:val="continue"/>
            <w:tcBorders>
              <w:left w:val="single" w:color="auto" w:sz="12" w:space="0"/>
            </w:tcBorders>
            <w:vAlign w:val="center"/>
          </w:tcPr>
          <w:p>
            <w:pPr>
              <w:snapToGrid w:val="0"/>
              <w:spacing w:line="240" w:lineRule="auto"/>
              <w:ind w:firstLine="0" w:firstLineChars="0"/>
              <w:jc w:val="center"/>
              <w:rPr>
                <w:b/>
                <w:sz w:val="21"/>
                <w:szCs w:val="21"/>
              </w:rPr>
            </w:pPr>
          </w:p>
        </w:tc>
        <w:tc>
          <w:tcPr>
            <w:tcW w:w="879" w:type="pct"/>
            <w:vAlign w:val="center"/>
          </w:tcPr>
          <w:p>
            <w:pPr>
              <w:pStyle w:val="47"/>
            </w:pPr>
            <w:r>
              <w:rPr>
                <w:rFonts w:hint="eastAsia"/>
              </w:rPr>
              <w:t>下料、粗车、普铣、精车、打孔、攻丝</w:t>
            </w:r>
          </w:p>
        </w:tc>
        <w:tc>
          <w:tcPr>
            <w:tcW w:w="796" w:type="pct"/>
            <w:vAlign w:val="center"/>
          </w:tcPr>
          <w:p>
            <w:pPr>
              <w:pStyle w:val="47"/>
            </w:pPr>
            <w:r>
              <w:rPr>
                <w:rFonts w:hint="eastAsia"/>
              </w:rPr>
              <w:t>金属边角料</w:t>
            </w:r>
          </w:p>
        </w:tc>
        <w:tc>
          <w:tcPr>
            <w:tcW w:w="1784" w:type="pct"/>
            <w:vMerge w:val="continue"/>
            <w:vAlign w:val="center"/>
          </w:tcPr>
          <w:p>
            <w:pPr>
              <w:pStyle w:val="47"/>
              <w:jc w:val="left"/>
            </w:pPr>
          </w:p>
        </w:tc>
        <w:tc>
          <w:tcPr>
            <w:tcW w:w="1080" w:type="pct"/>
            <w:vMerge w:val="continue"/>
            <w:tcBorders>
              <w:right w:val="single" w:color="auto" w:sz="12" w:space="0"/>
            </w:tcBorders>
            <w:vAlign w:val="center"/>
          </w:tcPr>
          <w:p>
            <w:pPr>
              <w:pStyle w:val="47"/>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9" w:type="pct"/>
            <w:vMerge w:val="continue"/>
            <w:tcBorders>
              <w:left w:val="single" w:color="auto" w:sz="12" w:space="0"/>
            </w:tcBorders>
            <w:vAlign w:val="center"/>
          </w:tcPr>
          <w:p>
            <w:pPr>
              <w:snapToGrid w:val="0"/>
              <w:spacing w:line="240" w:lineRule="auto"/>
              <w:ind w:firstLine="0" w:firstLineChars="0"/>
              <w:jc w:val="center"/>
              <w:rPr>
                <w:b/>
                <w:sz w:val="21"/>
                <w:szCs w:val="21"/>
              </w:rPr>
            </w:pPr>
          </w:p>
        </w:tc>
        <w:tc>
          <w:tcPr>
            <w:tcW w:w="879" w:type="pct"/>
            <w:vAlign w:val="center"/>
          </w:tcPr>
          <w:p>
            <w:pPr>
              <w:pStyle w:val="47"/>
            </w:pPr>
            <w:r>
              <w:t>检测</w:t>
            </w:r>
          </w:p>
        </w:tc>
        <w:tc>
          <w:tcPr>
            <w:tcW w:w="796" w:type="pct"/>
            <w:vAlign w:val="center"/>
          </w:tcPr>
          <w:p>
            <w:pPr>
              <w:pStyle w:val="47"/>
            </w:pPr>
            <w:r>
              <w:t>次品</w:t>
            </w:r>
          </w:p>
        </w:tc>
        <w:tc>
          <w:tcPr>
            <w:tcW w:w="1784" w:type="pct"/>
            <w:vMerge w:val="continue"/>
            <w:vAlign w:val="center"/>
          </w:tcPr>
          <w:p>
            <w:pPr>
              <w:pStyle w:val="47"/>
              <w:jc w:val="left"/>
            </w:pPr>
          </w:p>
        </w:tc>
        <w:tc>
          <w:tcPr>
            <w:tcW w:w="1080" w:type="pct"/>
            <w:vMerge w:val="continue"/>
            <w:tcBorders>
              <w:right w:val="single" w:color="auto" w:sz="12" w:space="0"/>
            </w:tcBorders>
            <w:vAlign w:val="center"/>
          </w:tcPr>
          <w:p>
            <w:pPr>
              <w:pStyle w:val="47"/>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9" w:type="pct"/>
            <w:vMerge w:val="continue"/>
            <w:tcBorders>
              <w:left w:val="single" w:color="auto" w:sz="12" w:space="0"/>
            </w:tcBorders>
            <w:vAlign w:val="center"/>
          </w:tcPr>
          <w:p>
            <w:pPr>
              <w:snapToGrid w:val="0"/>
              <w:spacing w:line="240" w:lineRule="auto"/>
              <w:ind w:firstLine="0" w:firstLineChars="0"/>
              <w:jc w:val="center"/>
              <w:rPr>
                <w:b/>
                <w:sz w:val="21"/>
                <w:szCs w:val="21"/>
              </w:rPr>
            </w:pPr>
          </w:p>
        </w:tc>
        <w:tc>
          <w:tcPr>
            <w:tcW w:w="879" w:type="pct"/>
            <w:vAlign w:val="center"/>
          </w:tcPr>
          <w:p>
            <w:pPr>
              <w:pStyle w:val="47"/>
            </w:pPr>
            <w:r>
              <w:rPr>
                <w:rFonts w:hint="eastAsia"/>
              </w:rPr>
              <w:t>废水处理</w:t>
            </w:r>
          </w:p>
        </w:tc>
        <w:tc>
          <w:tcPr>
            <w:tcW w:w="796" w:type="pct"/>
            <w:vAlign w:val="center"/>
          </w:tcPr>
          <w:p>
            <w:pPr>
              <w:pStyle w:val="47"/>
            </w:pPr>
            <w:r>
              <w:rPr>
                <w:rFonts w:hint="eastAsia"/>
              </w:rPr>
              <w:t>金属沉渣</w:t>
            </w:r>
          </w:p>
        </w:tc>
        <w:tc>
          <w:tcPr>
            <w:tcW w:w="1784" w:type="pct"/>
            <w:vMerge w:val="continue"/>
            <w:vAlign w:val="center"/>
          </w:tcPr>
          <w:p>
            <w:pPr>
              <w:pStyle w:val="47"/>
              <w:jc w:val="left"/>
            </w:pPr>
          </w:p>
        </w:tc>
        <w:tc>
          <w:tcPr>
            <w:tcW w:w="1080" w:type="pct"/>
            <w:vMerge w:val="continue"/>
            <w:tcBorders>
              <w:right w:val="single" w:color="auto" w:sz="12" w:space="0"/>
            </w:tcBorders>
            <w:vAlign w:val="center"/>
          </w:tcPr>
          <w:p>
            <w:pPr>
              <w:pStyle w:val="47"/>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9" w:type="pct"/>
            <w:vMerge w:val="continue"/>
            <w:tcBorders>
              <w:left w:val="single" w:color="auto" w:sz="12" w:space="0"/>
            </w:tcBorders>
            <w:vAlign w:val="center"/>
          </w:tcPr>
          <w:p>
            <w:pPr>
              <w:snapToGrid w:val="0"/>
              <w:spacing w:line="240" w:lineRule="auto"/>
              <w:ind w:firstLine="0" w:firstLineChars="0"/>
              <w:jc w:val="center"/>
              <w:rPr>
                <w:b/>
                <w:sz w:val="21"/>
                <w:szCs w:val="21"/>
              </w:rPr>
            </w:pPr>
          </w:p>
        </w:tc>
        <w:tc>
          <w:tcPr>
            <w:tcW w:w="879" w:type="pct"/>
            <w:vAlign w:val="center"/>
          </w:tcPr>
          <w:p>
            <w:pPr>
              <w:pStyle w:val="47"/>
            </w:pPr>
            <w:r>
              <w:rPr>
                <w:rFonts w:hint="eastAsia"/>
              </w:rPr>
              <w:t>废气处理</w:t>
            </w:r>
          </w:p>
        </w:tc>
        <w:tc>
          <w:tcPr>
            <w:tcW w:w="796" w:type="pct"/>
            <w:vAlign w:val="center"/>
          </w:tcPr>
          <w:p>
            <w:pPr>
              <w:pStyle w:val="47"/>
            </w:pPr>
            <w:r>
              <w:rPr>
                <w:rFonts w:hint="eastAsia"/>
              </w:rPr>
              <w:t>废滤芯</w:t>
            </w:r>
          </w:p>
        </w:tc>
        <w:tc>
          <w:tcPr>
            <w:tcW w:w="1784" w:type="pct"/>
            <w:vMerge w:val="continue"/>
            <w:vAlign w:val="center"/>
          </w:tcPr>
          <w:p>
            <w:pPr>
              <w:pStyle w:val="47"/>
              <w:jc w:val="left"/>
            </w:pPr>
          </w:p>
        </w:tc>
        <w:tc>
          <w:tcPr>
            <w:tcW w:w="1080" w:type="pct"/>
            <w:vMerge w:val="continue"/>
            <w:tcBorders>
              <w:right w:val="single" w:color="auto" w:sz="12" w:space="0"/>
            </w:tcBorders>
            <w:vAlign w:val="center"/>
          </w:tcPr>
          <w:p>
            <w:pPr>
              <w:pStyle w:val="47"/>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9" w:type="pct"/>
            <w:vMerge w:val="continue"/>
            <w:tcBorders>
              <w:left w:val="single" w:color="auto" w:sz="12" w:space="0"/>
            </w:tcBorders>
            <w:vAlign w:val="center"/>
          </w:tcPr>
          <w:p>
            <w:pPr>
              <w:snapToGrid w:val="0"/>
              <w:spacing w:line="240" w:lineRule="auto"/>
              <w:ind w:firstLine="0" w:firstLineChars="0"/>
              <w:jc w:val="center"/>
              <w:rPr>
                <w:b/>
                <w:sz w:val="21"/>
                <w:szCs w:val="21"/>
              </w:rPr>
            </w:pPr>
          </w:p>
        </w:tc>
        <w:tc>
          <w:tcPr>
            <w:tcW w:w="879" w:type="pct"/>
            <w:vAlign w:val="center"/>
          </w:tcPr>
          <w:p>
            <w:pPr>
              <w:pStyle w:val="47"/>
            </w:pPr>
            <w:r>
              <w:t>粗车、普铣、精车</w:t>
            </w:r>
          </w:p>
        </w:tc>
        <w:tc>
          <w:tcPr>
            <w:tcW w:w="796" w:type="pct"/>
            <w:vAlign w:val="center"/>
          </w:tcPr>
          <w:p>
            <w:pPr>
              <w:pStyle w:val="47"/>
            </w:pPr>
            <w:r>
              <w:t>废乳化液</w:t>
            </w:r>
          </w:p>
        </w:tc>
        <w:tc>
          <w:tcPr>
            <w:tcW w:w="1784" w:type="pct"/>
            <w:vMerge w:val="restart"/>
            <w:vAlign w:val="center"/>
          </w:tcPr>
          <w:p>
            <w:pPr>
              <w:pStyle w:val="47"/>
              <w:jc w:val="left"/>
            </w:pPr>
            <w:r>
              <w:rPr>
                <w:rFonts w:hint="eastAsia"/>
              </w:rPr>
              <w:t>收集后在厂区内危废仓库暂存，定期委托有相关危废处理资质的单位进行集中处置。</w:t>
            </w:r>
          </w:p>
        </w:tc>
        <w:tc>
          <w:tcPr>
            <w:tcW w:w="1080" w:type="pct"/>
            <w:vMerge w:val="continue"/>
            <w:tcBorders>
              <w:right w:val="single" w:color="auto" w:sz="12" w:space="0"/>
            </w:tcBorders>
            <w:vAlign w:val="center"/>
          </w:tcPr>
          <w:p>
            <w:pPr>
              <w:pStyle w:val="47"/>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9" w:type="pct"/>
            <w:vMerge w:val="continue"/>
            <w:tcBorders>
              <w:left w:val="single" w:color="auto" w:sz="12" w:space="0"/>
            </w:tcBorders>
            <w:vAlign w:val="center"/>
          </w:tcPr>
          <w:p>
            <w:pPr>
              <w:snapToGrid w:val="0"/>
              <w:spacing w:line="240" w:lineRule="auto"/>
              <w:ind w:firstLine="0" w:firstLineChars="0"/>
              <w:jc w:val="center"/>
              <w:rPr>
                <w:b/>
                <w:sz w:val="21"/>
                <w:szCs w:val="21"/>
              </w:rPr>
            </w:pPr>
          </w:p>
        </w:tc>
        <w:tc>
          <w:tcPr>
            <w:tcW w:w="879" w:type="pct"/>
            <w:vAlign w:val="center"/>
          </w:tcPr>
          <w:p>
            <w:pPr>
              <w:pStyle w:val="47"/>
            </w:pPr>
            <w:r>
              <w:rPr>
                <w:rFonts w:hint="eastAsia"/>
              </w:rPr>
              <w:t>真空浸漆</w:t>
            </w:r>
          </w:p>
        </w:tc>
        <w:tc>
          <w:tcPr>
            <w:tcW w:w="796" w:type="pct"/>
            <w:vAlign w:val="center"/>
          </w:tcPr>
          <w:p>
            <w:pPr>
              <w:pStyle w:val="47"/>
            </w:pPr>
            <w:r>
              <w:rPr>
                <w:rFonts w:hint="eastAsia"/>
              </w:rPr>
              <w:t>废漆料</w:t>
            </w:r>
          </w:p>
        </w:tc>
        <w:tc>
          <w:tcPr>
            <w:tcW w:w="1784" w:type="pct"/>
            <w:vMerge w:val="continue"/>
            <w:vAlign w:val="center"/>
          </w:tcPr>
          <w:p>
            <w:pPr>
              <w:pStyle w:val="47"/>
              <w:jc w:val="left"/>
            </w:pPr>
          </w:p>
        </w:tc>
        <w:tc>
          <w:tcPr>
            <w:tcW w:w="1080" w:type="pct"/>
            <w:vMerge w:val="continue"/>
            <w:tcBorders>
              <w:right w:val="single" w:color="auto" w:sz="12" w:space="0"/>
            </w:tcBorders>
            <w:vAlign w:val="center"/>
          </w:tcPr>
          <w:p>
            <w:pPr>
              <w:pStyle w:val="47"/>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9" w:type="pct"/>
            <w:vMerge w:val="continue"/>
            <w:tcBorders>
              <w:left w:val="single" w:color="auto" w:sz="12" w:space="0"/>
            </w:tcBorders>
            <w:vAlign w:val="center"/>
          </w:tcPr>
          <w:p>
            <w:pPr>
              <w:snapToGrid w:val="0"/>
              <w:spacing w:line="240" w:lineRule="auto"/>
              <w:ind w:firstLine="0" w:firstLineChars="0"/>
              <w:jc w:val="center"/>
              <w:rPr>
                <w:b/>
                <w:sz w:val="21"/>
                <w:szCs w:val="21"/>
              </w:rPr>
            </w:pPr>
          </w:p>
        </w:tc>
        <w:tc>
          <w:tcPr>
            <w:tcW w:w="879" w:type="pct"/>
            <w:vAlign w:val="center"/>
          </w:tcPr>
          <w:p>
            <w:pPr>
              <w:pStyle w:val="47"/>
            </w:pPr>
            <w:r>
              <w:t>乳化液</w:t>
            </w:r>
            <w:r>
              <w:rPr>
                <w:rFonts w:hint="eastAsia"/>
              </w:rPr>
              <w:t>、绝缘漆</w:t>
            </w:r>
            <w:r>
              <w:t>使用</w:t>
            </w:r>
          </w:p>
        </w:tc>
        <w:tc>
          <w:tcPr>
            <w:tcW w:w="796" w:type="pct"/>
            <w:vAlign w:val="center"/>
          </w:tcPr>
          <w:p>
            <w:pPr>
              <w:pStyle w:val="47"/>
            </w:pPr>
            <w:r>
              <w:t>废包装桶</w:t>
            </w:r>
          </w:p>
        </w:tc>
        <w:tc>
          <w:tcPr>
            <w:tcW w:w="1784" w:type="pct"/>
            <w:vMerge w:val="continue"/>
            <w:vAlign w:val="center"/>
          </w:tcPr>
          <w:p>
            <w:pPr>
              <w:pStyle w:val="47"/>
              <w:jc w:val="left"/>
            </w:pPr>
          </w:p>
        </w:tc>
        <w:tc>
          <w:tcPr>
            <w:tcW w:w="1080" w:type="pct"/>
            <w:vMerge w:val="continue"/>
            <w:tcBorders>
              <w:right w:val="single" w:color="auto" w:sz="12" w:space="0"/>
            </w:tcBorders>
            <w:vAlign w:val="center"/>
          </w:tcPr>
          <w:p>
            <w:pPr>
              <w:pStyle w:val="47"/>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9" w:type="pct"/>
            <w:vMerge w:val="continue"/>
            <w:tcBorders>
              <w:left w:val="single" w:color="auto" w:sz="12" w:space="0"/>
            </w:tcBorders>
            <w:vAlign w:val="center"/>
          </w:tcPr>
          <w:p>
            <w:pPr>
              <w:snapToGrid w:val="0"/>
              <w:spacing w:line="240" w:lineRule="auto"/>
              <w:ind w:firstLine="0" w:firstLineChars="0"/>
              <w:jc w:val="center"/>
              <w:rPr>
                <w:b/>
                <w:sz w:val="21"/>
                <w:szCs w:val="21"/>
              </w:rPr>
            </w:pPr>
          </w:p>
        </w:tc>
        <w:tc>
          <w:tcPr>
            <w:tcW w:w="879" w:type="pct"/>
            <w:vAlign w:val="center"/>
          </w:tcPr>
          <w:p>
            <w:pPr>
              <w:pStyle w:val="47"/>
            </w:pPr>
            <w:r>
              <w:rPr>
                <w:rFonts w:hint="eastAsia"/>
              </w:rPr>
              <w:t>设备保养</w:t>
            </w:r>
          </w:p>
        </w:tc>
        <w:tc>
          <w:tcPr>
            <w:tcW w:w="796" w:type="pct"/>
            <w:vAlign w:val="center"/>
          </w:tcPr>
          <w:p>
            <w:pPr>
              <w:pStyle w:val="47"/>
            </w:pPr>
            <w:r>
              <w:rPr>
                <w:rFonts w:hint="eastAsia"/>
              </w:rPr>
              <w:t>废机油</w:t>
            </w:r>
          </w:p>
        </w:tc>
        <w:tc>
          <w:tcPr>
            <w:tcW w:w="1784" w:type="pct"/>
            <w:vMerge w:val="continue"/>
            <w:vAlign w:val="center"/>
          </w:tcPr>
          <w:p>
            <w:pPr>
              <w:pStyle w:val="47"/>
              <w:jc w:val="left"/>
            </w:pPr>
          </w:p>
        </w:tc>
        <w:tc>
          <w:tcPr>
            <w:tcW w:w="1080" w:type="pct"/>
            <w:vMerge w:val="continue"/>
            <w:tcBorders>
              <w:right w:val="single" w:color="auto" w:sz="12" w:space="0"/>
            </w:tcBorders>
            <w:vAlign w:val="center"/>
          </w:tcPr>
          <w:p>
            <w:pPr>
              <w:pStyle w:val="47"/>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9" w:type="pct"/>
            <w:vMerge w:val="continue"/>
            <w:tcBorders>
              <w:left w:val="single" w:color="auto" w:sz="12" w:space="0"/>
            </w:tcBorders>
            <w:vAlign w:val="center"/>
          </w:tcPr>
          <w:p>
            <w:pPr>
              <w:snapToGrid w:val="0"/>
              <w:spacing w:line="240" w:lineRule="auto"/>
              <w:ind w:firstLine="0" w:firstLineChars="0"/>
              <w:jc w:val="center"/>
              <w:rPr>
                <w:b/>
                <w:sz w:val="21"/>
                <w:szCs w:val="21"/>
              </w:rPr>
            </w:pPr>
          </w:p>
        </w:tc>
        <w:tc>
          <w:tcPr>
            <w:tcW w:w="879" w:type="pct"/>
            <w:vAlign w:val="center"/>
          </w:tcPr>
          <w:p>
            <w:pPr>
              <w:pStyle w:val="47"/>
            </w:pPr>
            <w:r>
              <w:rPr>
                <w:rFonts w:hint="eastAsia"/>
              </w:rPr>
              <w:t>机油、液压油使用</w:t>
            </w:r>
          </w:p>
        </w:tc>
        <w:tc>
          <w:tcPr>
            <w:tcW w:w="796" w:type="pct"/>
            <w:vAlign w:val="center"/>
          </w:tcPr>
          <w:p>
            <w:pPr>
              <w:pStyle w:val="47"/>
            </w:pPr>
            <w:r>
              <w:rPr>
                <w:rFonts w:hint="eastAsia"/>
              </w:rPr>
              <w:t>废油桶</w:t>
            </w:r>
          </w:p>
        </w:tc>
        <w:tc>
          <w:tcPr>
            <w:tcW w:w="1784" w:type="pct"/>
            <w:vMerge w:val="continue"/>
            <w:vAlign w:val="center"/>
          </w:tcPr>
          <w:p>
            <w:pPr>
              <w:pStyle w:val="47"/>
              <w:jc w:val="left"/>
            </w:pPr>
          </w:p>
        </w:tc>
        <w:tc>
          <w:tcPr>
            <w:tcW w:w="1080" w:type="pct"/>
            <w:vMerge w:val="continue"/>
            <w:tcBorders>
              <w:right w:val="single" w:color="auto" w:sz="12" w:space="0"/>
            </w:tcBorders>
            <w:vAlign w:val="center"/>
          </w:tcPr>
          <w:p>
            <w:pPr>
              <w:pStyle w:val="47"/>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9" w:type="pct"/>
            <w:vMerge w:val="continue"/>
            <w:tcBorders>
              <w:left w:val="single" w:color="auto" w:sz="12" w:space="0"/>
            </w:tcBorders>
            <w:vAlign w:val="center"/>
          </w:tcPr>
          <w:p>
            <w:pPr>
              <w:snapToGrid w:val="0"/>
              <w:spacing w:line="240" w:lineRule="auto"/>
              <w:ind w:firstLine="0" w:firstLineChars="0"/>
              <w:jc w:val="center"/>
              <w:rPr>
                <w:b/>
                <w:sz w:val="21"/>
                <w:szCs w:val="21"/>
              </w:rPr>
            </w:pPr>
          </w:p>
        </w:tc>
        <w:tc>
          <w:tcPr>
            <w:tcW w:w="879" w:type="pct"/>
            <w:vAlign w:val="center"/>
          </w:tcPr>
          <w:p>
            <w:pPr>
              <w:pStyle w:val="47"/>
            </w:pPr>
            <w:r>
              <w:t>废气处理</w:t>
            </w:r>
          </w:p>
        </w:tc>
        <w:tc>
          <w:tcPr>
            <w:tcW w:w="796" w:type="pct"/>
            <w:vAlign w:val="center"/>
          </w:tcPr>
          <w:p>
            <w:pPr>
              <w:pStyle w:val="47"/>
            </w:pPr>
            <w:r>
              <w:t>废活性炭</w:t>
            </w:r>
          </w:p>
        </w:tc>
        <w:tc>
          <w:tcPr>
            <w:tcW w:w="1784" w:type="pct"/>
            <w:vMerge w:val="continue"/>
            <w:vAlign w:val="center"/>
          </w:tcPr>
          <w:p>
            <w:pPr>
              <w:pStyle w:val="47"/>
              <w:jc w:val="left"/>
            </w:pPr>
          </w:p>
        </w:tc>
        <w:tc>
          <w:tcPr>
            <w:tcW w:w="1080" w:type="pct"/>
            <w:vMerge w:val="continue"/>
            <w:tcBorders>
              <w:right w:val="single" w:color="auto" w:sz="12" w:space="0"/>
            </w:tcBorders>
            <w:vAlign w:val="center"/>
          </w:tcPr>
          <w:p>
            <w:pPr>
              <w:pStyle w:val="47"/>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9" w:type="pct"/>
            <w:vMerge w:val="continue"/>
            <w:tcBorders>
              <w:left w:val="single" w:color="auto" w:sz="12" w:space="0"/>
            </w:tcBorders>
            <w:vAlign w:val="center"/>
          </w:tcPr>
          <w:p>
            <w:pPr>
              <w:snapToGrid w:val="0"/>
              <w:spacing w:line="240" w:lineRule="auto"/>
              <w:ind w:firstLine="0" w:firstLineChars="0"/>
              <w:jc w:val="center"/>
              <w:rPr>
                <w:b/>
                <w:sz w:val="21"/>
                <w:szCs w:val="21"/>
              </w:rPr>
            </w:pPr>
          </w:p>
        </w:tc>
        <w:tc>
          <w:tcPr>
            <w:tcW w:w="879" w:type="pct"/>
            <w:vAlign w:val="center"/>
          </w:tcPr>
          <w:p>
            <w:pPr>
              <w:pStyle w:val="47"/>
            </w:pPr>
            <w:r>
              <w:rPr>
                <w:rFonts w:hint="eastAsia"/>
              </w:rPr>
              <w:t>绝缘漆使用</w:t>
            </w:r>
          </w:p>
        </w:tc>
        <w:tc>
          <w:tcPr>
            <w:tcW w:w="796" w:type="pct"/>
            <w:vAlign w:val="center"/>
          </w:tcPr>
          <w:p>
            <w:pPr>
              <w:pStyle w:val="47"/>
            </w:pPr>
            <w:r>
              <w:rPr>
                <w:rFonts w:hint="eastAsia"/>
              </w:rPr>
              <w:t>含漆废抹布和手套</w:t>
            </w:r>
          </w:p>
        </w:tc>
        <w:tc>
          <w:tcPr>
            <w:tcW w:w="1784" w:type="pct"/>
            <w:vMerge w:val="continue"/>
            <w:vAlign w:val="center"/>
          </w:tcPr>
          <w:p>
            <w:pPr>
              <w:pStyle w:val="47"/>
              <w:jc w:val="left"/>
            </w:pPr>
          </w:p>
        </w:tc>
        <w:tc>
          <w:tcPr>
            <w:tcW w:w="1080" w:type="pct"/>
            <w:vMerge w:val="continue"/>
            <w:tcBorders>
              <w:right w:val="single" w:color="auto" w:sz="12" w:space="0"/>
            </w:tcBorders>
            <w:vAlign w:val="center"/>
          </w:tcPr>
          <w:p>
            <w:pPr>
              <w:pStyle w:val="47"/>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9" w:type="pct"/>
            <w:vMerge w:val="continue"/>
            <w:tcBorders>
              <w:left w:val="single" w:color="auto" w:sz="12" w:space="0"/>
            </w:tcBorders>
            <w:vAlign w:val="center"/>
          </w:tcPr>
          <w:p>
            <w:pPr>
              <w:snapToGrid w:val="0"/>
              <w:spacing w:line="240" w:lineRule="auto"/>
              <w:ind w:firstLine="0" w:firstLineChars="0"/>
              <w:jc w:val="center"/>
              <w:rPr>
                <w:b/>
                <w:sz w:val="21"/>
                <w:szCs w:val="21"/>
              </w:rPr>
            </w:pPr>
          </w:p>
        </w:tc>
        <w:tc>
          <w:tcPr>
            <w:tcW w:w="879" w:type="pct"/>
            <w:vAlign w:val="center"/>
          </w:tcPr>
          <w:p>
            <w:pPr>
              <w:pStyle w:val="47"/>
            </w:pPr>
            <w:r>
              <w:rPr>
                <w:rFonts w:hint="eastAsia"/>
              </w:rPr>
              <w:t>设备保养</w:t>
            </w:r>
          </w:p>
        </w:tc>
        <w:tc>
          <w:tcPr>
            <w:tcW w:w="796" w:type="pct"/>
            <w:vAlign w:val="center"/>
          </w:tcPr>
          <w:p>
            <w:pPr>
              <w:pStyle w:val="47"/>
            </w:pPr>
            <w:r>
              <w:rPr>
                <w:rFonts w:hint="eastAsia"/>
              </w:rPr>
              <w:t>含油废抹布和手套</w:t>
            </w:r>
          </w:p>
        </w:tc>
        <w:tc>
          <w:tcPr>
            <w:tcW w:w="1784" w:type="pct"/>
            <w:vMerge w:val="restart"/>
            <w:vAlign w:val="center"/>
          </w:tcPr>
          <w:p>
            <w:pPr>
              <w:pStyle w:val="47"/>
              <w:jc w:val="left"/>
            </w:pPr>
            <w:r>
              <w:t>环卫部门</w:t>
            </w:r>
            <w:r>
              <w:rPr>
                <w:rFonts w:hint="eastAsia"/>
              </w:rPr>
              <w:t>统一</w:t>
            </w:r>
            <w:r>
              <w:t>清运。</w:t>
            </w:r>
          </w:p>
        </w:tc>
        <w:tc>
          <w:tcPr>
            <w:tcW w:w="1080" w:type="pct"/>
            <w:vMerge w:val="continue"/>
            <w:tcBorders>
              <w:right w:val="single" w:color="auto" w:sz="12" w:space="0"/>
            </w:tcBorders>
            <w:vAlign w:val="center"/>
          </w:tcPr>
          <w:p>
            <w:pPr>
              <w:pStyle w:val="47"/>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9" w:type="pct"/>
            <w:vMerge w:val="continue"/>
            <w:tcBorders>
              <w:left w:val="single" w:color="auto" w:sz="12" w:space="0"/>
            </w:tcBorders>
            <w:vAlign w:val="center"/>
          </w:tcPr>
          <w:p>
            <w:pPr>
              <w:snapToGrid w:val="0"/>
              <w:spacing w:line="240" w:lineRule="auto"/>
              <w:ind w:firstLine="0" w:firstLineChars="0"/>
              <w:jc w:val="center"/>
              <w:rPr>
                <w:b/>
                <w:sz w:val="21"/>
                <w:szCs w:val="21"/>
              </w:rPr>
            </w:pPr>
          </w:p>
        </w:tc>
        <w:tc>
          <w:tcPr>
            <w:tcW w:w="879" w:type="pct"/>
            <w:vAlign w:val="center"/>
          </w:tcPr>
          <w:p>
            <w:pPr>
              <w:pStyle w:val="47"/>
            </w:pPr>
            <w:r>
              <w:t>职工生活</w:t>
            </w:r>
          </w:p>
        </w:tc>
        <w:tc>
          <w:tcPr>
            <w:tcW w:w="796" w:type="pct"/>
            <w:vAlign w:val="center"/>
          </w:tcPr>
          <w:p>
            <w:pPr>
              <w:pStyle w:val="47"/>
            </w:pPr>
            <w:r>
              <w:t>生活垃圾</w:t>
            </w:r>
          </w:p>
        </w:tc>
        <w:tc>
          <w:tcPr>
            <w:tcW w:w="1784" w:type="pct"/>
            <w:vMerge w:val="continue"/>
            <w:vAlign w:val="center"/>
          </w:tcPr>
          <w:p>
            <w:pPr>
              <w:pStyle w:val="47"/>
              <w:jc w:val="left"/>
            </w:pPr>
          </w:p>
        </w:tc>
        <w:tc>
          <w:tcPr>
            <w:tcW w:w="1080" w:type="pct"/>
            <w:vMerge w:val="continue"/>
            <w:tcBorders>
              <w:right w:val="single" w:color="auto" w:sz="12" w:space="0"/>
            </w:tcBorders>
            <w:vAlign w:val="center"/>
          </w:tcPr>
          <w:p>
            <w:pPr>
              <w:pStyle w:val="47"/>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8" w:hRule="atLeast"/>
          <w:jc w:val="center"/>
        </w:trPr>
        <w:tc>
          <w:tcPr>
            <w:tcW w:w="459" w:type="pct"/>
            <w:tcBorders>
              <w:left w:val="single" w:color="auto" w:sz="12" w:space="0"/>
            </w:tcBorders>
            <w:vAlign w:val="center"/>
          </w:tcPr>
          <w:p>
            <w:pPr>
              <w:snapToGrid w:val="0"/>
              <w:spacing w:line="240" w:lineRule="auto"/>
              <w:ind w:firstLine="0" w:firstLineChars="0"/>
              <w:jc w:val="center"/>
              <w:rPr>
                <w:b/>
                <w:sz w:val="21"/>
                <w:szCs w:val="21"/>
              </w:rPr>
            </w:pPr>
            <w:r>
              <w:rPr>
                <w:b/>
                <w:sz w:val="21"/>
                <w:szCs w:val="21"/>
              </w:rPr>
              <w:t>噪</w:t>
            </w:r>
          </w:p>
          <w:p>
            <w:pPr>
              <w:snapToGrid w:val="0"/>
              <w:spacing w:line="240" w:lineRule="auto"/>
              <w:ind w:firstLine="0" w:firstLineChars="0"/>
              <w:jc w:val="center"/>
              <w:rPr>
                <w:b/>
                <w:sz w:val="21"/>
                <w:szCs w:val="21"/>
              </w:rPr>
            </w:pPr>
            <w:r>
              <w:rPr>
                <w:b/>
                <w:sz w:val="21"/>
                <w:szCs w:val="21"/>
              </w:rPr>
              <w:t>声</w:t>
            </w:r>
          </w:p>
        </w:tc>
        <w:tc>
          <w:tcPr>
            <w:tcW w:w="879" w:type="pct"/>
            <w:vAlign w:val="center"/>
          </w:tcPr>
          <w:p>
            <w:pPr>
              <w:pStyle w:val="47"/>
            </w:pPr>
            <w:r>
              <w:t>生产设备</w:t>
            </w:r>
          </w:p>
        </w:tc>
        <w:tc>
          <w:tcPr>
            <w:tcW w:w="796" w:type="pct"/>
            <w:vAlign w:val="center"/>
          </w:tcPr>
          <w:p>
            <w:pPr>
              <w:pStyle w:val="47"/>
            </w:pPr>
            <w:r>
              <w:t>噪声</w:t>
            </w:r>
          </w:p>
        </w:tc>
        <w:tc>
          <w:tcPr>
            <w:tcW w:w="1784" w:type="pct"/>
            <w:vAlign w:val="center"/>
          </w:tcPr>
          <w:p>
            <w:pPr>
              <w:pStyle w:val="47"/>
              <w:jc w:val="left"/>
            </w:pPr>
            <w:r>
              <w:t>对强声源设备采用防震、消声、隔音等降噪措施</w:t>
            </w:r>
            <w:r>
              <w:rPr>
                <w:rFonts w:hint="eastAsia"/>
              </w:rPr>
              <w:t>，</w:t>
            </w:r>
            <w:r>
              <w:t>生产车间</w:t>
            </w:r>
            <w:r>
              <w:rPr>
                <w:rFonts w:hint="eastAsia"/>
              </w:rPr>
              <w:t>南、北侧墙壁上</w:t>
            </w:r>
            <w:r>
              <w:t>设置</w:t>
            </w:r>
            <w:r>
              <w:rPr>
                <w:rFonts w:hint="eastAsia"/>
              </w:rPr>
              <w:t>双层中空</w:t>
            </w:r>
            <w:r>
              <w:t>隔声窗户，确保生产车间</w:t>
            </w:r>
            <w:r>
              <w:rPr>
                <w:rFonts w:hint="eastAsia"/>
              </w:rPr>
              <w:t>南、北侧</w:t>
            </w:r>
            <w:r>
              <w:t>隔声量大于</w:t>
            </w:r>
            <w:r>
              <w:rPr>
                <w:rFonts w:hint="eastAsia"/>
              </w:rPr>
              <w:t>25</w:t>
            </w:r>
            <w:r>
              <w:t>dB，</w:t>
            </w:r>
            <w:r>
              <w:rPr>
                <w:rFonts w:hint="eastAsia"/>
              </w:rPr>
              <w:t>东侧墙壁上设置隔声窗户，隔声量大于20dB</w:t>
            </w:r>
            <w:r>
              <w:t>；加强生产设备的维修保养，发现设备有异常声音应及时维修；加强厂区绿化。</w:t>
            </w:r>
          </w:p>
        </w:tc>
        <w:tc>
          <w:tcPr>
            <w:tcW w:w="1080" w:type="pct"/>
            <w:tcBorders>
              <w:right w:val="single" w:color="auto" w:sz="12" w:space="0"/>
            </w:tcBorders>
            <w:vAlign w:val="center"/>
          </w:tcPr>
          <w:p>
            <w:pPr>
              <w:pStyle w:val="47"/>
              <w:jc w:val="left"/>
            </w:pPr>
            <w:r>
              <w:t>厂界四周昼间噪声达到《工业企业厂界环境噪声排放标准》（GB12348-2008）中的3类标准</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3" w:hRule="atLeast"/>
          <w:jc w:val="center"/>
        </w:trPr>
        <w:tc>
          <w:tcPr>
            <w:tcW w:w="459" w:type="pct"/>
            <w:tcBorders>
              <w:left w:val="single" w:color="auto" w:sz="12" w:space="0"/>
              <w:bottom w:val="single" w:color="auto" w:sz="12" w:space="0"/>
            </w:tcBorders>
            <w:vAlign w:val="center"/>
          </w:tcPr>
          <w:p>
            <w:pPr>
              <w:spacing w:line="240" w:lineRule="auto"/>
              <w:ind w:firstLine="0" w:firstLineChars="0"/>
              <w:jc w:val="center"/>
              <w:rPr>
                <w:b/>
                <w:sz w:val="21"/>
                <w:szCs w:val="21"/>
              </w:rPr>
            </w:pPr>
            <w:r>
              <w:rPr>
                <w:b/>
                <w:sz w:val="21"/>
                <w:szCs w:val="21"/>
              </w:rPr>
              <w:t>其</w:t>
            </w:r>
          </w:p>
          <w:p>
            <w:pPr>
              <w:spacing w:line="240" w:lineRule="auto"/>
              <w:ind w:firstLine="0" w:firstLineChars="0"/>
              <w:jc w:val="center"/>
              <w:rPr>
                <w:b/>
                <w:sz w:val="21"/>
                <w:szCs w:val="21"/>
              </w:rPr>
            </w:pPr>
            <w:r>
              <w:rPr>
                <w:b/>
                <w:sz w:val="21"/>
                <w:szCs w:val="21"/>
              </w:rPr>
              <w:t>他</w:t>
            </w:r>
          </w:p>
        </w:tc>
        <w:tc>
          <w:tcPr>
            <w:tcW w:w="4540" w:type="pct"/>
            <w:gridSpan w:val="4"/>
            <w:tcBorders>
              <w:bottom w:val="single" w:color="auto" w:sz="12" w:space="0"/>
              <w:right w:val="single" w:color="auto" w:sz="12" w:space="0"/>
            </w:tcBorders>
            <w:vAlign w:val="center"/>
          </w:tcPr>
          <w:p>
            <w:pPr>
              <w:pStyle w:val="47"/>
            </w:pPr>
            <w: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000" w:type="pct"/>
            <w:gridSpan w:val="5"/>
            <w:tcBorders>
              <w:left w:val="single" w:color="auto" w:sz="12" w:space="0"/>
              <w:bottom w:val="single" w:color="auto" w:sz="12" w:space="0"/>
              <w:right w:val="single" w:color="auto" w:sz="12" w:space="0"/>
            </w:tcBorders>
            <w:vAlign w:val="center"/>
          </w:tcPr>
          <w:p>
            <w:pPr>
              <w:spacing w:before="120" w:beforeLines="50"/>
              <w:ind w:firstLine="0" w:firstLineChars="0"/>
              <w:rPr>
                <w:b/>
                <w:bCs/>
                <w:sz w:val="28"/>
                <w:szCs w:val="28"/>
              </w:rPr>
            </w:pPr>
            <w:r>
              <w:rPr>
                <w:b/>
                <w:bCs/>
                <w:sz w:val="28"/>
                <w:szCs w:val="28"/>
              </w:rPr>
              <w:t>生态保护措施及预期效果：</w:t>
            </w:r>
          </w:p>
          <w:p>
            <w:pPr>
              <w:ind w:firstLine="480"/>
            </w:pPr>
            <w:r>
              <w:t>运营期产生的废水、废气等污染物均处理达标排放，固体废弃物作资源化和无害化处理，加强厂区及其厂界周围环境绿化，绿化以树、灌、草相结合的形式，起到降低噪声、吸附尘粒、净化空气的作用，同时防止水土流失。</w:t>
            </w:r>
          </w:p>
          <w:p>
            <w:pPr>
              <w:pStyle w:val="5"/>
              <w:rPr>
                <w:kern w:val="2"/>
              </w:rPr>
            </w:pPr>
            <w:r>
              <w:rPr>
                <w:kern w:val="2"/>
              </w:rPr>
              <w:t>环保投资估算：</w:t>
            </w:r>
          </w:p>
          <w:p>
            <w:pPr>
              <w:ind w:firstLine="480"/>
            </w:pPr>
            <w:r>
              <w:t>本项目所采取的污染防治措施的投资估算见表8-1。</w:t>
            </w:r>
          </w:p>
          <w:p>
            <w:pPr>
              <w:pStyle w:val="46"/>
            </w:pPr>
            <w:r>
              <w:t>表8-1  环保投资估算表</w:t>
            </w:r>
          </w:p>
          <w:tbl>
            <w:tblPr>
              <w:tblStyle w:val="34"/>
              <w:tblW w:w="48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2"/>
              <w:gridCol w:w="1986"/>
              <w:gridCol w:w="1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4" w:type="pct"/>
                  <w:tcBorders>
                    <w:top w:val="single" w:color="auto" w:sz="4" w:space="0"/>
                    <w:left w:val="single" w:color="auto" w:sz="4" w:space="0"/>
                    <w:bottom w:val="single" w:color="auto" w:sz="4" w:space="0"/>
                    <w:right w:val="single" w:color="auto" w:sz="4" w:space="0"/>
                  </w:tcBorders>
                  <w:vAlign w:val="center"/>
                </w:tcPr>
                <w:p>
                  <w:pPr>
                    <w:pStyle w:val="46"/>
                  </w:pPr>
                  <w:r>
                    <w:t>项目</w:t>
                  </w:r>
                </w:p>
              </w:tc>
              <w:tc>
                <w:tcPr>
                  <w:tcW w:w="1166" w:type="pct"/>
                  <w:tcBorders>
                    <w:top w:val="single" w:color="auto" w:sz="4" w:space="0"/>
                    <w:left w:val="single" w:color="auto" w:sz="4" w:space="0"/>
                    <w:bottom w:val="single" w:color="auto" w:sz="4" w:space="0"/>
                    <w:right w:val="single" w:color="auto" w:sz="4" w:space="0"/>
                  </w:tcBorders>
                  <w:vAlign w:val="center"/>
                </w:tcPr>
                <w:p>
                  <w:pPr>
                    <w:pStyle w:val="46"/>
                  </w:pPr>
                  <w:r>
                    <w:t>单位</w:t>
                  </w:r>
                </w:p>
              </w:tc>
              <w:tc>
                <w:tcPr>
                  <w:tcW w:w="1048" w:type="pct"/>
                  <w:tcBorders>
                    <w:top w:val="single" w:color="auto" w:sz="4" w:space="0"/>
                    <w:left w:val="single" w:color="auto" w:sz="4" w:space="0"/>
                    <w:bottom w:val="single" w:color="auto" w:sz="4" w:space="0"/>
                    <w:right w:val="single" w:color="auto" w:sz="4" w:space="0"/>
                  </w:tcBorders>
                  <w:vAlign w:val="center"/>
                </w:tcPr>
                <w:p>
                  <w:pPr>
                    <w:pStyle w:val="46"/>
                  </w:pPr>
                  <w:r>
                    <w:t>投资额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4" w:type="pct"/>
                  <w:tcBorders>
                    <w:top w:val="single" w:color="auto" w:sz="4" w:space="0"/>
                    <w:left w:val="single" w:color="auto" w:sz="4" w:space="0"/>
                    <w:bottom w:val="single" w:color="auto" w:sz="4" w:space="0"/>
                    <w:right w:val="single" w:color="auto" w:sz="4" w:space="0"/>
                  </w:tcBorders>
                  <w:vAlign w:val="center"/>
                </w:tcPr>
                <w:p>
                  <w:pPr>
                    <w:pStyle w:val="47"/>
                  </w:pPr>
                  <w:r>
                    <w:t>绿化费用</w:t>
                  </w:r>
                </w:p>
              </w:tc>
              <w:tc>
                <w:tcPr>
                  <w:tcW w:w="1166" w:type="pct"/>
                  <w:tcBorders>
                    <w:top w:val="single" w:color="auto" w:sz="4" w:space="0"/>
                    <w:left w:val="single" w:color="auto" w:sz="4" w:space="0"/>
                    <w:bottom w:val="single" w:color="auto" w:sz="4" w:space="0"/>
                    <w:right w:val="single" w:color="auto" w:sz="4" w:space="0"/>
                  </w:tcBorders>
                  <w:vAlign w:val="center"/>
                </w:tcPr>
                <w:p>
                  <w:pPr>
                    <w:pStyle w:val="47"/>
                  </w:pPr>
                  <w:r>
                    <w:t>万元</w:t>
                  </w:r>
                </w:p>
              </w:tc>
              <w:tc>
                <w:tcPr>
                  <w:tcW w:w="1048"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4" w:type="pct"/>
                  <w:tcBorders>
                    <w:top w:val="single" w:color="auto" w:sz="4" w:space="0"/>
                    <w:left w:val="single" w:color="auto" w:sz="4" w:space="0"/>
                    <w:bottom w:val="single" w:color="auto" w:sz="4" w:space="0"/>
                    <w:right w:val="single" w:color="auto" w:sz="4" w:space="0"/>
                  </w:tcBorders>
                  <w:vAlign w:val="center"/>
                </w:tcPr>
                <w:p>
                  <w:pPr>
                    <w:pStyle w:val="47"/>
                  </w:pPr>
                  <w:r>
                    <w:t>噪声防治</w:t>
                  </w:r>
                </w:p>
              </w:tc>
              <w:tc>
                <w:tcPr>
                  <w:tcW w:w="1166" w:type="pct"/>
                  <w:tcBorders>
                    <w:top w:val="single" w:color="auto" w:sz="4" w:space="0"/>
                    <w:left w:val="single" w:color="auto" w:sz="4" w:space="0"/>
                    <w:bottom w:val="single" w:color="auto" w:sz="4" w:space="0"/>
                    <w:right w:val="single" w:color="auto" w:sz="4" w:space="0"/>
                  </w:tcBorders>
                  <w:vAlign w:val="center"/>
                </w:tcPr>
                <w:p>
                  <w:pPr>
                    <w:pStyle w:val="47"/>
                  </w:pPr>
                  <w:r>
                    <w:t>万元</w:t>
                  </w:r>
                </w:p>
              </w:tc>
              <w:tc>
                <w:tcPr>
                  <w:tcW w:w="1048"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4" w:type="pct"/>
                  <w:tcBorders>
                    <w:top w:val="single" w:color="auto" w:sz="4" w:space="0"/>
                    <w:left w:val="single" w:color="auto" w:sz="4" w:space="0"/>
                    <w:bottom w:val="single" w:color="auto" w:sz="4" w:space="0"/>
                    <w:right w:val="single" w:color="auto" w:sz="4" w:space="0"/>
                  </w:tcBorders>
                  <w:vAlign w:val="center"/>
                </w:tcPr>
                <w:p>
                  <w:pPr>
                    <w:pStyle w:val="47"/>
                  </w:pPr>
                  <w:r>
                    <w:t>废气防治</w:t>
                  </w:r>
                </w:p>
              </w:tc>
              <w:tc>
                <w:tcPr>
                  <w:tcW w:w="1166" w:type="pct"/>
                  <w:tcBorders>
                    <w:top w:val="single" w:color="auto" w:sz="4" w:space="0"/>
                    <w:left w:val="single" w:color="auto" w:sz="4" w:space="0"/>
                    <w:bottom w:val="single" w:color="auto" w:sz="4" w:space="0"/>
                    <w:right w:val="single" w:color="auto" w:sz="4" w:space="0"/>
                  </w:tcBorders>
                  <w:vAlign w:val="center"/>
                </w:tcPr>
                <w:p>
                  <w:pPr>
                    <w:pStyle w:val="47"/>
                  </w:pPr>
                  <w:r>
                    <w:t>万元</w:t>
                  </w:r>
                </w:p>
              </w:tc>
              <w:tc>
                <w:tcPr>
                  <w:tcW w:w="1048"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4" w:type="pct"/>
                  <w:tcBorders>
                    <w:top w:val="single" w:color="auto" w:sz="4" w:space="0"/>
                    <w:left w:val="single" w:color="auto" w:sz="4" w:space="0"/>
                    <w:bottom w:val="single" w:color="auto" w:sz="4" w:space="0"/>
                    <w:right w:val="single" w:color="auto" w:sz="4" w:space="0"/>
                  </w:tcBorders>
                  <w:vAlign w:val="center"/>
                </w:tcPr>
                <w:p>
                  <w:pPr>
                    <w:pStyle w:val="47"/>
                  </w:pPr>
                  <w:r>
                    <w:t>固废处理</w:t>
                  </w:r>
                </w:p>
              </w:tc>
              <w:tc>
                <w:tcPr>
                  <w:tcW w:w="1166" w:type="pct"/>
                  <w:tcBorders>
                    <w:top w:val="single" w:color="auto" w:sz="4" w:space="0"/>
                    <w:left w:val="single" w:color="auto" w:sz="4" w:space="0"/>
                    <w:bottom w:val="single" w:color="auto" w:sz="4" w:space="0"/>
                    <w:right w:val="single" w:color="auto" w:sz="4" w:space="0"/>
                  </w:tcBorders>
                  <w:vAlign w:val="center"/>
                </w:tcPr>
                <w:p>
                  <w:pPr>
                    <w:pStyle w:val="47"/>
                  </w:pPr>
                  <w:r>
                    <w:t>万元</w:t>
                  </w:r>
                </w:p>
              </w:tc>
              <w:tc>
                <w:tcPr>
                  <w:tcW w:w="1048"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4" w:type="pct"/>
                  <w:tcBorders>
                    <w:top w:val="single" w:color="auto" w:sz="4" w:space="0"/>
                    <w:left w:val="single" w:color="auto" w:sz="4" w:space="0"/>
                    <w:bottom w:val="single" w:color="auto" w:sz="4" w:space="0"/>
                    <w:right w:val="single" w:color="auto" w:sz="4" w:space="0"/>
                  </w:tcBorders>
                  <w:vAlign w:val="center"/>
                </w:tcPr>
                <w:p>
                  <w:pPr>
                    <w:pStyle w:val="47"/>
                  </w:pPr>
                  <w:r>
                    <w:t>化粪池及入网费</w:t>
                  </w:r>
                </w:p>
              </w:tc>
              <w:tc>
                <w:tcPr>
                  <w:tcW w:w="1166" w:type="pct"/>
                  <w:tcBorders>
                    <w:top w:val="single" w:color="auto" w:sz="4" w:space="0"/>
                    <w:left w:val="single" w:color="auto" w:sz="4" w:space="0"/>
                    <w:bottom w:val="single" w:color="auto" w:sz="4" w:space="0"/>
                    <w:right w:val="single" w:color="auto" w:sz="4" w:space="0"/>
                  </w:tcBorders>
                  <w:vAlign w:val="center"/>
                </w:tcPr>
                <w:p>
                  <w:pPr>
                    <w:pStyle w:val="47"/>
                  </w:pPr>
                  <w:r>
                    <w:t>万元</w:t>
                  </w:r>
                </w:p>
              </w:tc>
              <w:tc>
                <w:tcPr>
                  <w:tcW w:w="1048"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4" w:type="pct"/>
                  <w:tcBorders>
                    <w:top w:val="single" w:color="auto" w:sz="4" w:space="0"/>
                    <w:left w:val="single" w:color="auto" w:sz="4" w:space="0"/>
                    <w:bottom w:val="single" w:color="auto" w:sz="4" w:space="0"/>
                    <w:right w:val="single" w:color="auto" w:sz="4" w:space="0"/>
                  </w:tcBorders>
                  <w:vAlign w:val="center"/>
                </w:tcPr>
                <w:p>
                  <w:pPr>
                    <w:pStyle w:val="47"/>
                  </w:pPr>
                  <w:r>
                    <w:t>总计</w:t>
                  </w:r>
                </w:p>
              </w:tc>
              <w:tc>
                <w:tcPr>
                  <w:tcW w:w="1166" w:type="pct"/>
                  <w:tcBorders>
                    <w:top w:val="single" w:color="auto" w:sz="4" w:space="0"/>
                    <w:left w:val="single" w:color="auto" w:sz="4" w:space="0"/>
                    <w:bottom w:val="single" w:color="auto" w:sz="4" w:space="0"/>
                    <w:right w:val="single" w:color="auto" w:sz="4" w:space="0"/>
                  </w:tcBorders>
                  <w:vAlign w:val="center"/>
                </w:tcPr>
                <w:p>
                  <w:pPr>
                    <w:pStyle w:val="47"/>
                  </w:pPr>
                  <w:r>
                    <w:t>万元</w:t>
                  </w:r>
                </w:p>
              </w:tc>
              <w:tc>
                <w:tcPr>
                  <w:tcW w:w="1048"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35</w:t>
                  </w:r>
                </w:p>
              </w:tc>
            </w:tr>
          </w:tbl>
          <w:p>
            <w:pPr>
              <w:ind w:firstLine="480"/>
              <w:rPr>
                <w:b/>
                <w:sz w:val="21"/>
                <w:szCs w:val="21"/>
              </w:rPr>
            </w:pPr>
            <w:r>
              <w:t>本项目的总投资为</w:t>
            </w:r>
            <w:r>
              <w:rPr>
                <w:rFonts w:hint="eastAsia"/>
              </w:rPr>
              <w:t>1014.5</w:t>
            </w:r>
            <w:r>
              <w:t>万元，环保投资约</w:t>
            </w:r>
            <w:r>
              <w:rPr>
                <w:rFonts w:hint="eastAsia"/>
              </w:rPr>
              <w:t>35</w:t>
            </w:r>
            <w:r>
              <w:t>万元，占工程项目总投资的</w:t>
            </w:r>
            <w:r>
              <w:rPr>
                <w:rFonts w:hint="eastAsia"/>
              </w:rPr>
              <w:t>3.45</w:t>
            </w:r>
            <w:r>
              <w:t>%。通过采取上述各项环境保护措施，将在很大程度上减轻和降低本项目对周围环境的各种不利影响，并有效改善该区域的美学和生态环境。</w:t>
            </w:r>
          </w:p>
          <w:p>
            <w:pPr>
              <w:snapToGrid w:val="0"/>
              <w:spacing w:line="240" w:lineRule="auto"/>
              <w:ind w:left="77" w:leftChars="32" w:right="72" w:rightChars="30" w:firstLine="480"/>
            </w:pPr>
          </w:p>
          <w:p>
            <w:pPr>
              <w:snapToGrid w:val="0"/>
              <w:ind w:firstLine="0" w:firstLineChars="0"/>
              <w:jc w:val="center"/>
              <w:rPr>
                <w:sz w:val="10"/>
                <w:szCs w:val="10"/>
              </w:rPr>
            </w:pPr>
          </w:p>
          <w:p>
            <w:pPr>
              <w:snapToGrid w:val="0"/>
              <w:ind w:firstLine="0" w:firstLineChars="0"/>
              <w:jc w:val="center"/>
              <w:rPr>
                <w:sz w:val="21"/>
                <w:szCs w:val="21"/>
              </w:rPr>
            </w:pPr>
          </w:p>
          <w:p>
            <w:pPr>
              <w:snapToGrid w:val="0"/>
              <w:ind w:firstLine="0" w:firstLineChars="0"/>
              <w:jc w:val="center"/>
              <w:rPr>
                <w:sz w:val="21"/>
                <w:szCs w:val="21"/>
              </w:rPr>
            </w:pPr>
          </w:p>
          <w:p>
            <w:pPr>
              <w:snapToGrid w:val="0"/>
              <w:ind w:firstLine="0" w:firstLineChars="0"/>
              <w:jc w:val="center"/>
              <w:rPr>
                <w:sz w:val="21"/>
                <w:szCs w:val="21"/>
              </w:rPr>
            </w:pPr>
          </w:p>
          <w:p>
            <w:pPr>
              <w:pStyle w:val="46"/>
              <w:spacing w:before="48" w:after="24"/>
            </w:pPr>
          </w:p>
          <w:p>
            <w:pPr>
              <w:pStyle w:val="46"/>
              <w:spacing w:before="48" w:after="24"/>
            </w:pPr>
          </w:p>
          <w:p>
            <w:pPr>
              <w:pStyle w:val="46"/>
              <w:spacing w:before="48" w:after="24"/>
            </w:pPr>
          </w:p>
          <w:p>
            <w:pPr>
              <w:pStyle w:val="46"/>
              <w:spacing w:before="48" w:after="24"/>
            </w:pPr>
          </w:p>
          <w:p>
            <w:pPr>
              <w:snapToGrid w:val="0"/>
              <w:ind w:firstLine="0" w:firstLineChars="0"/>
              <w:jc w:val="center"/>
              <w:rPr>
                <w:sz w:val="21"/>
                <w:szCs w:val="21"/>
              </w:rPr>
            </w:pPr>
          </w:p>
          <w:p>
            <w:pPr>
              <w:snapToGrid w:val="0"/>
              <w:ind w:firstLine="0" w:firstLineChars="0"/>
              <w:rPr>
                <w:sz w:val="21"/>
                <w:szCs w:val="21"/>
              </w:rPr>
            </w:pPr>
          </w:p>
          <w:p>
            <w:pPr>
              <w:snapToGrid w:val="0"/>
              <w:ind w:firstLine="0" w:firstLineChars="0"/>
              <w:rPr>
                <w:sz w:val="16"/>
                <w:szCs w:val="16"/>
              </w:rPr>
            </w:pPr>
          </w:p>
        </w:tc>
      </w:tr>
    </w:tbl>
    <w:p>
      <w:pPr>
        <w:pStyle w:val="4"/>
      </w:pPr>
      <w:bookmarkStart w:id="175" w:name="_Toc20641"/>
      <w:bookmarkStart w:id="176" w:name="_Toc29388600"/>
      <w:bookmarkStart w:id="177" w:name="_Toc29380649"/>
      <w:bookmarkStart w:id="178" w:name="_Toc141539320"/>
      <w:r>
        <w:t>9、结论与建议</w:t>
      </w:r>
      <w:bookmarkEnd w:id="175"/>
      <w:bookmarkEnd w:id="176"/>
      <w:bookmarkEnd w:id="177"/>
      <w:bookmarkEnd w:id="178"/>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Borders>
              <w:top w:val="single" w:color="auto" w:sz="12" w:space="0"/>
              <w:left w:val="single" w:color="auto" w:sz="12" w:space="0"/>
              <w:bottom w:val="single" w:color="auto" w:sz="12" w:space="0"/>
              <w:right w:val="single" w:color="auto" w:sz="12" w:space="0"/>
            </w:tcBorders>
          </w:tcPr>
          <w:p>
            <w:pPr>
              <w:pStyle w:val="5"/>
            </w:pPr>
            <w:bookmarkStart w:id="179" w:name="_Toc29388601"/>
            <w:bookmarkStart w:id="180" w:name="_Toc29380650"/>
            <w:r>
              <w:t>9.1结论</w:t>
            </w:r>
            <w:bookmarkEnd w:id="179"/>
            <w:bookmarkEnd w:id="180"/>
          </w:p>
          <w:p>
            <w:pPr>
              <w:pStyle w:val="6"/>
              <w:rPr>
                <w:kern w:val="2"/>
              </w:rPr>
            </w:pPr>
            <w:bookmarkStart w:id="181" w:name="_Toc29388602"/>
            <w:bookmarkStart w:id="182" w:name="_Toc29380651"/>
            <w:r>
              <w:rPr>
                <w:kern w:val="2"/>
              </w:rPr>
              <w:t>9.1.1项目概况</w:t>
            </w:r>
            <w:bookmarkEnd w:id="181"/>
            <w:bookmarkEnd w:id="182"/>
          </w:p>
          <w:p>
            <w:pPr>
              <w:ind w:firstLine="480"/>
            </w:pPr>
            <w:bookmarkStart w:id="183" w:name="_Toc29380652"/>
            <w:bookmarkStart w:id="184" w:name="_Toc29388603"/>
            <w:r>
              <w:t>嘉兴鸿博机电有限公司主要</w:t>
            </w:r>
            <w:r>
              <w:rPr>
                <w:rFonts w:hint="eastAsia"/>
              </w:rPr>
              <w:t>从事精密配件、后倾离心风机的生产</w:t>
            </w:r>
            <w:r>
              <w:t>。为满足企业</w:t>
            </w:r>
            <w:r>
              <w:rPr>
                <w:rFonts w:hint="eastAsia"/>
              </w:rPr>
              <w:t>生产</w:t>
            </w:r>
            <w:r>
              <w:t>需求，现企业计划</w:t>
            </w:r>
            <w:r>
              <w:rPr>
                <w:rFonts w:hint="eastAsia"/>
              </w:rPr>
              <w:t>购置</w:t>
            </w:r>
            <w:r>
              <w:t>中节能（桐乡）环保科技有限公司位于</w:t>
            </w:r>
            <w:r>
              <w:rPr>
                <w:rFonts w:hint="eastAsia"/>
              </w:rPr>
              <w:t>桐乡市崇福镇杭福路1336号20幢1号面积为</w:t>
            </w:r>
            <w:r>
              <w:t>1542.56平方米的工业厂房，并购置加工中心2台、炮塔铣床4台、6140车床1台、平面磨床3台、数控车床3台、平面组合铣床1台、摇臂钻床3台、攻丝机2台、</w:t>
            </w:r>
            <w:r>
              <w:rPr>
                <w:rFonts w:hint="eastAsia"/>
              </w:rPr>
              <w:t>锯床1台、</w:t>
            </w:r>
            <w:r>
              <w:t>100T油压机1台、真空含浸机1台、电热烘箱1台、10T油压机1台、综合测试平台1台、定子绕线机1台、动平衡机1台、MIG焊机1台、交流氩弧焊机1台、二保焊1台等国产设备，本项目实施后形成年产30000件精密配件、15000套后倾离心风机的生产能力。桐乡市经济和信息化局于2020年1月3日出具了《浙江省工业企业“零土地”技术改造项目备案通知书》（项目代码：2020-330483-34-03-100338）对本项目完成备案。</w:t>
            </w:r>
          </w:p>
          <w:p>
            <w:pPr>
              <w:pStyle w:val="6"/>
              <w:rPr>
                <w:kern w:val="2"/>
              </w:rPr>
            </w:pPr>
            <w:r>
              <w:rPr>
                <w:kern w:val="2"/>
              </w:rPr>
              <w:t>9.1.2区域环境质量现状</w:t>
            </w:r>
            <w:bookmarkEnd w:id="183"/>
            <w:bookmarkEnd w:id="184"/>
          </w:p>
          <w:p>
            <w:pPr>
              <w:ind w:firstLine="480"/>
              <w:rPr>
                <w:bCs/>
              </w:rPr>
            </w:pPr>
            <w:r>
              <w:rPr>
                <w:bCs/>
              </w:rPr>
              <w:t>1、地表水环境</w:t>
            </w:r>
          </w:p>
          <w:p>
            <w:pPr>
              <w:widowControl/>
              <w:ind w:firstLine="480"/>
              <w:jc w:val="left"/>
            </w:pPr>
            <w:r>
              <w:t>根据《浙江省水功能区水环境功能区划分方案》（浙江省人民政府，2015年6月）划分，本项目附近水体为京杭运河</w:t>
            </w:r>
            <w:r>
              <w:rPr>
                <w:rFonts w:hint="eastAsia"/>
              </w:rPr>
              <w:t>及其支流店街塘港。</w:t>
            </w:r>
            <w:r>
              <w:t>由监测结果可知，</w:t>
            </w:r>
            <w:r>
              <w:rPr>
                <w:szCs w:val="22"/>
              </w:rPr>
              <w:t>本项目所在区域</w:t>
            </w:r>
            <w:r>
              <w:rPr>
                <w:rFonts w:hint="eastAsia"/>
                <w:szCs w:val="22"/>
              </w:rPr>
              <w:t>水体水质</w:t>
            </w:r>
            <w:r>
              <w:rPr>
                <w:rFonts w:hint="eastAsia"/>
              </w:rPr>
              <w:t>现状监测各检测指标均可达到《地表水环境质量标准》（GB3838-2002）中的</w:t>
            </w:r>
            <w:r>
              <w:t>III类</w:t>
            </w:r>
            <w:r>
              <w:rPr>
                <w:rFonts w:hint="eastAsia"/>
              </w:rPr>
              <w:t>水质标准要求</w:t>
            </w:r>
            <w:r>
              <w:t>。</w:t>
            </w:r>
          </w:p>
          <w:p>
            <w:pPr>
              <w:ind w:firstLine="480"/>
              <w:rPr>
                <w:bCs/>
              </w:rPr>
            </w:pPr>
            <w:r>
              <w:rPr>
                <w:bCs/>
              </w:rPr>
              <w:t>2、环境空气</w:t>
            </w:r>
          </w:p>
          <w:p>
            <w:pPr>
              <w:ind w:firstLine="480"/>
            </w:pPr>
            <w:r>
              <w:t>根据《2019年桐乡市环境状况公报》，2019年桐乡市区空气质量综合指数为4.08，O</w:t>
            </w:r>
            <w:r>
              <w:rPr>
                <w:vertAlign w:val="subscript"/>
              </w:rPr>
              <w:t>3</w:t>
            </w:r>
            <w:r>
              <w:t>百分位（90%）8h平均质量浓度高于《环境空气质量标准》（GB3095-2012）中的二级标准限值，项目所在区域属于非达标区。今后随着“五气共治”、“工业污染物防治专项行动”等工作的推进区域环境空气质量必将会进一步得到改善。</w:t>
            </w:r>
          </w:p>
          <w:p>
            <w:pPr>
              <w:adjustRightInd w:val="0"/>
              <w:snapToGrid w:val="0"/>
              <w:ind w:firstLine="480"/>
            </w:pPr>
            <w:r>
              <w:t>由监测结果可知，项目区域周边环境空气中非甲烷总烃浓度能够满足《大气污染物综合排放标准详解》（GB16297-1996）中的相关取值，区域环境空气质量较好。</w:t>
            </w:r>
          </w:p>
          <w:p>
            <w:pPr>
              <w:ind w:firstLine="480"/>
              <w:rPr>
                <w:bCs/>
              </w:rPr>
            </w:pPr>
            <w:r>
              <w:rPr>
                <w:bCs/>
              </w:rPr>
              <w:t>3、声环境</w:t>
            </w:r>
          </w:p>
          <w:p>
            <w:pPr>
              <w:ind w:firstLine="480"/>
            </w:pPr>
            <w:bookmarkStart w:id="185" w:name="_Toc29388605"/>
            <w:bookmarkStart w:id="186" w:name="_Toc29380654"/>
            <w:r>
              <w:t>根据监测，本项目所在区域环境噪声质量较好，能达到《声环境质量标准》（GB3096-2008）中的相应标准</w:t>
            </w:r>
            <w:r>
              <w:rPr>
                <w:rFonts w:hint="eastAsia"/>
              </w:rPr>
              <w:t>。</w:t>
            </w:r>
          </w:p>
          <w:p>
            <w:pPr>
              <w:ind w:firstLine="480"/>
            </w:pPr>
            <w:r>
              <w:rPr>
                <w:rFonts w:hint="eastAsia"/>
              </w:rPr>
              <w:t>4、土壤环境</w:t>
            </w:r>
          </w:p>
          <w:p>
            <w:pPr>
              <w:ind w:firstLine="480"/>
            </w:pPr>
            <w:r>
              <w:t>由监测结果可知，</w:t>
            </w:r>
            <w:r>
              <w:rPr>
                <w:rFonts w:hint="eastAsia"/>
              </w:rPr>
              <w:t>本项目所在区域的建设用地</w:t>
            </w:r>
            <w:r>
              <w:t>土壤</w:t>
            </w:r>
            <w:r>
              <w:rPr>
                <w:rFonts w:hint="eastAsia"/>
              </w:rPr>
              <w:t>环境</w:t>
            </w:r>
            <w:r>
              <w:t>质量</w:t>
            </w:r>
            <w:r>
              <w:rPr>
                <w:rFonts w:hint="eastAsia"/>
              </w:rPr>
              <w:t>满足《土壤环境质量 建设用地土壤污染风险管控标准（试行）》（G</w:t>
            </w:r>
            <w:r>
              <w:t>B36600-2018</w:t>
            </w:r>
            <w:r>
              <w:rPr>
                <w:rFonts w:hint="eastAsia"/>
              </w:rPr>
              <w:t>）中表1、表2相应第二类用地筛选值的要求</w:t>
            </w:r>
            <w:r>
              <w:t>；</w:t>
            </w:r>
            <w:r>
              <w:rPr>
                <w:rFonts w:hint="eastAsia"/>
              </w:rPr>
              <w:t>本项目所在区域的农用地</w:t>
            </w:r>
            <w:r>
              <w:t>土壤</w:t>
            </w:r>
            <w:r>
              <w:rPr>
                <w:rFonts w:hint="eastAsia"/>
              </w:rPr>
              <w:t>环境</w:t>
            </w:r>
            <w:r>
              <w:t>质量</w:t>
            </w:r>
            <w:r>
              <w:rPr>
                <w:rFonts w:hint="eastAsia"/>
              </w:rPr>
              <w:t>满足《土壤环境质量 农用地土壤污染风险管控标准（试行）》（GB15618-2018）中相应风险筛选值要求，本项目所在地土壤环境质量较好</w:t>
            </w:r>
            <w:r>
              <w:t>。</w:t>
            </w:r>
          </w:p>
          <w:p>
            <w:pPr>
              <w:pStyle w:val="6"/>
              <w:rPr>
                <w:kern w:val="2"/>
              </w:rPr>
            </w:pPr>
            <w:r>
              <w:rPr>
                <w:kern w:val="2"/>
              </w:rPr>
              <w:t>9.1.3污染物排放量清单</w:t>
            </w:r>
            <w:bookmarkEnd w:id="185"/>
            <w:bookmarkEnd w:id="186"/>
          </w:p>
          <w:p>
            <w:pPr>
              <w:ind w:firstLine="480"/>
            </w:pPr>
            <w:r>
              <w:t>本项目主要污染物产生和排放清单见表9-</w:t>
            </w:r>
            <w:r>
              <w:rPr>
                <w:rFonts w:hint="eastAsia"/>
              </w:rPr>
              <w:t>1</w:t>
            </w:r>
            <w:r>
              <w:t>。</w:t>
            </w:r>
          </w:p>
          <w:p>
            <w:pPr>
              <w:pStyle w:val="46"/>
            </w:pPr>
            <w:r>
              <w:t>表9-1  本项目污染物产生排放清单  单位：t/a</w:t>
            </w:r>
          </w:p>
          <w:tbl>
            <w:tblPr>
              <w:tblStyle w:val="34"/>
              <w:tblW w:w="499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90"/>
              <w:gridCol w:w="1514"/>
              <w:gridCol w:w="2188"/>
              <w:gridCol w:w="1540"/>
              <w:gridCol w:w="1313"/>
              <w:gridCol w:w="137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jc w:val="center"/>
              </w:trPr>
              <w:tc>
                <w:tcPr>
                  <w:tcW w:w="2576" w:type="pct"/>
                  <w:gridSpan w:val="3"/>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b/>
                      <w:sz w:val="21"/>
                      <w:szCs w:val="21"/>
                    </w:rPr>
                  </w:pPr>
                  <w:r>
                    <w:rPr>
                      <w:b/>
                      <w:sz w:val="21"/>
                      <w:szCs w:val="21"/>
                    </w:rPr>
                    <w:t>污染物名称</w:t>
                  </w:r>
                </w:p>
              </w:tc>
              <w:tc>
                <w:tcPr>
                  <w:tcW w:w="88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b/>
                      <w:sz w:val="21"/>
                      <w:szCs w:val="21"/>
                    </w:rPr>
                  </w:pPr>
                  <w:r>
                    <w:rPr>
                      <w:b/>
                      <w:sz w:val="21"/>
                      <w:szCs w:val="21"/>
                    </w:rPr>
                    <w:t>产生量</w:t>
                  </w:r>
                </w:p>
              </w:tc>
              <w:tc>
                <w:tcPr>
                  <w:tcW w:w="75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b/>
                      <w:sz w:val="21"/>
                      <w:szCs w:val="21"/>
                    </w:rPr>
                  </w:pPr>
                  <w:r>
                    <w:rPr>
                      <w:b/>
                      <w:sz w:val="21"/>
                      <w:szCs w:val="21"/>
                    </w:rPr>
                    <w:t>削减量</w:t>
                  </w:r>
                </w:p>
              </w:tc>
              <w:tc>
                <w:tcPr>
                  <w:tcW w:w="786"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b/>
                      <w:sz w:val="21"/>
                      <w:szCs w:val="21"/>
                    </w:rPr>
                  </w:pPr>
                  <w:r>
                    <w:rPr>
                      <w:b/>
                      <w:sz w:val="21"/>
                      <w:szCs w:val="21"/>
                    </w:rPr>
                    <w:t>排放量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jc w:val="center"/>
              </w:trPr>
              <w:tc>
                <w:tcPr>
                  <w:tcW w:w="453" w:type="pct"/>
                  <w:vMerge w:val="restart"/>
                  <w:tcBorders>
                    <w:left w:val="single" w:color="auto" w:sz="4" w:space="0"/>
                    <w:right w:val="single" w:color="auto" w:sz="4" w:space="0"/>
                  </w:tcBorders>
                  <w:vAlign w:val="center"/>
                </w:tcPr>
                <w:p>
                  <w:pPr>
                    <w:spacing w:line="240" w:lineRule="auto"/>
                    <w:ind w:firstLine="0" w:firstLineChars="0"/>
                    <w:jc w:val="center"/>
                    <w:rPr>
                      <w:bCs/>
                      <w:sz w:val="21"/>
                      <w:szCs w:val="21"/>
                    </w:rPr>
                  </w:pPr>
                  <w:r>
                    <w:rPr>
                      <w:bCs/>
                      <w:sz w:val="21"/>
                      <w:szCs w:val="21"/>
                    </w:rPr>
                    <w:t>废水</w:t>
                  </w:r>
                </w:p>
              </w:tc>
              <w:tc>
                <w:tcPr>
                  <w:tcW w:w="868" w:type="pct"/>
                  <w:vMerge w:val="restart"/>
                  <w:tcBorders>
                    <w:top w:val="single" w:color="auto" w:sz="4" w:space="0"/>
                    <w:left w:val="single" w:color="auto" w:sz="4" w:space="0"/>
                    <w:right w:val="nil"/>
                  </w:tcBorders>
                  <w:vAlign w:val="center"/>
                </w:tcPr>
                <w:p>
                  <w:pPr>
                    <w:snapToGrid w:val="0"/>
                    <w:spacing w:line="240" w:lineRule="auto"/>
                    <w:ind w:firstLine="0" w:firstLineChars="0"/>
                    <w:jc w:val="center"/>
                    <w:rPr>
                      <w:bCs/>
                      <w:sz w:val="21"/>
                      <w:szCs w:val="21"/>
                    </w:rPr>
                  </w:pPr>
                  <w:r>
                    <w:rPr>
                      <w:bCs/>
                      <w:sz w:val="21"/>
                      <w:szCs w:val="21"/>
                    </w:rPr>
                    <w:t>职工生活</w:t>
                  </w:r>
                </w:p>
              </w:tc>
              <w:tc>
                <w:tcPr>
                  <w:tcW w:w="1255" w:type="pct"/>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bCs/>
                      <w:sz w:val="21"/>
                      <w:szCs w:val="21"/>
                    </w:rPr>
                  </w:pPr>
                  <w:r>
                    <w:rPr>
                      <w:bCs/>
                      <w:sz w:val="21"/>
                      <w:szCs w:val="21"/>
                    </w:rPr>
                    <w:t>废水量</w:t>
                  </w:r>
                </w:p>
              </w:tc>
              <w:tc>
                <w:tcPr>
                  <w:tcW w:w="88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405</w:t>
                  </w:r>
                </w:p>
              </w:tc>
              <w:tc>
                <w:tcPr>
                  <w:tcW w:w="75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w:t>
                  </w:r>
                </w:p>
              </w:tc>
              <w:tc>
                <w:tcPr>
                  <w:tcW w:w="786" w:type="pct"/>
                  <w:tcBorders>
                    <w:left w:val="single" w:color="auto" w:sz="4" w:space="0"/>
                    <w:bottom w:val="single" w:color="auto" w:sz="4" w:space="0"/>
                    <w:right w:val="single" w:color="auto" w:sz="4" w:space="0"/>
                  </w:tcBorders>
                  <w:vAlign w:val="center"/>
                </w:tcPr>
                <w:p>
                  <w:pPr>
                    <w:pStyle w:val="47"/>
                  </w:pPr>
                  <w:r>
                    <w:rPr>
                      <w:rFonts w:hint="eastAsia"/>
                    </w:rPr>
                    <w:t>405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jc w:val="center"/>
              </w:trPr>
              <w:tc>
                <w:tcPr>
                  <w:tcW w:w="453" w:type="pct"/>
                  <w:vMerge w:val="continue"/>
                  <w:tcBorders>
                    <w:left w:val="single" w:color="auto" w:sz="4" w:space="0"/>
                    <w:right w:val="single" w:color="auto" w:sz="4" w:space="0"/>
                  </w:tcBorders>
                  <w:vAlign w:val="center"/>
                </w:tcPr>
                <w:p>
                  <w:pPr>
                    <w:spacing w:line="240" w:lineRule="auto"/>
                    <w:ind w:firstLine="0" w:firstLineChars="0"/>
                    <w:jc w:val="center"/>
                    <w:rPr>
                      <w:bCs/>
                      <w:sz w:val="21"/>
                      <w:szCs w:val="21"/>
                    </w:rPr>
                  </w:pPr>
                </w:p>
              </w:tc>
              <w:tc>
                <w:tcPr>
                  <w:tcW w:w="868" w:type="pct"/>
                  <w:vMerge w:val="continue"/>
                  <w:tcBorders>
                    <w:left w:val="single" w:color="auto" w:sz="4" w:space="0"/>
                    <w:right w:val="nil"/>
                  </w:tcBorders>
                  <w:vAlign w:val="center"/>
                </w:tcPr>
                <w:p>
                  <w:pPr>
                    <w:snapToGrid w:val="0"/>
                    <w:spacing w:line="240" w:lineRule="auto"/>
                    <w:ind w:firstLine="0" w:firstLineChars="0"/>
                    <w:jc w:val="center"/>
                    <w:rPr>
                      <w:bCs/>
                      <w:sz w:val="21"/>
                      <w:szCs w:val="21"/>
                    </w:rPr>
                  </w:pPr>
                </w:p>
              </w:tc>
              <w:tc>
                <w:tcPr>
                  <w:tcW w:w="1255" w:type="pct"/>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bCs/>
                      <w:sz w:val="21"/>
                      <w:szCs w:val="21"/>
                    </w:rPr>
                  </w:pPr>
                  <w:r>
                    <w:rPr>
                      <w:bCs/>
                      <w:sz w:val="21"/>
                      <w:szCs w:val="21"/>
                    </w:rPr>
                    <w:t>COD</w:t>
                  </w:r>
                  <w:r>
                    <w:rPr>
                      <w:bCs/>
                      <w:sz w:val="21"/>
                      <w:szCs w:val="21"/>
                      <w:vertAlign w:val="subscript"/>
                    </w:rPr>
                    <w:t>Cr</w:t>
                  </w:r>
                </w:p>
              </w:tc>
              <w:tc>
                <w:tcPr>
                  <w:tcW w:w="883" w:type="pct"/>
                  <w:tcBorders>
                    <w:top w:val="single" w:color="auto" w:sz="4" w:space="0"/>
                    <w:left w:val="single" w:color="auto" w:sz="4" w:space="0"/>
                    <w:bottom w:val="single" w:color="auto" w:sz="4" w:space="0"/>
                    <w:right w:val="single" w:color="auto" w:sz="4" w:space="0"/>
                  </w:tcBorders>
                  <w:vAlign w:val="center"/>
                </w:tcPr>
                <w:p>
                  <w:pPr>
                    <w:pStyle w:val="47"/>
                  </w:pPr>
                  <w:r>
                    <w:t>0.13</w:t>
                  </w:r>
                  <w:r>
                    <w:rPr>
                      <w:rFonts w:hint="eastAsia"/>
                    </w:rPr>
                    <w:t>0</w:t>
                  </w:r>
                </w:p>
              </w:tc>
              <w:tc>
                <w:tcPr>
                  <w:tcW w:w="75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0.110</w:t>
                  </w:r>
                </w:p>
              </w:tc>
              <w:tc>
                <w:tcPr>
                  <w:tcW w:w="786" w:type="pct"/>
                  <w:tcBorders>
                    <w:left w:val="single" w:color="auto" w:sz="4" w:space="0"/>
                    <w:bottom w:val="single" w:color="auto" w:sz="4" w:space="0"/>
                    <w:right w:val="single" w:color="auto" w:sz="4" w:space="0"/>
                  </w:tcBorders>
                  <w:vAlign w:val="center"/>
                </w:tcPr>
                <w:p>
                  <w:pPr>
                    <w:pStyle w:val="47"/>
                  </w:pPr>
                  <w:r>
                    <w:rPr>
                      <w:rFonts w:hint="eastAsia"/>
                    </w:rPr>
                    <w:t>0.020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jc w:val="center"/>
              </w:trPr>
              <w:tc>
                <w:tcPr>
                  <w:tcW w:w="453" w:type="pct"/>
                  <w:vMerge w:val="continue"/>
                  <w:tcBorders>
                    <w:left w:val="single" w:color="auto" w:sz="4" w:space="0"/>
                    <w:right w:val="single" w:color="auto" w:sz="4" w:space="0"/>
                  </w:tcBorders>
                  <w:vAlign w:val="center"/>
                </w:tcPr>
                <w:p>
                  <w:pPr>
                    <w:spacing w:line="240" w:lineRule="auto"/>
                    <w:ind w:firstLine="0" w:firstLineChars="0"/>
                    <w:jc w:val="center"/>
                    <w:rPr>
                      <w:bCs/>
                      <w:sz w:val="21"/>
                      <w:szCs w:val="21"/>
                    </w:rPr>
                  </w:pPr>
                </w:p>
              </w:tc>
              <w:tc>
                <w:tcPr>
                  <w:tcW w:w="868" w:type="pct"/>
                  <w:vMerge w:val="continue"/>
                  <w:tcBorders>
                    <w:left w:val="single" w:color="auto" w:sz="4" w:space="0"/>
                    <w:bottom w:val="single" w:color="auto" w:sz="4" w:space="0"/>
                    <w:right w:val="nil"/>
                  </w:tcBorders>
                  <w:vAlign w:val="center"/>
                </w:tcPr>
                <w:p>
                  <w:pPr>
                    <w:snapToGrid w:val="0"/>
                    <w:spacing w:line="240" w:lineRule="auto"/>
                    <w:ind w:firstLine="0" w:firstLineChars="0"/>
                    <w:jc w:val="center"/>
                    <w:rPr>
                      <w:bCs/>
                      <w:sz w:val="21"/>
                      <w:szCs w:val="21"/>
                    </w:rPr>
                  </w:pPr>
                </w:p>
              </w:tc>
              <w:tc>
                <w:tcPr>
                  <w:tcW w:w="1255" w:type="pct"/>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bCs/>
                      <w:sz w:val="21"/>
                      <w:szCs w:val="21"/>
                    </w:rPr>
                  </w:pPr>
                  <w:r>
                    <w:rPr>
                      <w:bCs/>
                      <w:sz w:val="21"/>
                      <w:szCs w:val="21"/>
                    </w:rPr>
                    <w:t>NH</w:t>
                  </w:r>
                  <w:r>
                    <w:rPr>
                      <w:bCs/>
                      <w:sz w:val="21"/>
                      <w:szCs w:val="21"/>
                      <w:vertAlign w:val="subscript"/>
                    </w:rPr>
                    <w:t>3</w:t>
                  </w:r>
                  <w:r>
                    <w:rPr>
                      <w:bCs/>
                      <w:sz w:val="21"/>
                      <w:szCs w:val="21"/>
                    </w:rPr>
                    <w:t>-N</w:t>
                  </w:r>
                </w:p>
              </w:tc>
              <w:tc>
                <w:tcPr>
                  <w:tcW w:w="883" w:type="pct"/>
                  <w:tcBorders>
                    <w:top w:val="single" w:color="auto" w:sz="4" w:space="0"/>
                    <w:left w:val="single" w:color="auto" w:sz="4" w:space="0"/>
                    <w:bottom w:val="single" w:color="auto" w:sz="4" w:space="0"/>
                    <w:right w:val="single" w:color="auto" w:sz="4" w:space="0"/>
                  </w:tcBorders>
                  <w:vAlign w:val="center"/>
                </w:tcPr>
                <w:p>
                  <w:pPr>
                    <w:pStyle w:val="47"/>
                  </w:pPr>
                  <w:r>
                    <w:t>0.014</w:t>
                  </w:r>
                </w:p>
              </w:tc>
              <w:tc>
                <w:tcPr>
                  <w:tcW w:w="75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0.012</w:t>
                  </w:r>
                </w:p>
              </w:tc>
              <w:tc>
                <w:tcPr>
                  <w:tcW w:w="786" w:type="pct"/>
                  <w:tcBorders>
                    <w:left w:val="single" w:color="auto" w:sz="4" w:space="0"/>
                    <w:bottom w:val="single" w:color="auto" w:sz="4" w:space="0"/>
                    <w:right w:val="single" w:color="auto" w:sz="4" w:space="0"/>
                  </w:tcBorders>
                  <w:vAlign w:val="center"/>
                </w:tcPr>
                <w:p>
                  <w:pPr>
                    <w:pStyle w:val="47"/>
                  </w:pPr>
                  <w:r>
                    <w:rPr>
                      <w:rFonts w:hint="eastAsia"/>
                    </w:rPr>
                    <w:t>0.002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jc w:val="center"/>
              </w:trPr>
              <w:tc>
                <w:tcPr>
                  <w:tcW w:w="453" w:type="pct"/>
                  <w:vMerge w:val="restart"/>
                  <w:tcBorders>
                    <w:top w:val="single" w:color="auto" w:sz="4" w:space="0"/>
                    <w:left w:val="single" w:color="auto" w:sz="4" w:space="0"/>
                    <w:right w:val="single" w:color="auto" w:sz="4" w:space="0"/>
                  </w:tcBorders>
                  <w:vAlign w:val="center"/>
                </w:tcPr>
                <w:p>
                  <w:pPr>
                    <w:tabs>
                      <w:tab w:val="left" w:pos="2240"/>
                    </w:tabs>
                    <w:spacing w:line="240" w:lineRule="auto"/>
                    <w:ind w:firstLine="0" w:firstLineChars="0"/>
                    <w:jc w:val="center"/>
                    <w:rPr>
                      <w:bCs/>
                      <w:sz w:val="21"/>
                      <w:szCs w:val="21"/>
                    </w:rPr>
                  </w:pPr>
                  <w:r>
                    <w:rPr>
                      <w:sz w:val="21"/>
                      <w:szCs w:val="21"/>
                    </w:rPr>
                    <w:t>废气</w:t>
                  </w:r>
                </w:p>
              </w:tc>
              <w:tc>
                <w:tcPr>
                  <w:tcW w:w="868" w:type="pct"/>
                  <w:tcBorders>
                    <w:top w:val="single" w:color="auto" w:sz="4" w:space="0"/>
                    <w:left w:val="single" w:color="auto" w:sz="4" w:space="0"/>
                    <w:bottom w:val="single" w:color="auto" w:sz="4" w:space="0"/>
                    <w:right w:val="nil"/>
                  </w:tcBorders>
                  <w:vAlign w:val="center"/>
                </w:tcPr>
                <w:p>
                  <w:pPr>
                    <w:adjustRightInd w:val="0"/>
                    <w:snapToGrid w:val="0"/>
                    <w:spacing w:line="240" w:lineRule="auto"/>
                    <w:ind w:firstLine="0" w:firstLineChars="0"/>
                    <w:jc w:val="center"/>
                    <w:rPr>
                      <w:sz w:val="21"/>
                      <w:szCs w:val="21"/>
                    </w:rPr>
                  </w:pPr>
                  <w:r>
                    <w:rPr>
                      <w:rFonts w:hint="eastAsia"/>
                      <w:sz w:val="21"/>
                      <w:szCs w:val="21"/>
                    </w:rPr>
                    <w:t>焊接</w:t>
                  </w:r>
                </w:p>
              </w:tc>
              <w:tc>
                <w:tcPr>
                  <w:tcW w:w="1255" w:type="pct"/>
                  <w:tcBorders>
                    <w:top w:val="single" w:color="auto" w:sz="4" w:space="0"/>
                    <w:left w:val="single" w:color="auto" w:sz="4" w:space="0"/>
                    <w:bottom w:val="single" w:color="auto" w:sz="4" w:space="0"/>
                    <w:right w:val="nil"/>
                  </w:tcBorders>
                  <w:vAlign w:val="center"/>
                </w:tcPr>
                <w:p>
                  <w:pPr>
                    <w:adjustRightInd w:val="0"/>
                    <w:snapToGrid w:val="0"/>
                    <w:spacing w:line="240" w:lineRule="auto"/>
                    <w:ind w:firstLine="0" w:firstLineChars="0"/>
                    <w:jc w:val="center"/>
                    <w:rPr>
                      <w:sz w:val="21"/>
                      <w:szCs w:val="21"/>
                    </w:rPr>
                  </w:pPr>
                  <w:r>
                    <w:rPr>
                      <w:rFonts w:hint="eastAsia"/>
                      <w:sz w:val="21"/>
                      <w:szCs w:val="21"/>
                    </w:rPr>
                    <w:t>烟尘</w:t>
                  </w:r>
                </w:p>
              </w:tc>
              <w:tc>
                <w:tcPr>
                  <w:tcW w:w="88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0.003</w:t>
                  </w:r>
                </w:p>
              </w:tc>
              <w:tc>
                <w:tcPr>
                  <w:tcW w:w="75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0.002</w:t>
                  </w:r>
                </w:p>
              </w:tc>
              <w:tc>
                <w:tcPr>
                  <w:tcW w:w="786" w:type="pct"/>
                  <w:tcBorders>
                    <w:left w:val="single" w:color="auto" w:sz="4" w:space="0"/>
                    <w:bottom w:val="single" w:color="auto" w:sz="4" w:space="0"/>
                    <w:right w:val="single" w:color="auto" w:sz="4" w:space="0"/>
                  </w:tcBorders>
                  <w:vAlign w:val="center"/>
                </w:tcPr>
                <w:p>
                  <w:pPr>
                    <w:pStyle w:val="47"/>
                  </w:pPr>
                  <w:r>
                    <w:rPr>
                      <w:rFonts w:hint="eastAsia"/>
                    </w:rPr>
                    <w:t>0.001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jc w:val="center"/>
              </w:trPr>
              <w:tc>
                <w:tcPr>
                  <w:tcW w:w="453" w:type="pct"/>
                  <w:vMerge w:val="continue"/>
                  <w:tcBorders>
                    <w:left w:val="single" w:color="auto" w:sz="4" w:space="0"/>
                    <w:right w:val="single" w:color="auto" w:sz="4" w:space="0"/>
                  </w:tcBorders>
                  <w:vAlign w:val="center"/>
                </w:tcPr>
                <w:p>
                  <w:pPr>
                    <w:tabs>
                      <w:tab w:val="left" w:pos="2240"/>
                    </w:tabs>
                    <w:spacing w:line="240" w:lineRule="auto"/>
                    <w:ind w:firstLine="0" w:firstLineChars="0"/>
                    <w:jc w:val="center"/>
                    <w:rPr>
                      <w:sz w:val="21"/>
                      <w:szCs w:val="21"/>
                    </w:rPr>
                  </w:pPr>
                </w:p>
              </w:tc>
              <w:tc>
                <w:tcPr>
                  <w:tcW w:w="868" w:type="pct"/>
                  <w:vMerge w:val="restart"/>
                  <w:tcBorders>
                    <w:top w:val="single" w:color="auto" w:sz="4" w:space="0"/>
                    <w:left w:val="single" w:color="auto" w:sz="4" w:space="0"/>
                    <w:right w:val="nil"/>
                  </w:tcBorders>
                  <w:vAlign w:val="center"/>
                </w:tcPr>
                <w:p>
                  <w:pPr>
                    <w:adjustRightInd w:val="0"/>
                    <w:snapToGrid w:val="0"/>
                    <w:spacing w:line="240" w:lineRule="auto"/>
                    <w:ind w:firstLine="0" w:firstLineChars="0"/>
                    <w:jc w:val="center"/>
                    <w:rPr>
                      <w:sz w:val="21"/>
                      <w:szCs w:val="21"/>
                    </w:rPr>
                  </w:pPr>
                  <w:r>
                    <w:rPr>
                      <w:rFonts w:hint="eastAsia"/>
                      <w:sz w:val="21"/>
                      <w:szCs w:val="21"/>
                    </w:rPr>
                    <w:t>浸漆、烘干</w:t>
                  </w:r>
                </w:p>
              </w:tc>
              <w:tc>
                <w:tcPr>
                  <w:tcW w:w="1255" w:type="pct"/>
                  <w:tcBorders>
                    <w:top w:val="single" w:color="auto" w:sz="4" w:space="0"/>
                    <w:left w:val="single" w:color="auto" w:sz="4" w:space="0"/>
                    <w:bottom w:val="single" w:color="auto" w:sz="4" w:space="0"/>
                    <w:right w:val="nil"/>
                  </w:tcBorders>
                  <w:vAlign w:val="center"/>
                </w:tcPr>
                <w:p>
                  <w:pPr>
                    <w:adjustRightInd w:val="0"/>
                    <w:snapToGrid w:val="0"/>
                    <w:spacing w:line="240" w:lineRule="auto"/>
                    <w:ind w:firstLine="0" w:firstLineChars="0"/>
                    <w:jc w:val="center"/>
                    <w:rPr>
                      <w:sz w:val="21"/>
                      <w:szCs w:val="21"/>
                    </w:rPr>
                  </w:pPr>
                  <w:r>
                    <w:rPr>
                      <w:rFonts w:hint="eastAsia"/>
                      <w:sz w:val="21"/>
                      <w:szCs w:val="21"/>
                    </w:rPr>
                    <w:t xml:space="preserve"> 非甲烷总烃</w:t>
                  </w:r>
                </w:p>
              </w:tc>
              <w:tc>
                <w:tcPr>
                  <w:tcW w:w="88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0.460</w:t>
                  </w:r>
                </w:p>
              </w:tc>
              <w:tc>
                <w:tcPr>
                  <w:tcW w:w="75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0.373</w:t>
                  </w:r>
                </w:p>
              </w:tc>
              <w:tc>
                <w:tcPr>
                  <w:tcW w:w="786" w:type="pct"/>
                  <w:tcBorders>
                    <w:left w:val="single" w:color="auto" w:sz="4" w:space="0"/>
                    <w:bottom w:val="single" w:color="auto" w:sz="4" w:space="0"/>
                    <w:right w:val="single" w:color="auto" w:sz="4" w:space="0"/>
                  </w:tcBorders>
                  <w:vAlign w:val="center"/>
                </w:tcPr>
                <w:p>
                  <w:pPr>
                    <w:pStyle w:val="47"/>
                    <w:rPr>
                      <w:color w:val="0000FF"/>
                    </w:rPr>
                  </w:pPr>
                  <w:r>
                    <w:rPr>
                      <w:rFonts w:hint="eastAsia"/>
                    </w:rPr>
                    <w:t>0.087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jc w:val="center"/>
              </w:trPr>
              <w:tc>
                <w:tcPr>
                  <w:tcW w:w="453" w:type="pct"/>
                  <w:vMerge w:val="continue"/>
                  <w:tcBorders>
                    <w:left w:val="single" w:color="auto" w:sz="4" w:space="0"/>
                    <w:right w:val="single" w:color="auto" w:sz="4" w:space="0"/>
                  </w:tcBorders>
                  <w:vAlign w:val="center"/>
                </w:tcPr>
                <w:p>
                  <w:pPr>
                    <w:tabs>
                      <w:tab w:val="left" w:pos="2240"/>
                    </w:tabs>
                    <w:spacing w:line="240" w:lineRule="auto"/>
                    <w:ind w:firstLine="0" w:firstLineChars="0"/>
                    <w:jc w:val="center"/>
                    <w:rPr>
                      <w:sz w:val="21"/>
                      <w:szCs w:val="21"/>
                    </w:rPr>
                  </w:pPr>
                </w:p>
              </w:tc>
              <w:tc>
                <w:tcPr>
                  <w:tcW w:w="868" w:type="pct"/>
                  <w:vMerge w:val="continue"/>
                  <w:tcBorders>
                    <w:left w:val="single" w:color="auto" w:sz="4" w:space="0"/>
                    <w:right w:val="nil"/>
                  </w:tcBorders>
                  <w:vAlign w:val="center"/>
                </w:tcPr>
                <w:p>
                  <w:pPr>
                    <w:adjustRightInd w:val="0"/>
                    <w:snapToGrid w:val="0"/>
                    <w:spacing w:line="240" w:lineRule="auto"/>
                    <w:ind w:firstLine="0" w:firstLineChars="0"/>
                    <w:jc w:val="center"/>
                    <w:rPr>
                      <w:sz w:val="21"/>
                      <w:szCs w:val="21"/>
                    </w:rPr>
                  </w:pPr>
                </w:p>
              </w:tc>
              <w:tc>
                <w:tcPr>
                  <w:tcW w:w="1255" w:type="pct"/>
                  <w:tcBorders>
                    <w:top w:val="single" w:color="auto" w:sz="4" w:space="0"/>
                    <w:left w:val="single" w:color="auto" w:sz="4" w:space="0"/>
                    <w:bottom w:val="single" w:color="auto" w:sz="4" w:space="0"/>
                    <w:right w:val="nil"/>
                  </w:tcBorders>
                  <w:vAlign w:val="center"/>
                </w:tcPr>
                <w:p>
                  <w:pPr>
                    <w:adjustRightInd w:val="0"/>
                    <w:snapToGrid w:val="0"/>
                    <w:spacing w:line="240" w:lineRule="auto"/>
                    <w:ind w:firstLine="0" w:firstLineChars="0"/>
                    <w:jc w:val="center"/>
                    <w:rPr>
                      <w:sz w:val="21"/>
                      <w:szCs w:val="21"/>
                    </w:rPr>
                  </w:pPr>
                  <w:r>
                    <w:rPr>
                      <w:rFonts w:hint="eastAsia"/>
                      <w:sz w:val="21"/>
                      <w:szCs w:val="21"/>
                    </w:rPr>
                    <w:t>恶臭</w:t>
                  </w:r>
                </w:p>
              </w:tc>
              <w:tc>
                <w:tcPr>
                  <w:tcW w:w="88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2~3级</w:t>
                  </w:r>
                </w:p>
              </w:tc>
              <w:tc>
                <w:tcPr>
                  <w:tcW w:w="75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w:t>
                  </w:r>
                </w:p>
              </w:tc>
              <w:tc>
                <w:tcPr>
                  <w:tcW w:w="786" w:type="pct"/>
                  <w:tcBorders>
                    <w:left w:val="single" w:color="auto" w:sz="4" w:space="0"/>
                    <w:bottom w:val="single" w:color="auto" w:sz="4" w:space="0"/>
                    <w:right w:val="single" w:color="auto" w:sz="4" w:space="0"/>
                  </w:tcBorders>
                  <w:vAlign w:val="center"/>
                </w:tcPr>
                <w:p>
                  <w:pPr>
                    <w:pStyle w:val="47"/>
                  </w:pPr>
                  <w:r>
                    <w:rPr>
                      <w:rFonts w:hint="eastAsia"/>
                    </w:rPr>
                    <w:t>0~1级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jc w:val="center"/>
              </w:trPr>
              <w:tc>
                <w:tcPr>
                  <w:tcW w:w="453" w:type="pct"/>
                  <w:vMerge w:val="restart"/>
                  <w:tcBorders>
                    <w:top w:val="single" w:color="auto" w:sz="4" w:space="0"/>
                    <w:left w:val="single" w:color="auto" w:sz="4" w:space="0"/>
                    <w:right w:val="single" w:color="auto" w:sz="4" w:space="0"/>
                  </w:tcBorders>
                  <w:vAlign w:val="center"/>
                </w:tcPr>
                <w:p>
                  <w:pPr>
                    <w:snapToGrid w:val="0"/>
                    <w:spacing w:line="240" w:lineRule="auto"/>
                    <w:ind w:firstLine="0" w:firstLineChars="0"/>
                    <w:jc w:val="center"/>
                    <w:rPr>
                      <w:sz w:val="21"/>
                      <w:szCs w:val="21"/>
                    </w:rPr>
                  </w:pPr>
                  <w:r>
                    <w:rPr>
                      <w:sz w:val="21"/>
                      <w:szCs w:val="21"/>
                    </w:rPr>
                    <w:t>固废</w:t>
                  </w:r>
                </w:p>
              </w:tc>
              <w:tc>
                <w:tcPr>
                  <w:tcW w:w="868" w:type="pct"/>
                  <w:vMerge w:val="restart"/>
                  <w:tcBorders>
                    <w:top w:val="single" w:color="auto" w:sz="4" w:space="0"/>
                    <w:left w:val="single" w:color="auto" w:sz="4" w:space="0"/>
                    <w:right w:val="nil"/>
                  </w:tcBorders>
                  <w:vAlign w:val="center"/>
                </w:tcPr>
                <w:p>
                  <w:pPr>
                    <w:adjustRightInd w:val="0"/>
                    <w:snapToGrid w:val="0"/>
                    <w:spacing w:line="240" w:lineRule="auto"/>
                    <w:ind w:firstLine="0" w:firstLineChars="0"/>
                    <w:jc w:val="center"/>
                    <w:rPr>
                      <w:sz w:val="21"/>
                      <w:szCs w:val="21"/>
                    </w:rPr>
                  </w:pPr>
                  <w:r>
                    <w:rPr>
                      <w:sz w:val="21"/>
                      <w:szCs w:val="21"/>
                    </w:rPr>
                    <w:t>一般固废</w:t>
                  </w:r>
                </w:p>
              </w:tc>
              <w:tc>
                <w:tcPr>
                  <w:tcW w:w="1255" w:type="pct"/>
                  <w:tcBorders>
                    <w:top w:val="single" w:color="auto" w:sz="4" w:space="0"/>
                    <w:left w:val="single" w:color="auto" w:sz="4" w:space="0"/>
                    <w:bottom w:val="single" w:color="auto" w:sz="4" w:space="0"/>
                    <w:right w:val="nil"/>
                  </w:tcBorders>
                  <w:vAlign w:val="center"/>
                </w:tcPr>
                <w:p>
                  <w:pPr>
                    <w:pStyle w:val="47"/>
                    <w:rPr>
                      <w:bCs/>
                      <w:szCs w:val="21"/>
                    </w:rPr>
                  </w:pPr>
                  <w:r>
                    <w:t>一般包装材料</w:t>
                  </w:r>
                </w:p>
              </w:tc>
              <w:tc>
                <w:tcPr>
                  <w:tcW w:w="883" w:type="pct"/>
                  <w:tcBorders>
                    <w:top w:val="single" w:color="auto" w:sz="4" w:space="0"/>
                    <w:left w:val="single" w:color="auto" w:sz="4" w:space="0"/>
                    <w:bottom w:val="single" w:color="auto" w:sz="4" w:space="0"/>
                    <w:right w:val="single" w:color="auto" w:sz="4" w:space="0"/>
                  </w:tcBorders>
                  <w:vAlign w:val="center"/>
                </w:tcPr>
                <w:p>
                  <w:pPr>
                    <w:pStyle w:val="47"/>
                  </w:pPr>
                  <w:r>
                    <w:t>4.0</w:t>
                  </w:r>
                </w:p>
              </w:tc>
              <w:tc>
                <w:tcPr>
                  <w:tcW w:w="753" w:type="pct"/>
                  <w:tcBorders>
                    <w:top w:val="single" w:color="auto" w:sz="4" w:space="0"/>
                    <w:left w:val="single" w:color="auto" w:sz="4" w:space="0"/>
                    <w:bottom w:val="single" w:color="auto" w:sz="4" w:space="0"/>
                    <w:right w:val="single" w:color="auto" w:sz="4" w:space="0"/>
                  </w:tcBorders>
                  <w:vAlign w:val="center"/>
                </w:tcPr>
                <w:p>
                  <w:pPr>
                    <w:pStyle w:val="47"/>
                  </w:pPr>
                  <w:r>
                    <w:t>4.0</w:t>
                  </w:r>
                </w:p>
              </w:tc>
              <w:tc>
                <w:tcPr>
                  <w:tcW w:w="786"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jc w:val="center"/>
              </w:trPr>
              <w:tc>
                <w:tcPr>
                  <w:tcW w:w="453" w:type="pct"/>
                  <w:vMerge w:val="continue"/>
                  <w:tcBorders>
                    <w:left w:val="single" w:color="auto" w:sz="4" w:space="0"/>
                    <w:right w:val="single" w:color="auto" w:sz="4" w:space="0"/>
                  </w:tcBorders>
                  <w:vAlign w:val="center"/>
                </w:tcPr>
                <w:p>
                  <w:pPr>
                    <w:snapToGrid w:val="0"/>
                    <w:spacing w:line="240" w:lineRule="auto"/>
                    <w:ind w:firstLine="0" w:firstLineChars="0"/>
                    <w:jc w:val="center"/>
                    <w:rPr>
                      <w:sz w:val="21"/>
                      <w:szCs w:val="21"/>
                    </w:rPr>
                  </w:pPr>
                </w:p>
              </w:tc>
              <w:tc>
                <w:tcPr>
                  <w:tcW w:w="868" w:type="pct"/>
                  <w:vMerge w:val="continue"/>
                  <w:tcBorders>
                    <w:left w:val="single" w:color="auto" w:sz="4" w:space="0"/>
                    <w:right w:val="nil"/>
                  </w:tcBorders>
                  <w:vAlign w:val="center"/>
                </w:tcPr>
                <w:p>
                  <w:pPr>
                    <w:adjustRightInd w:val="0"/>
                    <w:snapToGrid w:val="0"/>
                    <w:spacing w:line="240" w:lineRule="auto"/>
                    <w:ind w:firstLine="0" w:firstLineChars="0"/>
                    <w:jc w:val="center"/>
                    <w:rPr>
                      <w:sz w:val="21"/>
                      <w:szCs w:val="21"/>
                    </w:rPr>
                  </w:pPr>
                </w:p>
              </w:tc>
              <w:tc>
                <w:tcPr>
                  <w:tcW w:w="1255" w:type="pct"/>
                  <w:tcBorders>
                    <w:top w:val="single" w:color="auto" w:sz="4" w:space="0"/>
                    <w:left w:val="single" w:color="auto" w:sz="4" w:space="0"/>
                    <w:bottom w:val="single" w:color="auto" w:sz="4" w:space="0"/>
                    <w:right w:val="nil"/>
                  </w:tcBorders>
                  <w:vAlign w:val="center"/>
                </w:tcPr>
                <w:p>
                  <w:pPr>
                    <w:pStyle w:val="47"/>
                  </w:pPr>
                  <w:r>
                    <w:rPr>
                      <w:rFonts w:hint="eastAsia"/>
                    </w:rPr>
                    <w:t>金属边角料</w:t>
                  </w:r>
                </w:p>
              </w:tc>
              <w:tc>
                <w:tcPr>
                  <w:tcW w:w="883" w:type="pct"/>
                  <w:tcBorders>
                    <w:top w:val="single" w:color="auto" w:sz="4" w:space="0"/>
                    <w:left w:val="single" w:color="auto" w:sz="4" w:space="0"/>
                    <w:bottom w:val="single" w:color="auto" w:sz="4" w:space="0"/>
                    <w:right w:val="single" w:color="auto" w:sz="4" w:space="0"/>
                  </w:tcBorders>
                  <w:vAlign w:val="center"/>
                </w:tcPr>
                <w:p>
                  <w:pPr>
                    <w:pStyle w:val="47"/>
                  </w:pPr>
                  <w:r>
                    <w:t>5.0</w:t>
                  </w:r>
                </w:p>
              </w:tc>
              <w:tc>
                <w:tcPr>
                  <w:tcW w:w="753" w:type="pct"/>
                  <w:tcBorders>
                    <w:top w:val="single" w:color="auto" w:sz="4" w:space="0"/>
                    <w:left w:val="single" w:color="auto" w:sz="4" w:space="0"/>
                    <w:bottom w:val="single" w:color="auto" w:sz="4" w:space="0"/>
                    <w:right w:val="single" w:color="auto" w:sz="4" w:space="0"/>
                  </w:tcBorders>
                  <w:vAlign w:val="center"/>
                </w:tcPr>
                <w:p>
                  <w:pPr>
                    <w:pStyle w:val="47"/>
                  </w:pPr>
                  <w:r>
                    <w:t>5.0</w:t>
                  </w:r>
                </w:p>
              </w:tc>
              <w:tc>
                <w:tcPr>
                  <w:tcW w:w="786"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jc w:val="center"/>
              </w:trPr>
              <w:tc>
                <w:tcPr>
                  <w:tcW w:w="453" w:type="pct"/>
                  <w:vMerge w:val="continue"/>
                  <w:tcBorders>
                    <w:left w:val="single" w:color="auto" w:sz="4" w:space="0"/>
                    <w:right w:val="single" w:color="auto" w:sz="4" w:space="0"/>
                  </w:tcBorders>
                  <w:vAlign w:val="center"/>
                </w:tcPr>
                <w:p>
                  <w:pPr>
                    <w:snapToGrid w:val="0"/>
                    <w:spacing w:line="240" w:lineRule="auto"/>
                    <w:ind w:firstLine="0" w:firstLineChars="0"/>
                    <w:jc w:val="center"/>
                    <w:rPr>
                      <w:sz w:val="21"/>
                      <w:szCs w:val="21"/>
                    </w:rPr>
                  </w:pPr>
                </w:p>
              </w:tc>
              <w:tc>
                <w:tcPr>
                  <w:tcW w:w="868" w:type="pct"/>
                  <w:vMerge w:val="continue"/>
                  <w:tcBorders>
                    <w:left w:val="single" w:color="auto" w:sz="4" w:space="0"/>
                    <w:right w:val="nil"/>
                  </w:tcBorders>
                  <w:vAlign w:val="center"/>
                </w:tcPr>
                <w:p>
                  <w:pPr>
                    <w:adjustRightInd w:val="0"/>
                    <w:snapToGrid w:val="0"/>
                    <w:spacing w:line="240" w:lineRule="auto"/>
                    <w:ind w:firstLine="0" w:firstLineChars="0"/>
                    <w:jc w:val="center"/>
                    <w:rPr>
                      <w:sz w:val="21"/>
                      <w:szCs w:val="21"/>
                    </w:rPr>
                  </w:pPr>
                </w:p>
              </w:tc>
              <w:tc>
                <w:tcPr>
                  <w:tcW w:w="1255" w:type="pct"/>
                  <w:tcBorders>
                    <w:top w:val="single" w:color="auto" w:sz="4" w:space="0"/>
                    <w:left w:val="single" w:color="auto" w:sz="4" w:space="0"/>
                    <w:bottom w:val="single" w:color="auto" w:sz="4" w:space="0"/>
                    <w:right w:val="nil"/>
                  </w:tcBorders>
                  <w:vAlign w:val="center"/>
                </w:tcPr>
                <w:p>
                  <w:pPr>
                    <w:pStyle w:val="47"/>
                    <w:rPr>
                      <w:szCs w:val="21"/>
                    </w:rPr>
                  </w:pPr>
                  <w:r>
                    <w:t>次品</w:t>
                  </w:r>
                </w:p>
              </w:tc>
              <w:tc>
                <w:tcPr>
                  <w:tcW w:w="883" w:type="pct"/>
                  <w:tcBorders>
                    <w:top w:val="single" w:color="auto" w:sz="4" w:space="0"/>
                    <w:left w:val="single" w:color="auto" w:sz="4" w:space="0"/>
                    <w:bottom w:val="single" w:color="auto" w:sz="4" w:space="0"/>
                    <w:right w:val="single" w:color="auto" w:sz="4" w:space="0"/>
                  </w:tcBorders>
                  <w:vAlign w:val="center"/>
                </w:tcPr>
                <w:p>
                  <w:pPr>
                    <w:pStyle w:val="47"/>
                  </w:pPr>
                  <w:r>
                    <w:t>1.0</w:t>
                  </w:r>
                </w:p>
              </w:tc>
              <w:tc>
                <w:tcPr>
                  <w:tcW w:w="753" w:type="pct"/>
                  <w:tcBorders>
                    <w:top w:val="single" w:color="auto" w:sz="4" w:space="0"/>
                    <w:left w:val="single" w:color="auto" w:sz="4" w:space="0"/>
                    <w:bottom w:val="single" w:color="auto" w:sz="4" w:space="0"/>
                    <w:right w:val="single" w:color="auto" w:sz="4" w:space="0"/>
                  </w:tcBorders>
                  <w:vAlign w:val="center"/>
                </w:tcPr>
                <w:p>
                  <w:pPr>
                    <w:pStyle w:val="47"/>
                  </w:pPr>
                  <w:r>
                    <w:t>1.0</w:t>
                  </w:r>
                </w:p>
              </w:tc>
              <w:tc>
                <w:tcPr>
                  <w:tcW w:w="786"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jc w:val="center"/>
              </w:trPr>
              <w:tc>
                <w:tcPr>
                  <w:tcW w:w="453" w:type="pct"/>
                  <w:vMerge w:val="continue"/>
                  <w:tcBorders>
                    <w:left w:val="single" w:color="auto" w:sz="4" w:space="0"/>
                    <w:right w:val="single" w:color="auto" w:sz="4" w:space="0"/>
                  </w:tcBorders>
                  <w:vAlign w:val="center"/>
                </w:tcPr>
                <w:p>
                  <w:pPr>
                    <w:snapToGrid w:val="0"/>
                    <w:spacing w:line="240" w:lineRule="auto"/>
                    <w:ind w:firstLine="0" w:firstLineChars="0"/>
                    <w:jc w:val="center"/>
                    <w:rPr>
                      <w:sz w:val="21"/>
                      <w:szCs w:val="21"/>
                    </w:rPr>
                  </w:pPr>
                </w:p>
              </w:tc>
              <w:tc>
                <w:tcPr>
                  <w:tcW w:w="868" w:type="pct"/>
                  <w:vMerge w:val="continue"/>
                  <w:tcBorders>
                    <w:left w:val="single" w:color="auto" w:sz="4" w:space="0"/>
                    <w:right w:val="nil"/>
                  </w:tcBorders>
                  <w:vAlign w:val="center"/>
                </w:tcPr>
                <w:p>
                  <w:pPr>
                    <w:adjustRightInd w:val="0"/>
                    <w:snapToGrid w:val="0"/>
                    <w:spacing w:line="240" w:lineRule="auto"/>
                    <w:ind w:firstLine="0" w:firstLineChars="0"/>
                    <w:jc w:val="center"/>
                    <w:rPr>
                      <w:sz w:val="21"/>
                      <w:szCs w:val="21"/>
                    </w:rPr>
                  </w:pPr>
                </w:p>
              </w:tc>
              <w:tc>
                <w:tcPr>
                  <w:tcW w:w="1255" w:type="pct"/>
                  <w:tcBorders>
                    <w:top w:val="single" w:color="auto" w:sz="4" w:space="0"/>
                    <w:left w:val="single" w:color="auto" w:sz="4" w:space="0"/>
                    <w:bottom w:val="single" w:color="auto" w:sz="4" w:space="0"/>
                    <w:right w:val="nil"/>
                  </w:tcBorders>
                  <w:vAlign w:val="center"/>
                </w:tcPr>
                <w:p>
                  <w:pPr>
                    <w:pStyle w:val="47"/>
                  </w:pPr>
                  <w:r>
                    <w:rPr>
                      <w:rFonts w:hint="eastAsia"/>
                    </w:rPr>
                    <w:t>金属沉渣</w:t>
                  </w:r>
                </w:p>
              </w:tc>
              <w:tc>
                <w:tcPr>
                  <w:tcW w:w="88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0.1</w:t>
                  </w:r>
                </w:p>
              </w:tc>
              <w:tc>
                <w:tcPr>
                  <w:tcW w:w="75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0.1</w:t>
                  </w:r>
                </w:p>
              </w:tc>
              <w:tc>
                <w:tcPr>
                  <w:tcW w:w="786"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jc w:val="center"/>
              </w:trPr>
              <w:tc>
                <w:tcPr>
                  <w:tcW w:w="453" w:type="pct"/>
                  <w:vMerge w:val="continue"/>
                  <w:tcBorders>
                    <w:left w:val="single" w:color="auto" w:sz="4" w:space="0"/>
                    <w:right w:val="single" w:color="auto" w:sz="4" w:space="0"/>
                  </w:tcBorders>
                  <w:vAlign w:val="center"/>
                </w:tcPr>
                <w:p>
                  <w:pPr>
                    <w:snapToGrid w:val="0"/>
                    <w:spacing w:line="240" w:lineRule="auto"/>
                    <w:ind w:firstLine="0" w:firstLineChars="0"/>
                    <w:jc w:val="center"/>
                    <w:rPr>
                      <w:sz w:val="21"/>
                      <w:szCs w:val="21"/>
                    </w:rPr>
                  </w:pPr>
                </w:p>
              </w:tc>
              <w:tc>
                <w:tcPr>
                  <w:tcW w:w="868" w:type="pct"/>
                  <w:vMerge w:val="continue"/>
                  <w:tcBorders>
                    <w:left w:val="single" w:color="auto" w:sz="4" w:space="0"/>
                    <w:bottom w:val="single" w:color="auto" w:sz="4" w:space="0"/>
                    <w:right w:val="nil"/>
                  </w:tcBorders>
                  <w:vAlign w:val="center"/>
                </w:tcPr>
                <w:p>
                  <w:pPr>
                    <w:adjustRightInd w:val="0"/>
                    <w:snapToGrid w:val="0"/>
                    <w:spacing w:line="240" w:lineRule="auto"/>
                    <w:ind w:firstLine="0" w:firstLineChars="0"/>
                    <w:jc w:val="center"/>
                    <w:rPr>
                      <w:sz w:val="21"/>
                      <w:szCs w:val="21"/>
                    </w:rPr>
                  </w:pPr>
                </w:p>
              </w:tc>
              <w:tc>
                <w:tcPr>
                  <w:tcW w:w="1255" w:type="pct"/>
                  <w:tcBorders>
                    <w:top w:val="single" w:color="auto" w:sz="4" w:space="0"/>
                    <w:left w:val="single" w:color="auto" w:sz="4" w:space="0"/>
                    <w:bottom w:val="single" w:color="auto" w:sz="4" w:space="0"/>
                    <w:right w:val="nil"/>
                  </w:tcBorders>
                  <w:vAlign w:val="center"/>
                </w:tcPr>
                <w:p>
                  <w:pPr>
                    <w:pStyle w:val="47"/>
                  </w:pPr>
                  <w:r>
                    <w:rPr>
                      <w:rFonts w:hint="eastAsia"/>
                    </w:rPr>
                    <w:t>废滤芯</w:t>
                  </w:r>
                </w:p>
              </w:tc>
              <w:tc>
                <w:tcPr>
                  <w:tcW w:w="88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0.01</w:t>
                  </w:r>
                </w:p>
              </w:tc>
              <w:tc>
                <w:tcPr>
                  <w:tcW w:w="75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0.01</w:t>
                  </w:r>
                </w:p>
              </w:tc>
              <w:tc>
                <w:tcPr>
                  <w:tcW w:w="786"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jc w:val="center"/>
              </w:trPr>
              <w:tc>
                <w:tcPr>
                  <w:tcW w:w="453" w:type="pct"/>
                  <w:vMerge w:val="continue"/>
                  <w:tcBorders>
                    <w:left w:val="single" w:color="auto" w:sz="4" w:space="0"/>
                    <w:right w:val="single" w:color="auto" w:sz="4" w:space="0"/>
                  </w:tcBorders>
                  <w:vAlign w:val="center"/>
                </w:tcPr>
                <w:p>
                  <w:pPr>
                    <w:snapToGrid w:val="0"/>
                    <w:spacing w:line="240" w:lineRule="auto"/>
                    <w:ind w:firstLine="0" w:firstLineChars="0"/>
                    <w:jc w:val="center"/>
                    <w:rPr>
                      <w:sz w:val="21"/>
                      <w:szCs w:val="21"/>
                    </w:rPr>
                  </w:pPr>
                </w:p>
              </w:tc>
              <w:tc>
                <w:tcPr>
                  <w:tcW w:w="868" w:type="pct"/>
                  <w:vMerge w:val="restart"/>
                  <w:tcBorders>
                    <w:top w:val="single" w:color="auto" w:sz="4" w:space="0"/>
                    <w:left w:val="single" w:color="auto" w:sz="4" w:space="0"/>
                    <w:right w:val="nil"/>
                  </w:tcBorders>
                  <w:vAlign w:val="center"/>
                </w:tcPr>
                <w:p>
                  <w:pPr>
                    <w:adjustRightInd w:val="0"/>
                    <w:snapToGrid w:val="0"/>
                    <w:spacing w:line="240" w:lineRule="auto"/>
                    <w:ind w:firstLine="0" w:firstLineChars="0"/>
                    <w:jc w:val="center"/>
                    <w:rPr>
                      <w:sz w:val="21"/>
                      <w:szCs w:val="21"/>
                    </w:rPr>
                  </w:pPr>
                  <w:r>
                    <w:rPr>
                      <w:rFonts w:hint="eastAsia"/>
                      <w:sz w:val="21"/>
                      <w:szCs w:val="21"/>
                    </w:rPr>
                    <w:t>危险废物</w:t>
                  </w:r>
                </w:p>
              </w:tc>
              <w:tc>
                <w:tcPr>
                  <w:tcW w:w="1255" w:type="pct"/>
                  <w:tcBorders>
                    <w:top w:val="single" w:color="auto" w:sz="4" w:space="0"/>
                    <w:left w:val="single" w:color="auto" w:sz="4" w:space="0"/>
                    <w:bottom w:val="single" w:color="auto" w:sz="4" w:space="0"/>
                    <w:right w:val="nil"/>
                  </w:tcBorders>
                  <w:vAlign w:val="center"/>
                </w:tcPr>
                <w:p>
                  <w:pPr>
                    <w:pStyle w:val="47"/>
                    <w:rPr>
                      <w:szCs w:val="21"/>
                    </w:rPr>
                  </w:pPr>
                  <w:r>
                    <w:t>废乳化液</w:t>
                  </w:r>
                </w:p>
              </w:tc>
              <w:tc>
                <w:tcPr>
                  <w:tcW w:w="88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szCs w:val="21"/>
                    </w:rPr>
                    <w:t>1.0</w:t>
                  </w:r>
                </w:p>
              </w:tc>
              <w:tc>
                <w:tcPr>
                  <w:tcW w:w="75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szCs w:val="21"/>
                    </w:rPr>
                    <w:t>1.0</w:t>
                  </w:r>
                </w:p>
              </w:tc>
              <w:tc>
                <w:tcPr>
                  <w:tcW w:w="786"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jc w:val="center"/>
              </w:trPr>
              <w:tc>
                <w:tcPr>
                  <w:tcW w:w="453" w:type="pct"/>
                  <w:vMerge w:val="continue"/>
                  <w:tcBorders>
                    <w:left w:val="single" w:color="auto" w:sz="4" w:space="0"/>
                    <w:right w:val="single" w:color="auto" w:sz="4" w:space="0"/>
                  </w:tcBorders>
                  <w:vAlign w:val="center"/>
                </w:tcPr>
                <w:p>
                  <w:pPr>
                    <w:snapToGrid w:val="0"/>
                    <w:spacing w:line="240" w:lineRule="auto"/>
                    <w:ind w:firstLine="0" w:firstLineChars="0"/>
                    <w:jc w:val="center"/>
                    <w:rPr>
                      <w:sz w:val="21"/>
                      <w:szCs w:val="21"/>
                    </w:rPr>
                  </w:pPr>
                </w:p>
              </w:tc>
              <w:tc>
                <w:tcPr>
                  <w:tcW w:w="868" w:type="pct"/>
                  <w:vMerge w:val="continue"/>
                  <w:tcBorders>
                    <w:left w:val="single" w:color="auto" w:sz="4" w:space="0"/>
                    <w:right w:val="nil"/>
                  </w:tcBorders>
                  <w:vAlign w:val="center"/>
                </w:tcPr>
                <w:p>
                  <w:pPr>
                    <w:adjustRightInd w:val="0"/>
                    <w:snapToGrid w:val="0"/>
                    <w:spacing w:line="240" w:lineRule="auto"/>
                    <w:ind w:firstLine="0" w:firstLineChars="0"/>
                    <w:jc w:val="center"/>
                    <w:rPr>
                      <w:sz w:val="21"/>
                      <w:szCs w:val="21"/>
                    </w:rPr>
                  </w:pPr>
                </w:p>
              </w:tc>
              <w:tc>
                <w:tcPr>
                  <w:tcW w:w="1255" w:type="pct"/>
                  <w:tcBorders>
                    <w:top w:val="single" w:color="auto" w:sz="4" w:space="0"/>
                    <w:left w:val="single" w:color="auto" w:sz="4" w:space="0"/>
                    <w:bottom w:val="single" w:color="auto" w:sz="4" w:space="0"/>
                    <w:right w:val="nil"/>
                  </w:tcBorders>
                  <w:vAlign w:val="center"/>
                </w:tcPr>
                <w:p>
                  <w:pPr>
                    <w:pStyle w:val="47"/>
                  </w:pPr>
                  <w:r>
                    <w:rPr>
                      <w:rFonts w:hint="eastAsia"/>
                    </w:rPr>
                    <w:t>废漆料</w:t>
                  </w:r>
                </w:p>
              </w:tc>
              <w:tc>
                <w:tcPr>
                  <w:tcW w:w="88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szCs w:val="21"/>
                    </w:rPr>
                    <w:t>0.2</w:t>
                  </w:r>
                </w:p>
              </w:tc>
              <w:tc>
                <w:tcPr>
                  <w:tcW w:w="75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szCs w:val="21"/>
                    </w:rPr>
                    <w:t>0.2</w:t>
                  </w:r>
                </w:p>
              </w:tc>
              <w:tc>
                <w:tcPr>
                  <w:tcW w:w="786"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jc w:val="center"/>
              </w:trPr>
              <w:tc>
                <w:tcPr>
                  <w:tcW w:w="453" w:type="pct"/>
                  <w:vMerge w:val="continue"/>
                  <w:tcBorders>
                    <w:left w:val="single" w:color="auto" w:sz="4" w:space="0"/>
                    <w:right w:val="single" w:color="auto" w:sz="4" w:space="0"/>
                  </w:tcBorders>
                  <w:vAlign w:val="center"/>
                </w:tcPr>
                <w:p>
                  <w:pPr>
                    <w:snapToGrid w:val="0"/>
                    <w:spacing w:line="240" w:lineRule="auto"/>
                    <w:ind w:firstLine="0" w:firstLineChars="0"/>
                    <w:jc w:val="center"/>
                    <w:rPr>
                      <w:sz w:val="21"/>
                      <w:szCs w:val="21"/>
                    </w:rPr>
                  </w:pPr>
                </w:p>
              </w:tc>
              <w:tc>
                <w:tcPr>
                  <w:tcW w:w="868" w:type="pct"/>
                  <w:vMerge w:val="continue"/>
                  <w:tcBorders>
                    <w:left w:val="single" w:color="auto" w:sz="4" w:space="0"/>
                    <w:right w:val="nil"/>
                  </w:tcBorders>
                  <w:vAlign w:val="center"/>
                </w:tcPr>
                <w:p>
                  <w:pPr>
                    <w:adjustRightInd w:val="0"/>
                    <w:snapToGrid w:val="0"/>
                    <w:spacing w:line="240" w:lineRule="auto"/>
                    <w:ind w:firstLine="0" w:firstLineChars="0"/>
                    <w:jc w:val="center"/>
                    <w:rPr>
                      <w:sz w:val="21"/>
                      <w:szCs w:val="21"/>
                    </w:rPr>
                  </w:pPr>
                </w:p>
              </w:tc>
              <w:tc>
                <w:tcPr>
                  <w:tcW w:w="1255" w:type="pct"/>
                  <w:tcBorders>
                    <w:top w:val="single" w:color="auto" w:sz="4" w:space="0"/>
                    <w:left w:val="single" w:color="auto" w:sz="4" w:space="0"/>
                    <w:bottom w:val="single" w:color="auto" w:sz="4" w:space="0"/>
                    <w:right w:val="nil"/>
                  </w:tcBorders>
                  <w:vAlign w:val="center"/>
                </w:tcPr>
                <w:p>
                  <w:pPr>
                    <w:pStyle w:val="47"/>
                  </w:pPr>
                  <w:r>
                    <w:t>废包装桶</w:t>
                  </w:r>
                </w:p>
              </w:tc>
              <w:tc>
                <w:tcPr>
                  <w:tcW w:w="883" w:type="pct"/>
                  <w:tcBorders>
                    <w:top w:val="single" w:color="auto" w:sz="4" w:space="0"/>
                    <w:left w:val="single" w:color="auto" w:sz="4" w:space="0"/>
                    <w:bottom w:val="single" w:color="auto" w:sz="4" w:space="0"/>
                    <w:right w:val="single" w:color="auto" w:sz="4" w:space="0"/>
                  </w:tcBorders>
                  <w:vAlign w:val="center"/>
                </w:tcPr>
                <w:p>
                  <w:pPr>
                    <w:pStyle w:val="47"/>
                  </w:pPr>
                  <w:r>
                    <w:rPr>
                      <w:szCs w:val="21"/>
                    </w:rPr>
                    <w:t>0.</w:t>
                  </w:r>
                  <w:r>
                    <w:rPr>
                      <w:rFonts w:hint="eastAsia"/>
                      <w:szCs w:val="21"/>
                    </w:rPr>
                    <w:t>3</w:t>
                  </w:r>
                </w:p>
              </w:tc>
              <w:tc>
                <w:tcPr>
                  <w:tcW w:w="753" w:type="pct"/>
                  <w:tcBorders>
                    <w:top w:val="single" w:color="auto" w:sz="4" w:space="0"/>
                    <w:left w:val="single" w:color="auto" w:sz="4" w:space="0"/>
                    <w:bottom w:val="single" w:color="auto" w:sz="4" w:space="0"/>
                    <w:right w:val="single" w:color="auto" w:sz="4" w:space="0"/>
                  </w:tcBorders>
                  <w:vAlign w:val="center"/>
                </w:tcPr>
                <w:p>
                  <w:pPr>
                    <w:pStyle w:val="47"/>
                  </w:pPr>
                  <w:r>
                    <w:rPr>
                      <w:szCs w:val="21"/>
                    </w:rPr>
                    <w:t>0.</w:t>
                  </w:r>
                  <w:r>
                    <w:rPr>
                      <w:rFonts w:hint="eastAsia"/>
                      <w:szCs w:val="21"/>
                    </w:rPr>
                    <w:t>3</w:t>
                  </w:r>
                </w:p>
              </w:tc>
              <w:tc>
                <w:tcPr>
                  <w:tcW w:w="786"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jc w:val="center"/>
              </w:trPr>
              <w:tc>
                <w:tcPr>
                  <w:tcW w:w="453" w:type="pct"/>
                  <w:vMerge w:val="continue"/>
                  <w:tcBorders>
                    <w:left w:val="single" w:color="auto" w:sz="4" w:space="0"/>
                    <w:right w:val="single" w:color="auto" w:sz="4" w:space="0"/>
                  </w:tcBorders>
                  <w:vAlign w:val="center"/>
                </w:tcPr>
                <w:p>
                  <w:pPr>
                    <w:snapToGrid w:val="0"/>
                    <w:spacing w:line="240" w:lineRule="auto"/>
                    <w:ind w:firstLine="0" w:firstLineChars="0"/>
                    <w:jc w:val="center"/>
                    <w:rPr>
                      <w:sz w:val="21"/>
                      <w:szCs w:val="21"/>
                    </w:rPr>
                  </w:pPr>
                </w:p>
              </w:tc>
              <w:tc>
                <w:tcPr>
                  <w:tcW w:w="868" w:type="pct"/>
                  <w:vMerge w:val="continue"/>
                  <w:tcBorders>
                    <w:left w:val="single" w:color="auto" w:sz="4" w:space="0"/>
                    <w:right w:val="nil"/>
                  </w:tcBorders>
                  <w:vAlign w:val="center"/>
                </w:tcPr>
                <w:p>
                  <w:pPr>
                    <w:adjustRightInd w:val="0"/>
                    <w:snapToGrid w:val="0"/>
                    <w:spacing w:line="240" w:lineRule="auto"/>
                    <w:ind w:firstLine="0" w:firstLineChars="0"/>
                    <w:jc w:val="center"/>
                    <w:rPr>
                      <w:sz w:val="21"/>
                      <w:szCs w:val="21"/>
                    </w:rPr>
                  </w:pPr>
                </w:p>
              </w:tc>
              <w:tc>
                <w:tcPr>
                  <w:tcW w:w="1255" w:type="pct"/>
                  <w:tcBorders>
                    <w:top w:val="single" w:color="auto" w:sz="4" w:space="0"/>
                    <w:left w:val="single" w:color="auto" w:sz="4" w:space="0"/>
                    <w:bottom w:val="single" w:color="auto" w:sz="4" w:space="0"/>
                    <w:right w:val="nil"/>
                  </w:tcBorders>
                  <w:vAlign w:val="center"/>
                </w:tcPr>
                <w:p>
                  <w:pPr>
                    <w:pStyle w:val="47"/>
                  </w:pPr>
                  <w:r>
                    <w:rPr>
                      <w:rFonts w:hint="eastAsia"/>
                    </w:rPr>
                    <w:t>废机油</w:t>
                  </w:r>
                </w:p>
              </w:tc>
              <w:tc>
                <w:tcPr>
                  <w:tcW w:w="88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szCs w:val="21"/>
                    </w:rPr>
                    <w:t>0.02</w:t>
                  </w:r>
                </w:p>
              </w:tc>
              <w:tc>
                <w:tcPr>
                  <w:tcW w:w="75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szCs w:val="21"/>
                    </w:rPr>
                    <w:t>0.02</w:t>
                  </w:r>
                </w:p>
              </w:tc>
              <w:tc>
                <w:tcPr>
                  <w:tcW w:w="786"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jc w:val="center"/>
              </w:trPr>
              <w:tc>
                <w:tcPr>
                  <w:tcW w:w="453" w:type="pct"/>
                  <w:vMerge w:val="continue"/>
                  <w:tcBorders>
                    <w:left w:val="single" w:color="auto" w:sz="4" w:space="0"/>
                    <w:right w:val="single" w:color="auto" w:sz="4" w:space="0"/>
                  </w:tcBorders>
                  <w:vAlign w:val="center"/>
                </w:tcPr>
                <w:p>
                  <w:pPr>
                    <w:snapToGrid w:val="0"/>
                    <w:spacing w:line="240" w:lineRule="auto"/>
                    <w:ind w:firstLine="0" w:firstLineChars="0"/>
                    <w:jc w:val="center"/>
                    <w:rPr>
                      <w:sz w:val="21"/>
                      <w:szCs w:val="21"/>
                    </w:rPr>
                  </w:pPr>
                </w:p>
              </w:tc>
              <w:tc>
                <w:tcPr>
                  <w:tcW w:w="868" w:type="pct"/>
                  <w:vMerge w:val="continue"/>
                  <w:tcBorders>
                    <w:left w:val="single" w:color="auto" w:sz="4" w:space="0"/>
                    <w:right w:val="nil"/>
                  </w:tcBorders>
                  <w:vAlign w:val="center"/>
                </w:tcPr>
                <w:p>
                  <w:pPr>
                    <w:adjustRightInd w:val="0"/>
                    <w:snapToGrid w:val="0"/>
                    <w:spacing w:line="240" w:lineRule="auto"/>
                    <w:ind w:firstLine="0" w:firstLineChars="0"/>
                    <w:jc w:val="center"/>
                    <w:rPr>
                      <w:sz w:val="21"/>
                      <w:szCs w:val="21"/>
                    </w:rPr>
                  </w:pPr>
                </w:p>
              </w:tc>
              <w:tc>
                <w:tcPr>
                  <w:tcW w:w="1255" w:type="pct"/>
                  <w:tcBorders>
                    <w:top w:val="single" w:color="auto" w:sz="4" w:space="0"/>
                    <w:left w:val="single" w:color="auto" w:sz="4" w:space="0"/>
                    <w:bottom w:val="single" w:color="auto" w:sz="4" w:space="0"/>
                    <w:right w:val="nil"/>
                  </w:tcBorders>
                  <w:vAlign w:val="center"/>
                </w:tcPr>
                <w:p>
                  <w:pPr>
                    <w:pStyle w:val="47"/>
                  </w:pPr>
                  <w:r>
                    <w:rPr>
                      <w:rFonts w:hint="eastAsia"/>
                    </w:rPr>
                    <w:t>废油桶</w:t>
                  </w:r>
                </w:p>
              </w:tc>
              <w:tc>
                <w:tcPr>
                  <w:tcW w:w="883" w:type="pct"/>
                  <w:tcBorders>
                    <w:top w:val="single" w:color="auto" w:sz="4" w:space="0"/>
                    <w:left w:val="single" w:color="auto" w:sz="4" w:space="0"/>
                    <w:bottom w:val="single" w:color="auto" w:sz="4" w:space="0"/>
                    <w:right w:val="single" w:color="auto" w:sz="4" w:space="0"/>
                  </w:tcBorders>
                  <w:vAlign w:val="center"/>
                </w:tcPr>
                <w:p>
                  <w:pPr>
                    <w:pStyle w:val="47"/>
                  </w:pPr>
                  <w:r>
                    <w:rPr>
                      <w:szCs w:val="21"/>
                    </w:rPr>
                    <w:t>0.</w:t>
                  </w:r>
                  <w:r>
                    <w:rPr>
                      <w:rFonts w:hint="eastAsia"/>
                      <w:szCs w:val="21"/>
                    </w:rPr>
                    <w:t>004</w:t>
                  </w:r>
                </w:p>
              </w:tc>
              <w:tc>
                <w:tcPr>
                  <w:tcW w:w="753" w:type="pct"/>
                  <w:tcBorders>
                    <w:top w:val="single" w:color="auto" w:sz="4" w:space="0"/>
                    <w:left w:val="single" w:color="auto" w:sz="4" w:space="0"/>
                    <w:bottom w:val="single" w:color="auto" w:sz="4" w:space="0"/>
                    <w:right w:val="single" w:color="auto" w:sz="4" w:space="0"/>
                  </w:tcBorders>
                  <w:vAlign w:val="center"/>
                </w:tcPr>
                <w:p>
                  <w:pPr>
                    <w:pStyle w:val="47"/>
                  </w:pPr>
                  <w:r>
                    <w:rPr>
                      <w:szCs w:val="21"/>
                    </w:rPr>
                    <w:t>0.</w:t>
                  </w:r>
                  <w:r>
                    <w:rPr>
                      <w:rFonts w:hint="eastAsia"/>
                      <w:szCs w:val="21"/>
                    </w:rPr>
                    <w:t>004</w:t>
                  </w:r>
                </w:p>
              </w:tc>
              <w:tc>
                <w:tcPr>
                  <w:tcW w:w="786"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jc w:val="center"/>
              </w:trPr>
              <w:tc>
                <w:tcPr>
                  <w:tcW w:w="453" w:type="pct"/>
                  <w:vMerge w:val="continue"/>
                  <w:tcBorders>
                    <w:left w:val="single" w:color="auto" w:sz="4" w:space="0"/>
                    <w:right w:val="single" w:color="auto" w:sz="4" w:space="0"/>
                  </w:tcBorders>
                  <w:vAlign w:val="center"/>
                </w:tcPr>
                <w:p>
                  <w:pPr>
                    <w:snapToGrid w:val="0"/>
                    <w:spacing w:line="240" w:lineRule="auto"/>
                    <w:ind w:firstLine="0" w:firstLineChars="0"/>
                    <w:jc w:val="center"/>
                    <w:rPr>
                      <w:sz w:val="21"/>
                      <w:szCs w:val="21"/>
                    </w:rPr>
                  </w:pPr>
                </w:p>
              </w:tc>
              <w:tc>
                <w:tcPr>
                  <w:tcW w:w="868" w:type="pct"/>
                  <w:vMerge w:val="continue"/>
                  <w:tcBorders>
                    <w:left w:val="single" w:color="auto" w:sz="4" w:space="0"/>
                    <w:right w:val="nil"/>
                  </w:tcBorders>
                  <w:vAlign w:val="center"/>
                </w:tcPr>
                <w:p>
                  <w:pPr>
                    <w:adjustRightInd w:val="0"/>
                    <w:snapToGrid w:val="0"/>
                    <w:spacing w:line="240" w:lineRule="auto"/>
                    <w:ind w:firstLine="0" w:firstLineChars="0"/>
                    <w:jc w:val="center"/>
                    <w:rPr>
                      <w:sz w:val="21"/>
                      <w:szCs w:val="21"/>
                    </w:rPr>
                  </w:pPr>
                </w:p>
              </w:tc>
              <w:tc>
                <w:tcPr>
                  <w:tcW w:w="1255" w:type="pct"/>
                  <w:tcBorders>
                    <w:top w:val="single" w:color="auto" w:sz="4" w:space="0"/>
                    <w:left w:val="single" w:color="auto" w:sz="4" w:space="0"/>
                    <w:bottom w:val="single" w:color="auto" w:sz="4" w:space="0"/>
                    <w:right w:val="nil"/>
                  </w:tcBorders>
                  <w:vAlign w:val="center"/>
                </w:tcPr>
                <w:p>
                  <w:pPr>
                    <w:pStyle w:val="47"/>
                  </w:pPr>
                  <w:r>
                    <w:t>废活性炭</w:t>
                  </w:r>
                </w:p>
              </w:tc>
              <w:tc>
                <w:tcPr>
                  <w:tcW w:w="88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3.173</w:t>
                  </w:r>
                </w:p>
              </w:tc>
              <w:tc>
                <w:tcPr>
                  <w:tcW w:w="75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3.173</w:t>
                  </w:r>
                </w:p>
              </w:tc>
              <w:tc>
                <w:tcPr>
                  <w:tcW w:w="786"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jc w:val="center"/>
              </w:trPr>
              <w:tc>
                <w:tcPr>
                  <w:tcW w:w="453" w:type="pct"/>
                  <w:vMerge w:val="continue"/>
                  <w:tcBorders>
                    <w:left w:val="single" w:color="auto" w:sz="4" w:space="0"/>
                    <w:right w:val="single" w:color="auto" w:sz="4" w:space="0"/>
                  </w:tcBorders>
                  <w:vAlign w:val="center"/>
                </w:tcPr>
                <w:p>
                  <w:pPr>
                    <w:snapToGrid w:val="0"/>
                    <w:spacing w:line="240" w:lineRule="auto"/>
                    <w:ind w:firstLine="0" w:firstLineChars="0"/>
                    <w:jc w:val="center"/>
                    <w:rPr>
                      <w:sz w:val="21"/>
                      <w:szCs w:val="21"/>
                    </w:rPr>
                  </w:pPr>
                </w:p>
              </w:tc>
              <w:tc>
                <w:tcPr>
                  <w:tcW w:w="868" w:type="pct"/>
                  <w:vMerge w:val="continue"/>
                  <w:tcBorders>
                    <w:left w:val="single" w:color="auto" w:sz="4" w:space="0"/>
                    <w:right w:val="nil"/>
                  </w:tcBorders>
                  <w:vAlign w:val="center"/>
                </w:tcPr>
                <w:p>
                  <w:pPr>
                    <w:adjustRightInd w:val="0"/>
                    <w:snapToGrid w:val="0"/>
                    <w:spacing w:line="240" w:lineRule="auto"/>
                    <w:ind w:firstLine="0" w:firstLineChars="0"/>
                    <w:jc w:val="center"/>
                    <w:rPr>
                      <w:sz w:val="21"/>
                      <w:szCs w:val="21"/>
                    </w:rPr>
                  </w:pPr>
                </w:p>
              </w:tc>
              <w:tc>
                <w:tcPr>
                  <w:tcW w:w="1255" w:type="pct"/>
                  <w:tcBorders>
                    <w:top w:val="single" w:color="auto" w:sz="4" w:space="0"/>
                    <w:left w:val="single" w:color="auto" w:sz="4" w:space="0"/>
                    <w:bottom w:val="single" w:color="auto" w:sz="4" w:space="0"/>
                    <w:right w:val="nil"/>
                  </w:tcBorders>
                  <w:vAlign w:val="center"/>
                </w:tcPr>
                <w:p>
                  <w:pPr>
                    <w:pStyle w:val="47"/>
                  </w:pPr>
                  <w:r>
                    <w:rPr>
                      <w:rFonts w:hint="eastAsia"/>
                    </w:rPr>
                    <w:t>含漆废抹布和手套</w:t>
                  </w:r>
                </w:p>
              </w:tc>
              <w:tc>
                <w:tcPr>
                  <w:tcW w:w="88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0.01</w:t>
                  </w:r>
                </w:p>
              </w:tc>
              <w:tc>
                <w:tcPr>
                  <w:tcW w:w="75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0.01</w:t>
                  </w:r>
                </w:p>
              </w:tc>
              <w:tc>
                <w:tcPr>
                  <w:tcW w:w="786"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jc w:val="center"/>
              </w:trPr>
              <w:tc>
                <w:tcPr>
                  <w:tcW w:w="453" w:type="pct"/>
                  <w:vMerge w:val="continue"/>
                  <w:tcBorders>
                    <w:left w:val="single" w:color="auto" w:sz="4" w:space="0"/>
                    <w:right w:val="single" w:color="auto" w:sz="4" w:space="0"/>
                  </w:tcBorders>
                  <w:vAlign w:val="center"/>
                </w:tcPr>
                <w:p>
                  <w:pPr>
                    <w:snapToGrid w:val="0"/>
                    <w:spacing w:line="240" w:lineRule="auto"/>
                    <w:ind w:firstLine="0" w:firstLineChars="0"/>
                    <w:jc w:val="center"/>
                    <w:rPr>
                      <w:sz w:val="21"/>
                      <w:szCs w:val="21"/>
                    </w:rPr>
                  </w:pPr>
                </w:p>
              </w:tc>
              <w:tc>
                <w:tcPr>
                  <w:tcW w:w="868" w:type="pct"/>
                  <w:vMerge w:val="continue"/>
                  <w:tcBorders>
                    <w:left w:val="single" w:color="auto" w:sz="4" w:space="0"/>
                    <w:bottom w:val="single" w:color="auto" w:sz="4" w:space="0"/>
                    <w:right w:val="nil"/>
                  </w:tcBorders>
                  <w:vAlign w:val="center"/>
                </w:tcPr>
                <w:p>
                  <w:pPr>
                    <w:adjustRightInd w:val="0"/>
                    <w:snapToGrid w:val="0"/>
                    <w:spacing w:line="240" w:lineRule="auto"/>
                    <w:ind w:firstLine="0" w:firstLineChars="0"/>
                    <w:jc w:val="center"/>
                    <w:rPr>
                      <w:sz w:val="21"/>
                      <w:szCs w:val="21"/>
                    </w:rPr>
                  </w:pPr>
                </w:p>
              </w:tc>
              <w:tc>
                <w:tcPr>
                  <w:tcW w:w="1255" w:type="pct"/>
                  <w:tcBorders>
                    <w:top w:val="single" w:color="auto" w:sz="4" w:space="0"/>
                    <w:left w:val="single" w:color="auto" w:sz="4" w:space="0"/>
                    <w:bottom w:val="single" w:color="auto" w:sz="4" w:space="0"/>
                    <w:right w:val="nil"/>
                  </w:tcBorders>
                  <w:vAlign w:val="center"/>
                </w:tcPr>
                <w:p>
                  <w:pPr>
                    <w:pStyle w:val="47"/>
                  </w:pPr>
                  <w:r>
                    <w:rPr>
                      <w:rFonts w:hint="eastAsia"/>
                    </w:rPr>
                    <w:t>含油废抹布和手套</w:t>
                  </w:r>
                </w:p>
              </w:tc>
              <w:tc>
                <w:tcPr>
                  <w:tcW w:w="883" w:type="pct"/>
                  <w:tcBorders>
                    <w:top w:val="single" w:color="auto" w:sz="4" w:space="0"/>
                    <w:left w:val="single" w:color="auto" w:sz="4" w:space="0"/>
                    <w:bottom w:val="single" w:color="auto" w:sz="4" w:space="0"/>
                    <w:right w:val="single" w:color="auto" w:sz="4" w:space="0"/>
                  </w:tcBorders>
                  <w:vAlign w:val="center"/>
                </w:tcPr>
                <w:p>
                  <w:pPr>
                    <w:pStyle w:val="47"/>
                  </w:pPr>
                  <w:r>
                    <w:t>0.</w:t>
                  </w:r>
                  <w:r>
                    <w:rPr>
                      <w:rFonts w:hint="eastAsia"/>
                    </w:rPr>
                    <w:t>002</w:t>
                  </w:r>
                </w:p>
              </w:tc>
              <w:tc>
                <w:tcPr>
                  <w:tcW w:w="753" w:type="pct"/>
                  <w:tcBorders>
                    <w:top w:val="single" w:color="auto" w:sz="4" w:space="0"/>
                    <w:left w:val="single" w:color="auto" w:sz="4" w:space="0"/>
                    <w:bottom w:val="single" w:color="auto" w:sz="4" w:space="0"/>
                    <w:right w:val="single" w:color="auto" w:sz="4" w:space="0"/>
                  </w:tcBorders>
                  <w:vAlign w:val="center"/>
                </w:tcPr>
                <w:p>
                  <w:pPr>
                    <w:pStyle w:val="47"/>
                  </w:pPr>
                  <w:r>
                    <w:t>0.</w:t>
                  </w:r>
                  <w:r>
                    <w:rPr>
                      <w:rFonts w:hint="eastAsia"/>
                    </w:rPr>
                    <w:t>002</w:t>
                  </w:r>
                </w:p>
              </w:tc>
              <w:tc>
                <w:tcPr>
                  <w:tcW w:w="786"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jc w:val="center"/>
              </w:trPr>
              <w:tc>
                <w:tcPr>
                  <w:tcW w:w="453" w:type="pct"/>
                  <w:vMerge w:val="continue"/>
                  <w:tcBorders>
                    <w:left w:val="single" w:color="auto" w:sz="4" w:space="0"/>
                    <w:bottom w:val="nil"/>
                    <w:right w:val="single" w:color="auto" w:sz="4" w:space="0"/>
                  </w:tcBorders>
                  <w:vAlign w:val="center"/>
                </w:tcPr>
                <w:p>
                  <w:pPr>
                    <w:snapToGrid w:val="0"/>
                    <w:spacing w:line="240" w:lineRule="auto"/>
                    <w:ind w:firstLine="0" w:firstLineChars="0"/>
                    <w:jc w:val="center"/>
                    <w:rPr>
                      <w:sz w:val="21"/>
                      <w:szCs w:val="21"/>
                    </w:rPr>
                  </w:pPr>
                </w:p>
              </w:tc>
              <w:tc>
                <w:tcPr>
                  <w:tcW w:w="868" w:type="pct"/>
                  <w:tcBorders>
                    <w:top w:val="single" w:color="auto" w:sz="4" w:space="0"/>
                    <w:left w:val="single" w:color="auto" w:sz="4" w:space="0"/>
                    <w:right w:val="nil"/>
                  </w:tcBorders>
                  <w:vAlign w:val="center"/>
                </w:tcPr>
                <w:p>
                  <w:pPr>
                    <w:adjustRightInd w:val="0"/>
                    <w:snapToGrid w:val="0"/>
                    <w:spacing w:line="240" w:lineRule="auto"/>
                    <w:ind w:firstLine="0" w:firstLineChars="0"/>
                    <w:jc w:val="center"/>
                    <w:rPr>
                      <w:sz w:val="21"/>
                      <w:szCs w:val="21"/>
                    </w:rPr>
                  </w:pPr>
                  <w:r>
                    <w:rPr>
                      <w:rFonts w:hint="eastAsia"/>
                      <w:sz w:val="21"/>
                      <w:szCs w:val="21"/>
                    </w:rPr>
                    <w:t>一般固废</w:t>
                  </w:r>
                </w:p>
              </w:tc>
              <w:tc>
                <w:tcPr>
                  <w:tcW w:w="1255" w:type="pct"/>
                  <w:tcBorders>
                    <w:top w:val="single" w:color="auto" w:sz="4" w:space="0"/>
                    <w:left w:val="single" w:color="auto" w:sz="4" w:space="0"/>
                    <w:bottom w:val="single" w:color="auto" w:sz="4" w:space="0"/>
                    <w:right w:val="nil"/>
                  </w:tcBorders>
                  <w:vAlign w:val="center"/>
                </w:tcPr>
                <w:p>
                  <w:pPr>
                    <w:pStyle w:val="47"/>
                    <w:rPr>
                      <w:szCs w:val="21"/>
                    </w:rPr>
                  </w:pPr>
                  <w:r>
                    <w:t>生活垃圾</w:t>
                  </w:r>
                </w:p>
              </w:tc>
              <w:tc>
                <w:tcPr>
                  <w:tcW w:w="883" w:type="pct"/>
                  <w:tcBorders>
                    <w:top w:val="single" w:color="auto" w:sz="4" w:space="0"/>
                    <w:left w:val="single" w:color="auto" w:sz="4" w:space="0"/>
                    <w:bottom w:val="single" w:color="auto" w:sz="4" w:space="0"/>
                    <w:right w:val="single" w:color="auto" w:sz="4" w:space="0"/>
                  </w:tcBorders>
                  <w:vAlign w:val="center"/>
                </w:tcPr>
                <w:p>
                  <w:pPr>
                    <w:pStyle w:val="47"/>
                  </w:pPr>
                  <w:r>
                    <w:t>9.0</w:t>
                  </w:r>
                </w:p>
              </w:tc>
              <w:tc>
                <w:tcPr>
                  <w:tcW w:w="753" w:type="pct"/>
                  <w:tcBorders>
                    <w:top w:val="single" w:color="auto" w:sz="4" w:space="0"/>
                    <w:left w:val="single" w:color="auto" w:sz="4" w:space="0"/>
                    <w:bottom w:val="single" w:color="auto" w:sz="4" w:space="0"/>
                    <w:right w:val="single" w:color="auto" w:sz="4" w:space="0"/>
                  </w:tcBorders>
                  <w:vAlign w:val="center"/>
                </w:tcPr>
                <w:p>
                  <w:pPr>
                    <w:pStyle w:val="47"/>
                  </w:pPr>
                  <w:r>
                    <w:t>9.0</w:t>
                  </w:r>
                </w:p>
              </w:tc>
              <w:tc>
                <w:tcPr>
                  <w:tcW w:w="786"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jc w:val="center"/>
              </w:trPr>
              <w:tc>
                <w:tcPr>
                  <w:tcW w:w="453"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szCs w:val="21"/>
                    </w:rPr>
                  </w:pPr>
                  <w:r>
                    <w:rPr>
                      <w:sz w:val="21"/>
                      <w:szCs w:val="21"/>
                    </w:rPr>
                    <w:t>噪声</w:t>
                  </w:r>
                </w:p>
              </w:tc>
              <w:tc>
                <w:tcPr>
                  <w:tcW w:w="4546" w:type="pct"/>
                  <w:gridSpan w:val="5"/>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sz w:val="21"/>
                      <w:szCs w:val="21"/>
                    </w:rPr>
                    <w:t>本项目的噪声声压级约在60~85dB之间</w:t>
                  </w:r>
                </w:p>
              </w:tc>
            </w:tr>
          </w:tbl>
          <w:p>
            <w:pPr>
              <w:pStyle w:val="6"/>
              <w:rPr>
                <w:kern w:val="2"/>
              </w:rPr>
            </w:pPr>
            <w:bookmarkStart w:id="187" w:name="_Toc29388604"/>
            <w:bookmarkStart w:id="188" w:name="_Toc29380653"/>
            <w:r>
              <w:rPr>
                <w:kern w:val="2"/>
              </w:rPr>
              <w:t>9.1.4项目环境影响分析结论</w:t>
            </w:r>
            <w:bookmarkEnd w:id="187"/>
            <w:bookmarkEnd w:id="188"/>
          </w:p>
          <w:p>
            <w:pPr>
              <w:ind w:firstLine="480"/>
              <w:rPr>
                <w:bCs/>
              </w:rPr>
            </w:pPr>
            <w:r>
              <w:rPr>
                <w:bCs/>
              </w:rPr>
              <w:t>1、地表水环境影响分析结论</w:t>
            </w:r>
          </w:p>
          <w:p>
            <w:pPr>
              <w:adjustRightInd w:val="0"/>
              <w:snapToGrid w:val="0"/>
              <w:ind w:firstLine="480"/>
            </w:pPr>
            <w:r>
              <w:t>本项目主要排放生活污水，要求企业实行清污分流、雨污分流；</w:t>
            </w:r>
            <w:r>
              <w:rPr>
                <w:rFonts w:hint="eastAsia"/>
              </w:rPr>
              <w:t>打磨废水经沉淀后上清液循环使用，定期补充损耗，不外排；</w:t>
            </w:r>
            <w:r>
              <w:t>生活污水经化粪池预处理达到入网标准后排入区域污水收集管网，最终经桐乡市城市污水处理有限责任公司崇福污水处理厂处理达标后排入钱塘江。项目污染物排放较少，因此，本项目正常运行情况下对周围水环境的影响很小。</w:t>
            </w:r>
          </w:p>
          <w:p>
            <w:pPr>
              <w:ind w:firstLine="480"/>
              <w:rPr>
                <w:szCs w:val="22"/>
              </w:rPr>
            </w:pPr>
            <w:r>
              <w:rPr>
                <w:rFonts w:hint="eastAsia"/>
                <w:bCs/>
              </w:rPr>
              <w:t>2</w:t>
            </w:r>
            <w:r>
              <w:rPr>
                <w:rFonts w:hint="eastAsia"/>
                <w:szCs w:val="22"/>
              </w:rPr>
              <w:t>、大气环境影响分析结论</w:t>
            </w:r>
          </w:p>
          <w:p>
            <w:pPr>
              <w:ind w:firstLine="480"/>
            </w:pPr>
            <w:r>
              <w:rPr>
                <w:rFonts w:hint="eastAsia"/>
                <w:szCs w:val="22"/>
              </w:rPr>
              <w:t>根据工程分析，本项目生产</w:t>
            </w:r>
            <w:r>
              <w:rPr>
                <w:rFonts w:hint="eastAsia"/>
              </w:rPr>
              <w:t>过程中产生的</w:t>
            </w:r>
            <w:r>
              <w:t>废气主要为焊接过程中产生的焊接烟尘和</w:t>
            </w:r>
            <w:r>
              <w:rPr>
                <w:rFonts w:hint="eastAsia"/>
              </w:rPr>
              <w:t>浸漆、烘干</w:t>
            </w:r>
            <w:r>
              <w:t>产生的有机废气。</w:t>
            </w:r>
          </w:p>
          <w:p>
            <w:pPr>
              <w:ind w:firstLine="480"/>
            </w:pPr>
            <w:r>
              <w:rPr>
                <w:rFonts w:hint="eastAsia"/>
              </w:rPr>
              <w:t>企业在采取相应污染治理措施后，本项目废气对大气环境影响较小。另外由估算模式计算结果可知，本项目污染物最大地面浓度占标率</w:t>
            </w:r>
            <w:r>
              <w:t>P</w:t>
            </w:r>
            <w:r>
              <w:rPr>
                <w:rFonts w:hint="eastAsia"/>
                <w:vertAlign w:val="subscript"/>
              </w:rPr>
              <w:t>max</w:t>
            </w:r>
            <w:r>
              <w:rPr>
                <w:rFonts w:hint="eastAsia"/>
              </w:rPr>
              <w:t>为0.25%，污染因子为非甲烷总烃，污染源为</w:t>
            </w:r>
            <w:r>
              <w:t>2</w:t>
            </w:r>
            <w:r>
              <w:rPr>
                <w:rFonts w:hint="eastAsia"/>
              </w:rPr>
              <w:t>层生产车间无组织排放。根据《环境影响评价技术导则</w:t>
            </w:r>
            <w:r>
              <w:t>-</w:t>
            </w:r>
            <w:r>
              <w:rPr>
                <w:rFonts w:hint="eastAsia"/>
              </w:rPr>
              <w:t>大气环境》（</w:t>
            </w:r>
            <w:r>
              <w:t>HJ2.2-2018</w:t>
            </w:r>
            <w:r>
              <w:rPr>
                <w:rFonts w:hint="eastAsia"/>
              </w:rPr>
              <w:t>），确定项目大气环境影响评价等级为三级，根据导则，不需进行进一步预测模式作预测。</w:t>
            </w:r>
          </w:p>
          <w:p>
            <w:pPr>
              <w:ind w:firstLine="480"/>
            </w:pPr>
            <w:r>
              <w:rPr>
                <w:rFonts w:hint="eastAsia"/>
              </w:rPr>
              <w:t>本项目大气污染物短期贡献浓度满足环境质量浓度限值，无需设置大气环境防护距离。建议本项目生产车间设置1</w:t>
            </w:r>
            <w:r>
              <w:t>00</w:t>
            </w:r>
            <w:r>
              <w:rPr>
                <w:rFonts w:hint="eastAsia"/>
              </w:rPr>
              <w:t>米卫生防护距离，建议规划等有关部门在本项目生产车间防护距离范围内不批建住宅、医院、学校和食品企业等大气环境敏感点。</w:t>
            </w:r>
          </w:p>
          <w:p>
            <w:pPr>
              <w:ind w:firstLine="480"/>
              <w:rPr>
                <w:bCs/>
              </w:rPr>
            </w:pPr>
            <w:r>
              <w:rPr>
                <w:rFonts w:hint="eastAsia"/>
                <w:bCs/>
              </w:rPr>
              <w:t>3</w:t>
            </w:r>
            <w:r>
              <w:rPr>
                <w:bCs/>
              </w:rPr>
              <w:t>、声环境影响分析结论</w:t>
            </w:r>
          </w:p>
          <w:p>
            <w:pPr>
              <w:ind w:firstLine="480"/>
            </w:pPr>
            <w:r>
              <w:t>根据预测结果，本项目建成后厂界四周昼间噪声预测值均可满足《工业企业厂界环境噪声排放标准》（GB12348-2008）中的3类功能区标准。企业在采取本环评要求的噪声冶理措施后，噪声对周围环境的影响不大，周围声环境维持现状。</w:t>
            </w:r>
          </w:p>
          <w:p>
            <w:pPr>
              <w:ind w:firstLine="480"/>
              <w:rPr>
                <w:bCs/>
              </w:rPr>
            </w:pPr>
            <w:r>
              <w:rPr>
                <w:rFonts w:hint="eastAsia"/>
                <w:bCs/>
              </w:rPr>
              <w:t>4</w:t>
            </w:r>
            <w:r>
              <w:rPr>
                <w:bCs/>
              </w:rPr>
              <w:t>、</w:t>
            </w:r>
            <w:r>
              <w:rPr>
                <w:rFonts w:hint="eastAsia"/>
                <w:bCs/>
              </w:rPr>
              <w:t>固体废物</w:t>
            </w:r>
            <w:r>
              <w:rPr>
                <w:bCs/>
              </w:rPr>
              <w:t>影响分析结论</w:t>
            </w:r>
          </w:p>
          <w:p>
            <w:pPr>
              <w:ind w:firstLine="480"/>
              <w:rPr>
                <w:szCs w:val="22"/>
              </w:rPr>
            </w:pPr>
            <w:r>
              <w:rPr>
                <w:rFonts w:hint="eastAsia"/>
                <w:szCs w:val="22"/>
              </w:rPr>
              <w:t>本项目产生的固体废物主要有</w:t>
            </w:r>
            <w:r>
              <w:t>一般包装材料、</w:t>
            </w:r>
            <w:r>
              <w:rPr>
                <w:rFonts w:hint="eastAsia"/>
              </w:rPr>
              <w:t>金属</w:t>
            </w:r>
            <w:r>
              <w:t>边角料、次品、</w:t>
            </w:r>
            <w:r>
              <w:rPr>
                <w:rFonts w:hint="eastAsia"/>
              </w:rPr>
              <w:t>金属沉渣、废滤芯</w:t>
            </w:r>
            <w:r>
              <w:rPr>
                <w:szCs w:val="22"/>
              </w:rPr>
              <w:t>、</w:t>
            </w:r>
            <w:r>
              <w:t>废乳化液、</w:t>
            </w:r>
            <w:r>
              <w:rPr>
                <w:rFonts w:hint="eastAsia"/>
              </w:rPr>
              <w:t>废漆料、</w:t>
            </w:r>
            <w:r>
              <w:t>废包装桶、</w:t>
            </w:r>
            <w:r>
              <w:rPr>
                <w:rFonts w:hint="eastAsia"/>
              </w:rPr>
              <w:t>废机油、废油桶、</w:t>
            </w:r>
            <w:r>
              <w:t>废活性炭</w:t>
            </w:r>
            <w:r>
              <w:rPr>
                <w:rFonts w:hint="eastAsia"/>
              </w:rPr>
              <w:t>、含漆废抹布和手套、含油废抹布和手套</w:t>
            </w:r>
            <w:r>
              <w:rPr>
                <w:rFonts w:hint="eastAsia"/>
                <w:szCs w:val="22"/>
              </w:rPr>
              <w:t>以及职工</w:t>
            </w:r>
            <w:r>
              <w:rPr>
                <w:szCs w:val="22"/>
              </w:rPr>
              <w:t>生活垃圾</w:t>
            </w:r>
          </w:p>
          <w:p>
            <w:pPr>
              <w:ind w:firstLine="480"/>
              <w:rPr>
                <w:szCs w:val="22"/>
              </w:rPr>
            </w:pPr>
            <w:r>
              <w:rPr>
                <w:rFonts w:hint="eastAsia"/>
                <w:szCs w:val="22"/>
              </w:rPr>
              <w:t>其中</w:t>
            </w:r>
            <w:r>
              <w:t>一般包装材料、</w:t>
            </w:r>
            <w:r>
              <w:rPr>
                <w:rFonts w:hint="eastAsia"/>
              </w:rPr>
              <w:t>金属</w:t>
            </w:r>
            <w:r>
              <w:t>边角料、次品、</w:t>
            </w:r>
            <w:r>
              <w:rPr>
                <w:rFonts w:hint="eastAsia"/>
              </w:rPr>
              <w:t>金属沉渣</w:t>
            </w:r>
            <w:r>
              <w:t>、</w:t>
            </w:r>
            <w:r>
              <w:rPr>
                <w:rFonts w:hint="eastAsia"/>
              </w:rPr>
              <w:t>废滤芯</w:t>
            </w:r>
            <w:r>
              <w:rPr>
                <w:szCs w:val="22"/>
              </w:rPr>
              <w:t>、</w:t>
            </w:r>
            <w:r>
              <w:t>生活垃圾属于一般固废，废乳化液、</w:t>
            </w:r>
            <w:r>
              <w:rPr>
                <w:rFonts w:hint="eastAsia"/>
              </w:rPr>
              <w:t>废漆料、</w:t>
            </w:r>
            <w:r>
              <w:t>废包装桶、</w:t>
            </w:r>
            <w:r>
              <w:rPr>
                <w:rFonts w:hint="eastAsia"/>
              </w:rPr>
              <w:t>废机油、废油桶、</w:t>
            </w:r>
            <w:r>
              <w:t>废活性炭</w:t>
            </w:r>
            <w:r>
              <w:rPr>
                <w:rFonts w:hint="eastAsia"/>
              </w:rPr>
              <w:t>、含漆废抹布和手套、含油废抹布和手套</w:t>
            </w:r>
            <w:r>
              <w:t>属于危险废物</w:t>
            </w:r>
            <w:r>
              <w:rPr>
                <w:szCs w:val="22"/>
              </w:rPr>
              <w:t>。</w:t>
            </w:r>
            <w:r>
              <w:rPr>
                <w:rFonts w:hint="eastAsia"/>
                <w:szCs w:val="22"/>
              </w:rPr>
              <w:t>根据《国家危险废物名录(2021年版)》附录中危险废物豁免管理清单，含油废抹布及手套未分类收集，全过程不按危险废物管理。</w:t>
            </w:r>
          </w:p>
          <w:p>
            <w:pPr>
              <w:ind w:firstLine="480"/>
            </w:pPr>
            <w:r>
              <w:rPr>
                <w:rFonts w:hint="eastAsia"/>
              </w:rPr>
              <w:t>本项目</w:t>
            </w:r>
            <w:r>
              <w:t>一般包装材料、</w:t>
            </w:r>
            <w:r>
              <w:rPr>
                <w:rFonts w:hint="eastAsia"/>
              </w:rPr>
              <w:t>金属</w:t>
            </w:r>
            <w:r>
              <w:t>边角料、次品、</w:t>
            </w:r>
            <w:r>
              <w:rPr>
                <w:rFonts w:hint="eastAsia"/>
              </w:rPr>
              <w:t>金属沉渣、废滤芯</w:t>
            </w:r>
            <w:r>
              <w:t>由企业收集后外售综合利用</w:t>
            </w:r>
            <w:r>
              <w:rPr>
                <w:rFonts w:hint="eastAsia"/>
              </w:rPr>
              <w:t>；</w:t>
            </w:r>
            <w:r>
              <w:t>废乳化液、</w:t>
            </w:r>
            <w:r>
              <w:rPr>
                <w:rFonts w:hint="eastAsia"/>
              </w:rPr>
              <w:t>废漆料、</w:t>
            </w:r>
            <w:r>
              <w:t>废包装桶、</w:t>
            </w:r>
            <w:r>
              <w:rPr>
                <w:rFonts w:hint="eastAsia"/>
              </w:rPr>
              <w:t>废机油、废油桶、</w:t>
            </w:r>
            <w:r>
              <w:t>废活性炭</w:t>
            </w:r>
            <w:r>
              <w:rPr>
                <w:rFonts w:hint="eastAsia"/>
              </w:rPr>
              <w:t>、含漆废抹布和手套</w:t>
            </w:r>
            <w:r>
              <w:t>属于危险废物</w:t>
            </w:r>
            <w:r>
              <w:rPr>
                <w:rFonts w:hint="eastAsia"/>
              </w:rPr>
              <w:t>，要求企业收集后在厂区内危废仓库暂存，定期委托有相关危废处理资质的单位进行集中处置；含油废抹布和手套、</w:t>
            </w:r>
            <w:r>
              <w:t>生活垃圾在厂内定点收集，由当地环卫部门统一清运。</w:t>
            </w:r>
          </w:p>
          <w:p>
            <w:pPr>
              <w:ind w:firstLine="480"/>
            </w:pPr>
            <w:r>
              <w:t>在各类固废妥善处置的前提下，项目固废不会对周围环境产生不利影响。</w:t>
            </w:r>
          </w:p>
          <w:p>
            <w:pPr>
              <w:ind w:firstLine="480"/>
            </w:pPr>
            <w:r>
              <w:rPr>
                <w:rFonts w:hint="eastAsia"/>
              </w:rPr>
              <w:t>5、土壤环境影响分析结论</w:t>
            </w:r>
          </w:p>
          <w:p>
            <w:pPr>
              <w:ind w:firstLine="480"/>
            </w:pPr>
            <w:r>
              <w:t>根据《环境影响评价技术导则 土壤环境（试行）》（HJ964-2018）</w:t>
            </w:r>
            <w:r>
              <w:rPr>
                <w:rFonts w:hint="eastAsia"/>
              </w:rPr>
              <w:t>，本项目属于“制造业”中“设备制造、金属制品、汽车制造及其他用品制造-使用有机涂层的”，</w:t>
            </w:r>
            <w:r>
              <w:t>属于</w:t>
            </w:r>
            <w:r>
              <w:fldChar w:fldCharType="begin"/>
            </w:r>
            <w:r>
              <w:instrText xml:space="preserve"> = 1 \* ROMAN </w:instrText>
            </w:r>
            <w:r>
              <w:fldChar w:fldCharType="separate"/>
            </w:r>
            <w:r>
              <w:t>I</w:t>
            </w:r>
            <w:r>
              <w:fldChar w:fldCharType="end"/>
            </w:r>
            <w:r>
              <w:t>类项目</w:t>
            </w:r>
            <w:r>
              <w:rPr>
                <w:rFonts w:hint="eastAsia"/>
              </w:rPr>
              <w:t>；项目</w:t>
            </w:r>
            <w:r>
              <w:t>占地面积为</w:t>
            </w:r>
            <w:r>
              <w:rPr>
                <w:rFonts w:hint="eastAsia"/>
              </w:rPr>
              <w:t>425</w:t>
            </w:r>
            <w:r>
              <w:t>m</w:t>
            </w:r>
            <w:r>
              <w:rPr>
                <w:vertAlign w:val="superscript"/>
              </w:rPr>
              <w:t>2</w:t>
            </w:r>
            <w:r>
              <w:t>≤5hm</w:t>
            </w:r>
            <w:r>
              <w:rPr>
                <w:vertAlign w:val="superscript"/>
              </w:rPr>
              <w:t>2</w:t>
            </w:r>
            <w:r>
              <w:t>，属于小型建设项目</w:t>
            </w:r>
            <w:r>
              <w:rPr>
                <w:rFonts w:hint="eastAsia"/>
              </w:rPr>
              <w:t>。</w:t>
            </w:r>
            <w:r>
              <w:t>根据7.2.3大气环境影响分析，</w:t>
            </w:r>
            <w:r>
              <w:rPr>
                <w:rFonts w:hint="eastAsia"/>
              </w:rPr>
              <w:t>有组织下风向最大质量浓度落地点距离为125m，本项目130m范围内无土壤环境敏感目标，因此本项目土壤环境敏感程度为“不敏感”。对照《环境影响评价技术导则 土壤环境（实行）》（HJ964-2018）中表4“污染影响型评价工作等级划分表”，判定本项目土壤环境影响评价工作等级为二级。</w:t>
            </w:r>
          </w:p>
          <w:p>
            <w:pPr>
              <w:ind w:firstLine="480"/>
              <w:rPr>
                <w:szCs w:val="22"/>
              </w:rPr>
            </w:pPr>
            <w:r>
              <w:rPr>
                <w:rFonts w:hint="eastAsia"/>
                <w:szCs w:val="22"/>
              </w:rPr>
              <w:t>根据预测分析，项目运营5~50年后周围影响区域土壤中非甲烷总烃累积量叠加现状背景值后，均能满足《土壤环境质量 建设用地土壤污染风险管控标准（试行）》（GB15618-2018）中相应第二类用地筛选值，区域总体土壤污染敏感度较低。本项目在落实土壤保护措施的前提下，项目建设对厂区及周围土壤环境的影响可接受。</w:t>
            </w:r>
          </w:p>
          <w:p>
            <w:pPr>
              <w:pStyle w:val="6"/>
              <w:rPr>
                <w:kern w:val="2"/>
              </w:rPr>
            </w:pPr>
            <w:r>
              <w:rPr>
                <w:kern w:val="2"/>
              </w:rPr>
              <w:t>9.1.5项目污染防治措施</w:t>
            </w:r>
          </w:p>
          <w:p>
            <w:pPr>
              <w:ind w:firstLine="480"/>
            </w:pPr>
            <w:r>
              <w:t>1、地表水防治措施</w:t>
            </w:r>
          </w:p>
          <w:p>
            <w:pPr>
              <w:ind w:firstLine="480"/>
            </w:pPr>
            <w:r>
              <w:t>企业实行清污分流、雨污分流；生活污水经化粪池预处理达到入网标准后排入区域污水收集管网，最终经桐乡市城市污水处理有限责任公司崇福污水处理厂处理达标后排入钱塘江。</w:t>
            </w:r>
          </w:p>
          <w:p>
            <w:pPr>
              <w:ind w:firstLine="480"/>
            </w:pPr>
            <w:r>
              <w:rPr>
                <w:rFonts w:hint="eastAsia"/>
                <w:szCs w:val="21"/>
              </w:rPr>
              <w:t>2</w:t>
            </w:r>
            <w:r>
              <w:rPr>
                <w:szCs w:val="21"/>
              </w:rPr>
              <w:t>、</w:t>
            </w:r>
            <w:r>
              <w:t>废气防治措施</w:t>
            </w:r>
          </w:p>
          <w:p>
            <w:pPr>
              <w:ind w:firstLine="480"/>
              <w:rPr>
                <w:kern w:val="0"/>
              </w:rPr>
            </w:pPr>
            <w:r>
              <w:rPr>
                <w:rFonts w:hint="eastAsia"/>
              </w:rPr>
              <w:t>（1）</w:t>
            </w:r>
            <w:r>
              <w:rPr>
                <w:rFonts w:hint="eastAsia"/>
                <w:szCs w:val="22"/>
              </w:rPr>
              <w:t>焊接烟尘：要求企业在焊接设备上方设置集气罩（收集率按大于80%），收集的烟尘使用移动式焊接烟尘净化器处理（滤芯除尘，处理效率按</w:t>
            </w:r>
            <w:r>
              <w:rPr>
                <w:szCs w:val="22"/>
              </w:rPr>
              <w:t>9</w:t>
            </w:r>
            <w:r>
              <w:rPr>
                <w:rFonts w:hint="eastAsia"/>
                <w:szCs w:val="22"/>
              </w:rPr>
              <w:t>0</w:t>
            </w:r>
            <w:r>
              <w:rPr>
                <w:szCs w:val="22"/>
              </w:rPr>
              <w:t>%</w:t>
            </w:r>
            <w:r>
              <w:rPr>
                <w:rFonts w:hint="eastAsia"/>
                <w:szCs w:val="22"/>
              </w:rPr>
              <w:t>计）后，尾气在车间内无组织排放。</w:t>
            </w:r>
          </w:p>
          <w:p>
            <w:pPr>
              <w:ind w:firstLine="480"/>
            </w:pPr>
            <w:r>
              <w:rPr>
                <w:rFonts w:hint="eastAsia"/>
                <w:kern w:val="0"/>
              </w:rPr>
              <w:t>（2）有机废气：</w:t>
            </w:r>
            <w:r>
              <w:rPr>
                <w:rFonts w:hint="eastAsia"/>
              </w:rPr>
              <w:t>要求企业在生产过程中将</w:t>
            </w:r>
            <w:r>
              <w:t>真空浸漆和烘干过程中均置于独立密闭车间内，保持微负压状态对废气进行收集，</w:t>
            </w:r>
            <w:r>
              <w:rPr>
                <w:rFonts w:hint="eastAsia"/>
                <w:szCs w:val="22"/>
              </w:rPr>
              <w:t>再</w:t>
            </w:r>
            <w:r>
              <w:t>经</w:t>
            </w:r>
            <w:r>
              <w:rPr>
                <w:rFonts w:hint="eastAsia"/>
              </w:rPr>
              <w:t>“一级活性炭+二级活性炭”吸附处理</w:t>
            </w:r>
            <w:r>
              <w:t>后通过</w:t>
            </w:r>
            <w:r>
              <w:rPr>
                <w:rFonts w:hint="eastAsia"/>
              </w:rPr>
              <w:t>20</w:t>
            </w:r>
            <w:r>
              <w:t>m高以上的排气筒高空排放，废气收集效率以90%计，净化效率以90%计，配套风机额定风量为5000m</w:t>
            </w:r>
            <w:r>
              <w:rPr>
                <w:vertAlign w:val="superscript"/>
              </w:rPr>
              <w:t>3</w:t>
            </w:r>
            <w:r>
              <w:t>/h（可达到整体密闭车间换风次数不小于8次/h的要求）。</w:t>
            </w:r>
          </w:p>
          <w:p>
            <w:pPr>
              <w:ind w:firstLine="480"/>
            </w:pPr>
            <w:r>
              <w:rPr>
                <w:rFonts w:hint="eastAsia"/>
              </w:rPr>
              <w:t>3</w:t>
            </w:r>
            <w:r>
              <w:t>、噪声防治措施</w:t>
            </w:r>
          </w:p>
          <w:p>
            <w:pPr>
              <w:ind w:firstLine="480"/>
              <w:rPr>
                <w:szCs w:val="22"/>
              </w:rPr>
            </w:pPr>
            <w:r>
              <w:t>要求企业对强声源设备采用防震、消声、隔音等降噪措施</w:t>
            </w:r>
            <w:r>
              <w:rPr>
                <w:rFonts w:hint="eastAsia"/>
              </w:rPr>
              <w:t>，</w:t>
            </w:r>
            <w:r>
              <w:rPr>
                <w:szCs w:val="22"/>
              </w:rPr>
              <w:t>生产车间</w:t>
            </w:r>
            <w:r>
              <w:rPr>
                <w:rFonts w:hint="eastAsia"/>
                <w:szCs w:val="22"/>
              </w:rPr>
              <w:t>南、北侧墙壁上</w:t>
            </w:r>
            <w:r>
              <w:rPr>
                <w:szCs w:val="22"/>
              </w:rPr>
              <w:t>设置</w:t>
            </w:r>
            <w:r>
              <w:rPr>
                <w:rFonts w:hint="eastAsia"/>
                <w:szCs w:val="22"/>
              </w:rPr>
              <w:t>双层中空</w:t>
            </w:r>
            <w:r>
              <w:rPr>
                <w:szCs w:val="22"/>
              </w:rPr>
              <w:t>隔声窗户，确保生产车间</w:t>
            </w:r>
            <w:r>
              <w:rPr>
                <w:rFonts w:hint="eastAsia"/>
                <w:szCs w:val="22"/>
              </w:rPr>
              <w:t>南、北侧</w:t>
            </w:r>
            <w:r>
              <w:rPr>
                <w:szCs w:val="22"/>
              </w:rPr>
              <w:t>隔声量大于</w:t>
            </w:r>
            <w:r>
              <w:rPr>
                <w:rFonts w:hint="eastAsia"/>
                <w:szCs w:val="22"/>
              </w:rPr>
              <w:t>25</w:t>
            </w:r>
            <w:r>
              <w:rPr>
                <w:szCs w:val="22"/>
              </w:rPr>
              <w:t>dB，</w:t>
            </w:r>
            <w:r>
              <w:rPr>
                <w:rFonts w:hint="eastAsia"/>
                <w:szCs w:val="22"/>
              </w:rPr>
              <w:t>东侧墙壁上设置隔声窗户，隔声量大于20dB</w:t>
            </w:r>
            <w:r>
              <w:t>；加强生产设备的维修保养，发现设备有异常声音应及时维修；加强厂区绿化。</w:t>
            </w:r>
          </w:p>
          <w:p>
            <w:pPr>
              <w:ind w:firstLine="480"/>
            </w:pPr>
            <w:r>
              <w:rPr>
                <w:rFonts w:hint="eastAsia"/>
              </w:rPr>
              <w:t>4</w:t>
            </w:r>
            <w:r>
              <w:t>、固体废物防治措施</w:t>
            </w:r>
          </w:p>
          <w:p>
            <w:pPr>
              <w:ind w:firstLine="480"/>
            </w:pPr>
            <w:bookmarkStart w:id="189" w:name="_Hlk37939849"/>
            <w:r>
              <w:rPr>
                <w:rFonts w:hint="eastAsia"/>
              </w:rPr>
              <w:t>一般包装材料、金属边角料、次品、金属沉渣、废滤芯由企业收集后外售综合利用；废乳化液、废漆料、废包装桶、废机油、废油桶、废活性炭、含漆废抹布和手套属于危险废物，要求企业收集后在厂区内危废仓库暂存，定期委托有相关危废处理资质的单位进行集中处置；含油废抹布和手套、生活垃圾在厂内定点收集，由当地环卫部门统一清运。</w:t>
            </w:r>
          </w:p>
          <w:p>
            <w:pPr>
              <w:ind w:firstLine="480"/>
            </w:pPr>
            <w:r>
              <w:rPr>
                <w:rFonts w:hint="eastAsia"/>
              </w:rPr>
              <w:t>5、土壤环境防治措施</w:t>
            </w:r>
          </w:p>
          <w:p>
            <w:pPr>
              <w:ind w:firstLine="480"/>
            </w:pPr>
            <w:r>
              <w:rPr>
                <w:rFonts w:hint="eastAsia"/>
              </w:rPr>
              <w:t>企业切实落实好废水的收集、输送以及各类固体废物、化学品原料的贮存工作，做好生产车间和各环保设施的防腐防渗工作，并对防渗系统进行定时的检修维护；加强生产管理，避免生产过程中的跑冒滴漏现象；做好日常土壤防护工作，防治污染物质进入土壤环境。</w:t>
            </w:r>
          </w:p>
          <w:p>
            <w:pPr>
              <w:ind w:firstLine="480"/>
            </w:pPr>
            <w:r>
              <w:rPr>
                <w:rFonts w:hint="eastAsia"/>
              </w:rPr>
              <w:t>6、环境风险防范措施</w:t>
            </w:r>
          </w:p>
          <w:bookmarkEnd w:id="189"/>
          <w:p>
            <w:pPr>
              <w:ind w:firstLine="480"/>
              <w:rPr>
                <w:lang w:val="zh-CN"/>
              </w:rPr>
            </w:pPr>
            <w:bookmarkStart w:id="190" w:name="_Toc29380655"/>
            <w:bookmarkStart w:id="191" w:name="_Toc29388606"/>
            <w:r>
              <w:rPr>
                <w:rFonts w:hint="eastAsia"/>
                <w:lang w:val="zh-CN"/>
              </w:rPr>
              <w:t>要求企业严格遵守国家已有标准，进行危险物质的存放；加强管理，对出现的泄漏要及时采取措施，对隐患要坚决消除，实行以防火为中心的安全管理；配备应急救援设施和器材；为防止可能产生的地面积聚的</w:t>
            </w:r>
            <w:r>
              <w:rPr>
                <w:rFonts w:hint="eastAsia"/>
              </w:rPr>
              <w:t>机油、废机油、废乳化液和废漆料</w:t>
            </w:r>
            <w:r>
              <w:rPr>
                <w:rFonts w:hint="eastAsia"/>
                <w:lang w:val="zh-CN"/>
              </w:rPr>
              <w:t>，以及受油类物质、高浓度有机废液污染的雨水通过地面渗透进入附近土层和水体中，厂区车间地面用水泥硬化处理，危废仓库进行防渗防漏处理；针对运营中可能产生的异常现象和存在的安全隐患，设置合理可行的技术措施，制定严格的操作规程；对原料仓库、危废仓库实行定期巡检制度，及时发现问题，尽快解决；严格执行防火、防爆、防雷击、防毒害等各项要求。</w:t>
            </w:r>
          </w:p>
          <w:p>
            <w:pPr>
              <w:ind w:firstLine="480"/>
              <w:rPr>
                <w:lang w:val="zh-CN"/>
              </w:rPr>
            </w:pPr>
            <w:r>
              <w:rPr>
                <w:rFonts w:hint="eastAsia"/>
                <w:lang w:val="zh-CN"/>
              </w:rPr>
              <w:t>要求企业应做好日常的设施设备维护工作，严格现场操作管理规范与清理工作，同时，车间内应杜绝明火，特别是原料仓库、危废仓库，车间墙壁张贴相应警告标志，平时加强对生产设施的维护、检修，确保设备正常运行，杜绝安全事故的发生。定期进行防火检查，一要进行制度落实情况检查，二要对消防设备器材进行检查维修，保证设备器材完好有效、消防通道畅通无阻。</w:t>
            </w:r>
          </w:p>
          <w:p>
            <w:pPr>
              <w:pStyle w:val="5"/>
              <w:rPr>
                <w:kern w:val="2"/>
              </w:rPr>
            </w:pPr>
            <w:r>
              <w:rPr>
                <w:kern w:val="2"/>
              </w:rPr>
              <w:t>9.2环保审批原则符合性分析</w:t>
            </w:r>
            <w:bookmarkEnd w:id="190"/>
            <w:bookmarkEnd w:id="191"/>
          </w:p>
          <w:p>
            <w:pPr>
              <w:ind w:firstLine="480"/>
            </w:pPr>
            <w:r>
              <w:t>环评根据《浙江省建设项目环境保护管理办法》（省政府令第364 号）中相关要求进行环保审批原则相符性分析。</w:t>
            </w:r>
          </w:p>
          <w:p>
            <w:pPr>
              <w:pStyle w:val="6"/>
              <w:rPr>
                <w:kern w:val="2"/>
              </w:rPr>
            </w:pPr>
            <w:bookmarkStart w:id="192" w:name="_Toc29388607"/>
            <w:bookmarkStart w:id="193" w:name="_Toc29380656"/>
            <w:r>
              <w:rPr>
                <w:kern w:val="2"/>
              </w:rPr>
              <w:t>9.2.1建设项目环评审批原则符合性分析</w:t>
            </w:r>
            <w:bookmarkEnd w:id="192"/>
            <w:bookmarkEnd w:id="193"/>
          </w:p>
          <w:p>
            <w:pPr>
              <w:ind w:firstLine="480"/>
            </w:pPr>
            <w:r>
              <w:t>1、建设项目符合</w:t>
            </w:r>
            <w:r>
              <w:rPr>
                <w:rFonts w:hint="eastAsia" w:ascii="宋体" w:hAnsi="宋体" w:cs="宋体"/>
                <w:kern w:val="0"/>
                <w:szCs w:val="24"/>
                <w:lang w:bidi="ar"/>
              </w:rPr>
              <w:t>生态环境分区管控方案</w:t>
            </w:r>
            <w:r>
              <w:t>的要求</w:t>
            </w:r>
          </w:p>
          <w:p>
            <w:pPr>
              <w:ind w:firstLine="480"/>
            </w:pPr>
            <w:r>
              <w:t>本</w:t>
            </w:r>
            <w:r>
              <w:rPr>
                <w:szCs w:val="22"/>
              </w:rPr>
              <w:t>项目位于</w:t>
            </w:r>
            <w:r>
              <w:rPr>
                <w:rFonts w:hint="eastAsia"/>
                <w:szCs w:val="22"/>
              </w:rPr>
              <w:t>桐乡市崇福镇杭福路1336号20幢1号</w:t>
            </w:r>
            <w:r>
              <w:rPr>
                <w:szCs w:val="22"/>
              </w:rPr>
              <w:t>，</w:t>
            </w:r>
            <w:r>
              <w:rPr>
                <w:rFonts w:hint="eastAsia"/>
              </w:rPr>
              <w:t>根据《桐乡市人民政府关于印发桐乡市</w:t>
            </w:r>
            <w:r>
              <w:t>“</w:t>
            </w:r>
            <w:r>
              <w:rPr>
                <w:rFonts w:hint="eastAsia"/>
              </w:rPr>
              <w:t>三线一单</w:t>
            </w:r>
            <w:r>
              <w:t>”</w:t>
            </w:r>
            <w:r>
              <w:rPr>
                <w:rFonts w:hint="eastAsia"/>
              </w:rPr>
              <w:t>生态环境分区管控方案的通知》（桐政发[</w:t>
            </w:r>
            <w:r>
              <w:t>2020</w:t>
            </w:r>
            <w:r>
              <w:rPr>
                <w:rFonts w:hint="eastAsia"/>
              </w:rPr>
              <w:t>]</w:t>
            </w:r>
            <w:r>
              <w:t>22</w:t>
            </w:r>
            <w:r>
              <w:rPr>
                <w:rFonts w:hint="eastAsia"/>
              </w:rPr>
              <w:t>号）及《桐乡市</w:t>
            </w:r>
            <w:r>
              <w:t>“</w:t>
            </w:r>
            <w:r>
              <w:rPr>
                <w:rFonts w:hint="eastAsia"/>
              </w:rPr>
              <w:t>三线一单</w:t>
            </w:r>
            <w:r>
              <w:t>”</w:t>
            </w:r>
            <w:r>
              <w:rPr>
                <w:rFonts w:hint="eastAsia"/>
              </w:rPr>
              <w:t>生态环境分区管控方案》，本项目位于桐乡市崇福镇产业集聚重点管控单元，环境管控单元编码ZH33048320001。</w:t>
            </w:r>
          </w:p>
          <w:p>
            <w:pPr>
              <w:ind w:firstLine="480"/>
            </w:pPr>
            <w:r>
              <w:t>本项目主要</w:t>
            </w:r>
            <w:r>
              <w:rPr>
                <w:rFonts w:hint="eastAsia"/>
              </w:rPr>
              <w:t>从事精密配件、后倾离心风机的生产</w:t>
            </w:r>
            <w:r>
              <w:t>，</w:t>
            </w:r>
            <w:r>
              <w:rPr>
                <w:rFonts w:hint="eastAsia"/>
              </w:rPr>
              <w:t>属于</w:t>
            </w:r>
            <w:r>
              <w:t>国民经济行业分类中</w:t>
            </w:r>
            <w:r>
              <w:rPr>
                <w:rFonts w:hint="eastAsia"/>
              </w:rPr>
              <w:t>“C346 烘炉、风机、包装等设备制造”，</w:t>
            </w:r>
            <w:r>
              <w:t>为二类工业项目，对照区域生态环境管控单元生态环境准入清单，本项目建设符合该区管控方案的要求。</w:t>
            </w:r>
          </w:p>
          <w:p>
            <w:pPr>
              <w:ind w:firstLine="480"/>
            </w:pPr>
            <w:r>
              <w:t>2、排放污染物符合国家和本省规定的污染物排放标准</w:t>
            </w:r>
          </w:p>
          <w:p>
            <w:pPr>
              <w:ind w:firstLine="480"/>
            </w:pPr>
            <w:r>
              <w:t>根据工程分析和环境影响分析结果，本项目实施后，在严格按照本报告提出的污染防治措施实施的前提下，本项目废水、废气和噪声均能满足国家和本省规定的污染物排放标准。固废均按照“资源化、无害化”的原则进行处置。因此，本项目污染物排放符合达标排放原则。</w:t>
            </w:r>
          </w:p>
          <w:p>
            <w:pPr>
              <w:ind w:firstLine="480"/>
            </w:pPr>
            <w:r>
              <w:t>3、排放污染物符合国家、省规定的主要污染物排放总量控制指标</w:t>
            </w:r>
          </w:p>
          <w:p>
            <w:pPr>
              <w:ind w:firstLine="480"/>
            </w:pPr>
            <w:r>
              <w:t>根据本项目污染物特征，纳入总量控制的污染物为COD</w:t>
            </w:r>
            <w:r>
              <w:rPr>
                <w:vertAlign w:val="subscript"/>
              </w:rPr>
              <w:t>Cr</w:t>
            </w:r>
            <w:r>
              <w:t>、NH</w:t>
            </w:r>
            <w:r>
              <w:rPr>
                <w:vertAlign w:val="subscript"/>
              </w:rPr>
              <w:t>3</w:t>
            </w:r>
            <w:r>
              <w:t>-N</w:t>
            </w:r>
            <w:r>
              <w:rPr>
                <w:rFonts w:hint="eastAsia"/>
              </w:rPr>
              <w:t>、颗粒物、VOCs</w:t>
            </w:r>
            <w:r>
              <w:rPr>
                <w:bCs/>
                <w:snapToGrid w:val="0"/>
                <w:kern w:val="0"/>
              </w:rPr>
              <w:t>。</w:t>
            </w:r>
          </w:p>
          <w:p>
            <w:pPr>
              <w:ind w:firstLine="480"/>
            </w:pPr>
            <w:r>
              <w:t>本项目实施后企业排放的废水为生活污水，无生产废水排放，根据（浙环发 [2012]10号文件）规定，其新增生活污水排放量可以不需区域替代削减</w:t>
            </w:r>
            <w:r>
              <w:rPr>
                <w:rFonts w:hint="eastAsia"/>
              </w:rPr>
              <w:t>；新增颗粒物、VOCs排放量在桐乡市桐乡市范围内调剂解决。</w:t>
            </w:r>
          </w:p>
          <w:p>
            <w:pPr>
              <w:pStyle w:val="46"/>
              <w:rPr>
                <w:rFonts w:hint="eastAsia"/>
              </w:rPr>
            </w:pPr>
          </w:p>
          <w:p>
            <w:pPr>
              <w:pStyle w:val="46"/>
              <w:rPr>
                <w:rFonts w:hint="eastAsia"/>
              </w:rPr>
            </w:pPr>
          </w:p>
          <w:p>
            <w:pPr>
              <w:pStyle w:val="46"/>
              <w:rPr>
                <w:rFonts w:hint="eastAsia"/>
              </w:rPr>
            </w:pPr>
          </w:p>
          <w:p>
            <w:pPr>
              <w:pStyle w:val="46"/>
              <w:rPr>
                <w:rFonts w:hint="eastAsia"/>
              </w:rPr>
            </w:pPr>
          </w:p>
          <w:p>
            <w:pPr>
              <w:pStyle w:val="46"/>
              <w:rPr>
                <w:rFonts w:hint="eastAsia"/>
              </w:rPr>
            </w:pPr>
          </w:p>
          <w:p>
            <w:pPr>
              <w:pStyle w:val="46"/>
              <w:rPr>
                <w:rFonts w:hint="eastAsia"/>
              </w:rPr>
            </w:pPr>
          </w:p>
          <w:p>
            <w:pPr>
              <w:pStyle w:val="46"/>
            </w:pPr>
            <w:r>
              <w:rPr>
                <w:rFonts w:hint="eastAsia"/>
              </w:rPr>
              <w:t>表9-2 总量控制建议指标汇总表</w:t>
            </w:r>
            <w:r>
              <w:t xml:space="preserve">  </w:t>
            </w:r>
            <w:r>
              <w:rPr>
                <w:rFonts w:hint="eastAsia"/>
              </w:rPr>
              <w:t>单位：</w:t>
            </w:r>
            <w:r>
              <w:t>t/a</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3"/>
              <w:gridCol w:w="1743"/>
              <w:gridCol w:w="1743"/>
              <w:gridCol w:w="1744"/>
              <w:gridCol w:w="1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4" w:hRule="atLeast"/>
                <w:jc w:val="center"/>
              </w:trPr>
              <w:tc>
                <w:tcPr>
                  <w:tcW w:w="1000" w:type="pct"/>
                  <w:tcBorders>
                    <w:top w:val="single" w:color="auto" w:sz="4" w:space="0"/>
                    <w:left w:val="single" w:color="auto" w:sz="4" w:space="0"/>
                    <w:bottom w:val="single" w:color="auto" w:sz="4" w:space="0"/>
                    <w:right w:val="single" w:color="auto" w:sz="4" w:space="0"/>
                  </w:tcBorders>
                  <w:vAlign w:val="center"/>
                </w:tcPr>
                <w:p>
                  <w:pPr>
                    <w:pStyle w:val="46"/>
                  </w:pPr>
                  <w:r>
                    <w:rPr>
                      <w:rFonts w:hint="eastAsia"/>
                    </w:rPr>
                    <w:t>污染物名称</w:t>
                  </w:r>
                </w:p>
              </w:tc>
              <w:tc>
                <w:tcPr>
                  <w:tcW w:w="1000" w:type="pct"/>
                  <w:tcBorders>
                    <w:top w:val="single" w:color="auto" w:sz="4" w:space="0"/>
                    <w:left w:val="single" w:color="auto" w:sz="4" w:space="0"/>
                    <w:bottom w:val="single" w:color="auto" w:sz="4" w:space="0"/>
                    <w:right w:val="single" w:color="auto" w:sz="4" w:space="0"/>
                  </w:tcBorders>
                  <w:vAlign w:val="center"/>
                </w:tcPr>
                <w:p>
                  <w:pPr>
                    <w:pStyle w:val="46"/>
                  </w:pPr>
                  <w:r>
                    <w:rPr>
                      <w:rFonts w:hint="eastAsia"/>
                    </w:rPr>
                    <w:t>本项目总量</w:t>
                  </w:r>
                </w:p>
                <w:p>
                  <w:pPr>
                    <w:pStyle w:val="46"/>
                  </w:pPr>
                  <w:r>
                    <w:rPr>
                      <w:rFonts w:hint="eastAsia"/>
                    </w:rPr>
                    <w:t>控制指标</w:t>
                  </w:r>
                </w:p>
              </w:tc>
              <w:tc>
                <w:tcPr>
                  <w:tcW w:w="1000" w:type="pct"/>
                  <w:tcBorders>
                    <w:top w:val="single" w:color="auto" w:sz="4" w:space="0"/>
                    <w:left w:val="single" w:color="auto" w:sz="4" w:space="0"/>
                    <w:bottom w:val="single" w:color="auto" w:sz="4" w:space="0"/>
                    <w:right w:val="single" w:color="auto" w:sz="4" w:space="0"/>
                  </w:tcBorders>
                  <w:vAlign w:val="center"/>
                </w:tcPr>
                <w:p>
                  <w:pPr>
                    <w:pStyle w:val="46"/>
                  </w:pPr>
                  <w:r>
                    <w:rPr>
                      <w:rFonts w:hint="eastAsia"/>
                    </w:rPr>
                    <w:t>区域削减量</w:t>
                  </w:r>
                </w:p>
              </w:tc>
              <w:tc>
                <w:tcPr>
                  <w:tcW w:w="1000" w:type="pct"/>
                  <w:tcBorders>
                    <w:top w:val="single" w:color="auto" w:sz="4" w:space="0"/>
                    <w:left w:val="single" w:color="auto" w:sz="4" w:space="0"/>
                    <w:bottom w:val="single" w:color="auto" w:sz="4" w:space="0"/>
                    <w:right w:val="single" w:color="auto" w:sz="2" w:space="0"/>
                  </w:tcBorders>
                  <w:vAlign w:val="center"/>
                </w:tcPr>
                <w:p>
                  <w:pPr>
                    <w:pStyle w:val="46"/>
                  </w:pPr>
                  <w:r>
                    <w:rPr>
                      <w:rFonts w:hint="eastAsia"/>
                    </w:rPr>
                    <w:t>削减替代来源</w:t>
                  </w:r>
                </w:p>
              </w:tc>
              <w:tc>
                <w:tcPr>
                  <w:tcW w:w="1000" w:type="pct"/>
                  <w:tcBorders>
                    <w:top w:val="single" w:color="auto" w:sz="4" w:space="0"/>
                    <w:left w:val="single" w:color="auto" w:sz="4" w:space="0"/>
                    <w:bottom w:val="single" w:color="auto" w:sz="4" w:space="0"/>
                    <w:right w:val="single" w:color="auto" w:sz="4" w:space="0"/>
                  </w:tcBorders>
                  <w:vAlign w:val="center"/>
                </w:tcPr>
                <w:p>
                  <w:pPr>
                    <w:pStyle w:val="46"/>
                  </w:pPr>
                  <w:r>
                    <w:rPr>
                      <w:rFonts w:hint="eastAsia"/>
                    </w:rPr>
                    <w:t>建议控制</w:t>
                  </w:r>
                </w:p>
                <w:p>
                  <w:pPr>
                    <w:pStyle w:val="46"/>
                  </w:pPr>
                  <w:r>
                    <w:rPr>
                      <w:rFonts w:hint="eastAsia"/>
                    </w:rPr>
                    <w:t>总量指标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000" w:type="pct"/>
                  <w:tcBorders>
                    <w:top w:val="single" w:color="auto" w:sz="4" w:space="0"/>
                    <w:left w:val="single" w:color="auto" w:sz="4" w:space="0"/>
                    <w:bottom w:val="single" w:color="auto" w:sz="4" w:space="0"/>
                    <w:right w:val="single" w:color="auto" w:sz="4" w:space="0"/>
                  </w:tcBorders>
                  <w:vAlign w:val="center"/>
                </w:tcPr>
                <w:p>
                  <w:pPr>
                    <w:pStyle w:val="47"/>
                  </w:pPr>
                  <w:r>
                    <w:t>COD</w:t>
                  </w:r>
                  <w:r>
                    <w:rPr>
                      <w:vertAlign w:val="subscript"/>
                    </w:rPr>
                    <w:t>Cr</w:t>
                  </w:r>
                </w:p>
              </w:tc>
              <w:tc>
                <w:tcPr>
                  <w:tcW w:w="1000"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0.020</w:t>
                  </w:r>
                </w:p>
              </w:tc>
              <w:tc>
                <w:tcPr>
                  <w:tcW w:w="1000" w:type="pct"/>
                  <w:tcBorders>
                    <w:top w:val="single" w:color="auto" w:sz="4" w:space="0"/>
                    <w:left w:val="single" w:color="auto" w:sz="4" w:space="0"/>
                    <w:bottom w:val="single" w:color="auto" w:sz="4" w:space="0"/>
                    <w:right w:val="single" w:color="auto" w:sz="4" w:space="0"/>
                  </w:tcBorders>
                  <w:vAlign w:val="center"/>
                </w:tcPr>
                <w:p>
                  <w:pPr>
                    <w:pStyle w:val="47"/>
                  </w:pPr>
                  <w:r>
                    <w:t>/</w:t>
                  </w:r>
                </w:p>
              </w:tc>
              <w:tc>
                <w:tcPr>
                  <w:tcW w:w="1000" w:type="pct"/>
                  <w:tcBorders>
                    <w:top w:val="single" w:color="auto" w:sz="4" w:space="0"/>
                    <w:left w:val="single" w:color="auto" w:sz="4" w:space="0"/>
                    <w:bottom w:val="single" w:color="auto" w:sz="4" w:space="0"/>
                    <w:right w:val="single" w:color="auto" w:sz="2" w:space="0"/>
                  </w:tcBorders>
                  <w:vAlign w:val="center"/>
                </w:tcPr>
                <w:p>
                  <w:pPr>
                    <w:pStyle w:val="47"/>
                  </w:pPr>
                  <w:r>
                    <w:t>/</w:t>
                  </w:r>
                </w:p>
              </w:tc>
              <w:tc>
                <w:tcPr>
                  <w:tcW w:w="1630" w:type="dxa"/>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000" w:type="pct"/>
                  <w:tcBorders>
                    <w:top w:val="single" w:color="auto" w:sz="4" w:space="0"/>
                    <w:left w:val="single" w:color="auto" w:sz="4" w:space="0"/>
                    <w:bottom w:val="single" w:color="auto" w:sz="4" w:space="0"/>
                    <w:right w:val="single" w:color="auto" w:sz="4" w:space="0"/>
                  </w:tcBorders>
                  <w:vAlign w:val="center"/>
                </w:tcPr>
                <w:p>
                  <w:pPr>
                    <w:pStyle w:val="47"/>
                  </w:pPr>
                  <w:r>
                    <w:t>NH</w:t>
                  </w:r>
                  <w:r>
                    <w:rPr>
                      <w:vertAlign w:val="subscript"/>
                    </w:rPr>
                    <w:t>3</w:t>
                  </w:r>
                  <w:r>
                    <w:t>-N</w:t>
                  </w:r>
                </w:p>
              </w:tc>
              <w:tc>
                <w:tcPr>
                  <w:tcW w:w="1000"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0.002</w:t>
                  </w:r>
                </w:p>
              </w:tc>
              <w:tc>
                <w:tcPr>
                  <w:tcW w:w="1000" w:type="pct"/>
                  <w:tcBorders>
                    <w:top w:val="single" w:color="auto" w:sz="4" w:space="0"/>
                    <w:left w:val="single" w:color="auto" w:sz="4" w:space="0"/>
                    <w:bottom w:val="single" w:color="auto" w:sz="4" w:space="0"/>
                    <w:right w:val="single" w:color="auto" w:sz="4" w:space="0"/>
                  </w:tcBorders>
                  <w:vAlign w:val="center"/>
                </w:tcPr>
                <w:p>
                  <w:pPr>
                    <w:pStyle w:val="47"/>
                  </w:pPr>
                  <w:r>
                    <w:t>/</w:t>
                  </w:r>
                </w:p>
              </w:tc>
              <w:tc>
                <w:tcPr>
                  <w:tcW w:w="1000" w:type="pct"/>
                  <w:tcBorders>
                    <w:top w:val="single" w:color="auto" w:sz="4" w:space="0"/>
                    <w:left w:val="single" w:color="auto" w:sz="4" w:space="0"/>
                    <w:bottom w:val="single" w:color="auto" w:sz="4" w:space="0"/>
                    <w:right w:val="single" w:color="auto" w:sz="2" w:space="0"/>
                  </w:tcBorders>
                  <w:vAlign w:val="center"/>
                </w:tcPr>
                <w:p>
                  <w:pPr>
                    <w:pStyle w:val="47"/>
                  </w:pPr>
                  <w:r>
                    <w:t>/</w:t>
                  </w:r>
                </w:p>
              </w:tc>
              <w:tc>
                <w:tcPr>
                  <w:tcW w:w="1630" w:type="dxa"/>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000"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颗粒物</w:t>
                  </w:r>
                </w:p>
              </w:tc>
              <w:tc>
                <w:tcPr>
                  <w:tcW w:w="1000"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0.001</w:t>
                  </w:r>
                </w:p>
              </w:tc>
              <w:tc>
                <w:tcPr>
                  <w:tcW w:w="1000"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0.002</w:t>
                  </w:r>
                </w:p>
              </w:tc>
              <w:tc>
                <w:tcPr>
                  <w:tcW w:w="1000" w:type="pct"/>
                  <w:tcBorders>
                    <w:top w:val="single" w:color="auto" w:sz="4" w:space="0"/>
                    <w:left w:val="single" w:color="auto" w:sz="4" w:space="0"/>
                    <w:bottom w:val="single" w:color="auto" w:sz="4" w:space="0"/>
                    <w:right w:val="single" w:color="auto" w:sz="2" w:space="0"/>
                  </w:tcBorders>
                  <w:vAlign w:val="center"/>
                </w:tcPr>
                <w:p>
                  <w:pPr>
                    <w:pStyle w:val="47"/>
                  </w:pPr>
                  <w:r>
                    <w:rPr>
                      <w:rFonts w:hint="eastAsia"/>
                    </w:rPr>
                    <w:t>/</w:t>
                  </w:r>
                </w:p>
              </w:tc>
              <w:tc>
                <w:tcPr>
                  <w:tcW w:w="1000"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000"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VOCs</w:t>
                  </w:r>
                </w:p>
              </w:tc>
              <w:tc>
                <w:tcPr>
                  <w:tcW w:w="1000"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0.087</w:t>
                  </w:r>
                </w:p>
              </w:tc>
              <w:tc>
                <w:tcPr>
                  <w:tcW w:w="1000"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0.174</w:t>
                  </w:r>
                </w:p>
              </w:tc>
              <w:tc>
                <w:tcPr>
                  <w:tcW w:w="1000" w:type="pct"/>
                  <w:tcBorders>
                    <w:top w:val="single" w:color="auto" w:sz="4" w:space="0"/>
                    <w:left w:val="single" w:color="auto" w:sz="4" w:space="0"/>
                    <w:bottom w:val="single" w:color="auto" w:sz="4" w:space="0"/>
                    <w:right w:val="single" w:color="auto" w:sz="2" w:space="0"/>
                  </w:tcBorders>
                  <w:vAlign w:val="center"/>
                </w:tcPr>
                <w:p>
                  <w:pPr>
                    <w:pStyle w:val="47"/>
                  </w:pPr>
                  <w:r>
                    <w:rPr>
                      <w:rFonts w:hint="eastAsia"/>
                    </w:rPr>
                    <w:t>/</w:t>
                  </w:r>
                </w:p>
              </w:tc>
              <w:tc>
                <w:tcPr>
                  <w:tcW w:w="1000"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0.087</w:t>
                  </w:r>
                </w:p>
              </w:tc>
            </w:tr>
          </w:tbl>
          <w:p>
            <w:pPr>
              <w:ind w:firstLine="480"/>
            </w:pPr>
            <w:r>
              <w:t>4、造成的环境影响符合建设项目所在地</w:t>
            </w:r>
            <w:r>
              <w:rPr>
                <w:rFonts w:hint="eastAsia"/>
              </w:rPr>
              <w:t>生态环境分区管控方案</w:t>
            </w:r>
            <w:r>
              <w:t>确定的</w:t>
            </w:r>
            <w:r>
              <w:rPr>
                <w:rFonts w:hint="eastAsia"/>
              </w:rPr>
              <w:t>相关</w:t>
            </w:r>
            <w:r>
              <w:t>要求</w:t>
            </w:r>
          </w:p>
          <w:p>
            <w:pPr>
              <w:ind w:firstLine="480"/>
            </w:pPr>
            <w:r>
              <w:t>经分析预测，项目投产后污染物经治理达标排放后对周围环境影响不大，当地环境质量基本仍能维持现状。</w:t>
            </w:r>
          </w:p>
          <w:p>
            <w:pPr>
              <w:pStyle w:val="6"/>
              <w:rPr>
                <w:kern w:val="2"/>
              </w:rPr>
            </w:pPr>
            <w:r>
              <w:rPr>
                <w:kern w:val="2"/>
              </w:rPr>
              <w:t>9.2.2 建设项目其他部门审批要求符合性分析</w:t>
            </w:r>
          </w:p>
          <w:p>
            <w:pPr>
              <w:ind w:firstLine="480"/>
            </w:pPr>
            <w:r>
              <w:t>1、主体功能区规划、土地利用总体规划、城乡规划符合性</w:t>
            </w:r>
          </w:p>
          <w:p>
            <w:pPr>
              <w:widowControl/>
              <w:ind w:firstLine="480"/>
              <w:jc w:val="left"/>
            </w:pPr>
            <w:r>
              <w:t>本项目</w:t>
            </w:r>
            <w:r>
              <w:rPr>
                <w:szCs w:val="21"/>
              </w:rPr>
              <w:t>位于</w:t>
            </w:r>
            <w:r>
              <w:rPr>
                <w:rFonts w:hint="eastAsia"/>
                <w:szCs w:val="24"/>
              </w:rPr>
              <w:t>桐乡市崇福镇杭福路1336号20幢1号</w:t>
            </w:r>
            <w:r>
              <w:rPr>
                <w:szCs w:val="21"/>
              </w:rPr>
              <w:t>，</w:t>
            </w:r>
            <w:r>
              <w:rPr>
                <w:rFonts w:hint="eastAsia"/>
                <w:szCs w:val="21"/>
              </w:rPr>
              <w:t>位于</w:t>
            </w:r>
            <w:r>
              <w:rPr>
                <w:rFonts w:hint="eastAsia"/>
                <w:szCs w:val="24"/>
              </w:rPr>
              <w:t>崇福镇</w:t>
            </w:r>
            <w:r>
              <w:rPr>
                <w:rFonts w:hint="eastAsia"/>
                <w:szCs w:val="22"/>
              </w:rPr>
              <w:t>工业区</w:t>
            </w:r>
            <w:r>
              <w:rPr>
                <w:szCs w:val="22"/>
              </w:rPr>
              <w:t>内，根据企业提供的</w:t>
            </w:r>
            <w:r>
              <w:rPr>
                <w:rFonts w:hint="eastAsia"/>
                <w:szCs w:val="22"/>
              </w:rPr>
              <w:t>土地</w:t>
            </w:r>
            <w:r>
              <w:rPr>
                <w:szCs w:val="22"/>
              </w:rPr>
              <w:t>证[桐国用2015第</w:t>
            </w:r>
            <w:r>
              <w:rPr>
                <w:rFonts w:hint="eastAsia"/>
                <w:szCs w:val="22"/>
              </w:rPr>
              <w:t>01152号</w:t>
            </w:r>
            <w:r>
              <w:rPr>
                <w:szCs w:val="22"/>
              </w:rPr>
              <w:t>]，本项目地</w:t>
            </w:r>
            <w:r>
              <w:t>块用途为工业用地，环评据此认为本项目符合土地利用总体规划；另外根据《</w:t>
            </w:r>
            <w:r>
              <w:rPr>
                <w:kern w:val="0"/>
                <w:szCs w:val="24"/>
                <w:lang w:bidi="ar"/>
              </w:rPr>
              <w:t>桐乡市崇福工业区四期控制性详细规划</w:t>
            </w:r>
            <w:r>
              <w:t>》，本项目地块</w:t>
            </w:r>
            <w:r>
              <w:rPr>
                <w:rFonts w:hint="eastAsia"/>
              </w:rPr>
              <w:t>规划用途为工业用地</w:t>
            </w:r>
            <w:r>
              <w:t>。环评据此认为本项目符合当地城乡规划。</w:t>
            </w:r>
          </w:p>
          <w:p>
            <w:pPr>
              <w:ind w:firstLine="480"/>
            </w:pPr>
            <w:r>
              <w:t>2、国家及本省产业政策符合性分析</w:t>
            </w:r>
          </w:p>
          <w:p>
            <w:pPr>
              <w:ind w:firstLine="480"/>
            </w:pPr>
            <w:r>
              <w:rPr>
                <w:szCs w:val="24"/>
              </w:rPr>
              <w:t>本项目不属于《产业结构调整指导目录（2019年本）》</w:t>
            </w:r>
            <w:r>
              <w:t>中规定的淘汰类和限制类项目，</w:t>
            </w:r>
            <w:r>
              <w:rPr>
                <w:szCs w:val="24"/>
              </w:rPr>
              <w:t>不属于《浙江省淘汰落后生产能力指导目录（2012 年本）》中的淘汰和禁止类项目，</w:t>
            </w:r>
            <w:r>
              <w:t>不属于《关于加强全省工业项目新增污染控制意见的通知》(浙政办发2005-87号)中的禁止类和限制类，不属于《嘉兴市当前限制和禁止发展产业目录》中禁止类和限制类，不涉及《桐乡市淘汰和禁止发展的落后生产能力目录》中淘汰和禁止发展项目，也不属于《桐乡市工业产业结构调整指导目录》中规定的限制建设类、逐步转移类和禁止淘汰类项目。</w:t>
            </w:r>
          </w:p>
          <w:p>
            <w:pPr>
              <w:ind w:firstLine="480"/>
            </w:pPr>
            <w:r>
              <w:t>因此，认为本项目符合国家及本省产业政策。</w:t>
            </w:r>
          </w:p>
          <w:p>
            <w:pPr>
              <w:pStyle w:val="6"/>
              <w:rPr>
                <w:kern w:val="2"/>
              </w:rPr>
            </w:pPr>
          </w:p>
          <w:p>
            <w:pPr>
              <w:pStyle w:val="6"/>
              <w:rPr>
                <w:kern w:val="2"/>
              </w:rPr>
            </w:pPr>
          </w:p>
          <w:p>
            <w:pPr>
              <w:pStyle w:val="6"/>
              <w:rPr>
                <w:kern w:val="2"/>
              </w:rPr>
            </w:pPr>
          </w:p>
          <w:p>
            <w:pPr>
              <w:pStyle w:val="6"/>
              <w:rPr>
                <w:kern w:val="2"/>
              </w:rPr>
            </w:pPr>
          </w:p>
          <w:p>
            <w:pPr>
              <w:pStyle w:val="6"/>
              <w:rPr>
                <w:kern w:val="2"/>
              </w:rPr>
            </w:pPr>
          </w:p>
          <w:p>
            <w:pPr>
              <w:pStyle w:val="6"/>
              <w:rPr>
                <w:kern w:val="2"/>
              </w:rPr>
            </w:pPr>
          </w:p>
          <w:p>
            <w:pPr>
              <w:pStyle w:val="6"/>
              <w:rPr>
                <w:kern w:val="2"/>
              </w:rPr>
            </w:pPr>
            <w:r>
              <w:rPr>
                <w:kern w:val="2"/>
              </w:rPr>
              <w:t>9.2.3“三线一单”符合性判定</w:t>
            </w:r>
          </w:p>
          <w:p>
            <w:pPr>
              <w:ind w:firstLine="480"/>
              <w:rPr>
                <w:b/>
                <w:bCs/>
              </w:rPr>
            </w:pPr>
            <w:r>
              <w:t>本项目“三线一单”符合性分析见表9-</w:t>
            </w:r>
            <w:r>
              <w:rPr>
                <w:rFonts w:hint="eastAsia"/>
              </w:rPr>
              <w:t>3</w:t>
            </w:r>
            <w:r>
              <w:t>。</w:t>
            </w:r>
          </w:p>
          <w:p>
            <w:pPr>
              <w:pStyle w:val="46"/>
            </w:pPr>
            <w:r>
              <w:t>表9-</w:t>
            </w:r>
            <w:r>
              <w:rPr>
                <w:rFonts w:hint="eastAsia"/>
              </w:rPr>
              <w:t>3</w:t>
            </w:r>
            <w:r>
              <w:t xml:space="preserve">  “三线一单”符合性分析</w:t>
            </w:r>
          </w:p>
          <w:tbl>
            <w:tblPr>
              <w:tblStyle w:val="3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
              <w:gridCol w:w="7057"/>
              <w:gridCol w:w="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b/>
                      <w:bCs/>
                      <w:sz w:val="21"/>
                      <w:szCs w:val="21"/>
                    </w:rPr>
                  </w:pPr>
                  <w:r>
                    <w:rPr>
                      <w:b/>
                      <w:bCs/>
                      <w:sz w:val="21"/>
                    </w:rPr>
                    <w:t>“三线一单”</w:t>
                  </w:r>
                </w:p>
              </w:tc>
              <w:tc>
                <w:tcPr>
                  <w:tcW w:w="4046"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b/>
                      <w:bCs/>
                      <w:sz w:val="21"/>
                      <w:szCs w:val="21"/>
                    </w:rPr>
                  </w:pPr>
                  <w:r>
                    <w:rPr>
                      <w:b/>
                      <w:bCs/>
                      <w:sz w:val="21"/>
                    </w:rPr>
                    <w:t>符合性分析</w:t>
                  </w:r>
                </w:p>
              </w:tc>
              <w:tc>
                <w:tcPr>
                  <w:tcW w:w="434"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b/>
                      <w:bCs/>
                      <w:sz w:val="21"/>
                      <w:szCs w:val="21"/>
                    </w:rPr>
                  </w:pPr>
                  <w:r>
                    <w:rPr>
                      <w:b/>
                      <w:bCs/>
                      <w:sz w:val="21"/>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szCs w:val="21"/>
                    </w:rPr>
                  </w:pPr>
                  <w:r>
                    <w:rPr>
                      <w:sz w:val="21"/>
                    </w:rPr>
                    <w:t>生态保护红线</w:t>
                  </w:r>
                </w:p>
              </w:tc>
              <w:tc>
                <w:tcPr>
                  <w:tcW w:w="4046" w:type="pct"/>
                  <w:tcBorders>
                    <w:top w:val="single" w:color="auto" w:sz="4" w:space="0"/>
                    <w:left w:val="single" w:color="auto" w:sz="4" w:space="0"/>
                    <w:bottom w:val="single" w:color="auto" w:sz="4" w:space="0"/>
                    <w:right w:val="single" w:color="auto" w:sz="4" w:space="0"/>
                  </w:tcBorders>
                  <w:vAlign w:val="center"/>
                </w:tcPr>
                <w:p>
                  <w:pPr>
                    <w:pStyle w:val="47"/>
                    <w:jc w:val="left"/>
                  </w:pPr>
                  <w:r>
                    <w:t>本项目位于</w:t>
                  </w:r>
                  <w:r>
                    <w:rPr>
                      <w:rFonts w:hint="eastAsia"/>
                    </w:rPr>
                    <w:t>桐乡市崇福镇产业集聚重点管控单元</w:t>
                  </w:r>
                  <w:r>
                    <w:t>（</w:t>
                  </w:r>
                  <w:r>
                    <w:rPr>
                      <w:rFonts w:hint="eastAsia"/>
                    </w:rPr>
                    <w:t>ZH33048320001</w:t>
                  </w:r>
                  <w:r>
                    <w:t>），</w:t>
                  </w:r>
                  <w:r>
                    <w:rPr>
                      <w:rFonts w:hint="eastAsia"/>
                    </w:rPr>
                    <w:t>属于产业集聚重点管控单元，不涉及自然保护区和饮用水水源地保护区。根据桐乡市生态保护红线划定分布图，项目周边无自然生态红线区，不触及生态保护红线，因此符合生态保护红线的要求。</w:t>
                  </w:r>
                </w:p>
              </w:tc>
              <w:tc>
                <w:tcPr>
                  <w:tcW w:w="434"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szCs w:val="21"/>
                    </w:rPr>
                  </w:pPr>
                  <w:r>
                    <w:rPr>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szCs w:val="21"/>
                    </w:rPr>
                  </w:pPr>
                  <w:r>
                    <w:rPr>
                      <w:sz w:val="21"/>
                    </w:rPr>
                    <w:t>资源利用上线</w:t>
                  </w:r>
                </w:p>
              </w:tc>
              <w:tc>
                <w:tcPr>
                  <w:tcW w:w="4046" w:type="pct"/>
                  <w:tcBorders>
                    <w:top w:val="single" w:color="auto" w:sz="4" w:space="0"/>
                    <w:left w:val="single" w:color="auto" w:sz="4" w:space="0"/>
                    <w:bottom w:val="single" w:color="auto" w:sz="4" w:space="0"/>
                    <w:right w:val="single" w:color="auto" w:sz="4" w:space="0"/>
                  </w:tcBorders>
                  <w:vAlign w:val="center"/>
                </w:tcPr>
                <w:p>
                  <w:pPr>
                    <w:pStyle w:val="47"/>
                    <w:jc w:val="left"/>
                  </w:pPr>
                  <w:r>
                    <w:t>本项目生产过程中有一定量的电源、水资源等资源消耗，项目资源消耗量相对区域资源利用总量较少，不新增土地，不会突破地区能源、水、土地等资源消耗上线，且项目不使用高能耗、低效率的设备，符合资源利用上线的要求。</w:t>
                  </w:r>
                </w:p>
              </w:tc>
              <w:tc>
                <w:tcPr>
                  <w:tcW w:w="434"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szCs w:val="21"/>
                    </w:rPr>
                  </w:pPr>
                  <w:r>
                    <w:rPr>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szCs w:val="21"/>
                    </w:rPr>
                  </w:pPr>
                  <w:r>
                    <w:rPr>
                      <w:sz w:val="21"/>
                    </w:rPr>
                    <w:t>环境质量底限</w:t>
                  </w:r>
                </w:p>
              </w:tc>
              <w:tc>
                <w:tcPr>
                  <w:tcW w:w="4046" w:type="pct"/>
                  <w:tcBorders>
                    <w:top w:val="single" w:color="auto" w:sz="4" w:space="0"/>
                    <w:left w:val="single" w:color="auto" w:sz="4" w:space="0"/>
                    <w:bottom w:val="single" w:color="auto" w:sz="4" w:space="0"/>
                    <w:right w:val="single" w:color="auto" w:sz="4" w:space="0"/>
                  </w:tcBorders>
                  <w:vAlign w:val="center"/>
                </w:tcPr>
                <w:p>
                  <w:pPr>
                    <w:pStyle w:val="47"/>
                    <w:jc w:val="left"/>
                  </w:pPr>
                  <w:r>
                    <w:t>本项目附近声环境质量能够满足相应的标准，水环境达到《地表水环境质量标准》（GB3838-2002）</w:t>
                  </w:r>
                  <w:r>
                    <w:rPr>
                      <w:rFonts w:hint="eastAsia"/>
                    </w:rPr>
                    <w:t>Ⅲ</w:t>
                  </w:r>
                  <w:r>
                    <w:t>类标准要求，大气环境不能达到《环境空气质量标准》（GB3095-2012）二级标准要求。</w:t>
                  </w:r>
                  <w:r>
                    <w:rPr>
                      <w:rFonts w:hint="eastAsia"/>
                    </w:rPr>
                    <w:t>本项目废气经废气处理措施后，对周边环境影响很小；废水经预处理达标后纳管，对周围环境影响很小。本企业各项污染物不会改变项目所在地区域环境质量等级，不触及环境质量底线。</w:t>
                  </w:r>
                </w:p>
              </w:tc>
              <w:tc>
                <w:tcPr>
                  <w:tcW w:w="434"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szCs w:val="21"/>
                    </w:rPr>
                  </w:pPr>
                  <w:r>
                    <w:rPr>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szCs w:val="21"/>
                    </w:rPr>
                  </w:pPr>
                  <w:r>
                    <w:rPr>
                      <w:rFonts w:hint="eastAsia"/>
                      <w:sz w:val="21"/>
                    </w:rPr>
                    <w:t>环境管控单元准入清单</w:t>
                  </w:r>
                </w:p>
              </w:tc>
              <w:tc>
                <w:tcPr>
                  <w:tcW w:w="4046" w:type="pct"/>
                  <w:tcBorders>
                    <w:top w:val="single" w:color="auto" w:sz="4" w:space="0"/>
                    <w:left w:val="single" w:color="auto" w:sz="4" w:space="0"/>
                    <w:bottom w:val="single" w:color="auto" w:sz="4" w:space="0"/>
                    <w:right w:val="single" w:color="auto" w:sz="4" w:space="0"/>
                  </w:tcBorders>
                  <w:vAlign w:val="center"/>
                </w:tcPr>
                <w:p>
                  <w:pPr>
                    <w:pStyle w:val="47"/>
                    <w:jc w:val="left"/>
                  </w:pPr>
                  <w:r>
                    <w:rPr>
                      <w:rFonts w:hint="eastAsia"/>
                    </w:rPr>
                    <w:t>据《桐乡市人民政府关于印发桐乡市</w:t>
                  </w:r>
                  <w:r>
                    <w:t>“</w:t>
                  </w:r>
                  <w:r>
                    <w:rPr>
                      <w:rFonts w:hint="eastAsia"/>
                    </w:rPr>
                    <w:t>三线一单</w:t>
                  </w:r>
                  <w:r>
                    <w:t>”</w:t>
                  </w:r>
                  <w:r>
                    <w:rPr>
                      <w:rFonts w:hint="eastAsia"/>
                    </w:rPr>
                    <w:t>生态环境分区管控方案的通知》（桐政发〔</w:t>
                  </w:r>
                  <w:r>
                    <w:t>2020</w:t>
                  </w:r>
                  <w:r>
                    <w:rPr>
                      <w:rFonts w:hint="eastAsia"/>
                    </w:rPr>
                    <w:t>〕</w:t>
                  </w:r>
                  <w:r>
                    <w:t xml:space="preserve">22 </w:t>
                  </w:r>
                  <w:r>
                    <w:rPr>
                      <w:rFonts w:hint="eastAsia"/>
                    </w:rPr>
                    <w:t>号）及《桐乡市</w:t>
                  </w:r>
                  <w:r>
                    <w:t>“</w:t>
                  </w:r>
                  <w:r>
                    <w:rPr>
                      <w:rFonts w:hint="eastAsia"/>
                    </w:rPr>
                    <w:t>三线一单</w:t>
                  </w:r>
                  <w:r>
                    <w:t>”</w:t>
                  </w:r>
                  <w:r>
                    <w:rPr>
                      <w:rFonts w:hint="eastAsia"/>
                    </w:rPr>
                    <w:t>生态环境分区管控方案》，</w:t>
                  </w:r>
                  <w:r>
                    <w:t>本项目位于</w:t>
                  </w:r>
                  <w:r>
                    <w:rPr>
                      <w:rFonts w:hint="eastAsia"/>
                    </w:rPr>
                    <w:t>桐乡市崇福镇产业集聚重点管控单元</w:t>
                  </w:r>
                  <w:r>
                    <w:t>（</w:t>
                  </w:r>
                  <w:r>
                    <w:rPr>
                      <w:rFonts w:hint="eastAsia"/>
                    </w:rPr>
                    <w:t>ZH33048320001</w:t>
                  </w:r>
                  <w:r>
                    <w:t>），</w:t>
                  </w:r>
                  <w:r>
                    <w:rPr>
                      <w:rFonts w:hint="eastAsia"/>
                    </w:rPr>
                    <w:t>属于产业集聚重点管控单元，本项目主要从事精密配件、后倾离心风机的研发、生产和销售，属于国民经济行业分类中“C346 烘炉、风机、包装等设备制造”，为二类工业项目，对照该区域生态环境管控单元生态环境准入清单，本项目建设均符合所属生态环境分区管控方案的要求。</w:t>
                  </w:r>
                </w:p>
              </w:tc>
              <w:tc>
                <w:tcPr>
                  <w:tcW w:w="434"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szCs w:val="21"/>
                    </w:rPr>
                  </w:pPr>
                  <w:r>
                    <w:rPr>
                      <w:sz w:val="21"/>
                    </w:rPr>
                    <w:t>符合</w:t>
                  </w:r>
                </w:p>
              </w:tc>
            </w:tr>
          </w:tbl>
          <w:p>
            <w:pPr>
              <w:ind w:firstLine="480"/>
            </w:pPr>
            <w:r>
              <w:t>综上所述，本项目的建设符合浙江省建设项目环保审批各项原则。</w:t>
            </w:r>
          </w:p>
          <w:p>
            <w:pPr>
              <w:pStyle w:val="6"/>
            </w:pPr>
            <w:r>
              <w:t>9.2.4建设项目环境保护管理条例（国务院令第682号）“四性五不批”符合性分析</w:t>
            </w:r>
          </w:p>
          <w:p>
            <w:pPr>
              <w:ind w:firstLine="480"/>
            </w:pPr>
            <w:r>
              <w:t>根据《建设项目环境保护管理条例》（中华人民共和国国务院令第 682 号）“四性五不批”要求，本项目符合性分析具体见表9-</w:t>
            </w:r>
            <w:r>
              <w:rPr>
                <w:rFonts w:hint="eastAsia"/>
              </w:rPr>
              <w:t>4</w:t>
            </w:r>
            <w:r>
              <w:t>。</w:t>
            </w:r>
          </w:p>
          <w:p>
            <w:pPr>
              <w:pStyle w:val="46"/>
            </w:pPr>
            <w:r>
              <w:t>表9-</w:t>
            </w:r>
            <w:r>
              <w:rPr>
                <w:rFonts w:hint="eastAsia"/>
              </w:rPr>
              <w:t xml:space="preserve">4  </w:t>
            </w:r>
            <w:r>
              <w:t xml:space="preserve"> “四性五不批”符合性分析</w:t>
            </w:r>
          </w:p>
          <w:tbl>
            <w:tblPr>
              <w:tblStyle w:val="34"/>
              <w:tblW w:w="49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2321"/>
              <w:gridCol w:w="4892"/>
              <w:gridCol w:w="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
                      <w:bCs/>
                      <w:kern w:val="0"/>
                      <w:sz w:val="21"/>
                      <w:szCs w:val="21"/>
                    </w:rPr>
                  </w:pPr>
                  <w:r>
                    <w:rPr>
                      <w:b/>
                      <w:bCs/>
                      <w:kern w:val="0"/>
                      <w:sz w:val="21"/>
                      <w:szCs w:val="21"/>
                    </w:rPr>
                    <w:t>项目</w:t>
                  </w:r>
                </w:p>
              </w:tc>
              <w:tc>
                <w:tcPr>
                  <w:tcW w:w="1340"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
                      <w:bCs/>
                      <w:kern w:val="0"/>
                      <w:sz w:val="21"/>
                      <w:szCs w:val="21"/>
                    </w:rPr>
                  </w:pPr>
                  <w:r>
                    <w:rPr>
                      <w:b/>
                      <w:bCs/>
                      <w:kern w:val="0"/>
                      <w:sz w:val="21"/>
                      <w:szCs w:val="21"/>
                    </w:rPr>
                    <w:t>类别</w:t>
                  </w:r>
                </w:p>
              </w:tc>
              <w:tc>
                <w:tcPr>
                  <w:tcW w:w="282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
                      <w:bCs/>
                      <w:kern w:val="0"/>
                      <w:sz w:val="21"/>
                      <w:szCs w:val="21"/>
                    </w:rPr>
                  </w:pPr>
                  <w:r>
                    <w:rPr>
                      <w:b/>
                      <w:bCs/>
                      <w:kern w:val="0"/>
                      <w:sz w:val="21"/>
                      <w:szCs w:val="21"/>
                    </w:rPr>
                    <w:t>本项目情况</w:t>
                  </w:r>
                </w:p>
              </w:tc>
              <w:tc>
                <w:tcPr>
                  <w:tcW w:w="42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
                      <w:bCs/>
                      <w:kern w:val="0"/>
                      <w:sz w:val="21"/>
                      <w:szCs w:val="21"/>
                    </w:rPr>
                  </w:pPr>
                  <w:r>
                    <w:rPr>
                      <w:b/>
                      <w:bCs/>
                      <w:kern w:val="0"/>
                      <w:sz w:val="21"/>
                      <w:szCs w:val="21"/>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kern w:val="0"/>
                      <w:sz w:val="21"/>
                      <w:szCs w:val="21"/>
                    </w:rPr>
                  </w:pPr>
                  <w:r>
                    <w:rPr>
                      <w:kern w:val="0"/>
                      <w:sz w:val="21"/>
                      <w:szCs w:val="21"/>
                    </w:rPr>
                    <w:t>“四性”</w:t>
                  </w:r>
                </w:p>
              </w:tc>
              <w:tc>
                <w:tcPr>
                  <w:tcW w:w="1340"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rPr>
                      <w:kern w:val="0"/>
                      <w:sz w:val="21"/>
                      <w:szCs w:val="21"/>
                    </w:rPr>
                  </w:pPr>
                  <w:r>
                    <w:rPr>
                      <w:kern w:val="0"/>
                      <w:sz w:val="21"/>
                      <w:szCs w:val="21"/>
                    </w:rPr>
                    <w:t>1、建设项目环境可行性</w:t>
                  </w:r>
                </w:p>
              </w:tc>
              <w:tc>
                <w:tcPr>
                  <w:tcW w:w="2824" w:type="pct"/>
                  <w:tcBorders>
                    <w:top w:val="single" w:color="auto" w:sz="4" w:space="0"/>
                    <w:left w:val="single" w:color="auto" w:sz="4" w:space="0"/>
                    <w:bottom w:val="single" w:color="auto" w:sz="4" w:space="0"/>
                    <w:right w:val="single" w:color="auto" w:sz="4" w:space="0"/>
                  </w:tcBorders>
                  <w:vAlign w:val="center"/>
                </w:tcPr>
                <w:p>
                  <w:pPr>
                    <w:pStyle w:val="12"/>
                    <w:rPr>
                      <w:sz w:val="21"/>
                      <w:szCs w:val="22"/>
                    </w:rPr>
                  </w:pPr>
                  <w:r>
                    <w:rPr>
                      <w:sz w:val="21"/>
                      <w:szCs w:val="22"/>
                    </w:rPr>
                    <w:t>本项目主要</w:t>
                  </w:r>
                  <w:r>
                    <w:rPr>
                      <w:rFonts w:hint="eastAsia"/>
                      <w:sz w:val="21"/>
                      <w:szCs w:val="22"/>
                    </w:rPr>
                    <w:t>从事精密配件、后倾离心风机的生产</w:t>
                  </w:r>
                  <w:r>
                    <w:rPr>
                      <w:sz w:val="21"/>
                      <w:szCs w:val="22"/>
                    </w:rPr>
                    <w:t>，属于二类工业，项目</w:t>
                  </w:r>
                  <w:r>
                    <w:rPr>
                      <w:rFonts w:hint="eastAsia"/>
                      <w:sz w:val="21"/>
                      <w:szCs w:val="22"/>
                    </w:rPr>
                    <w:t>选址</w:t>
                  </w:r>
                  <w:r>
                    <w:rPr>
                      <w:sz w:val="21"/>
                      <w:szCs w:val="22"/>
                    </w:rPr>
                    <w:t>于</w:t>
                  </w:r>
                  <w:r>
                    <w:rPr>
                      <w:rFonts w:hint="eastAsia"/>
                      <w:sz w:val="21"/>
                      <w:szCs w:val="22"/>
                    </w:rPr>
                    <w:t>桐乡市崇福镇杭福路1336号20幢1号</w:t>
                  </w:r>
                  <w:r>
                    <w:rPr>
                      <w:sz w:val="21"/>
                      <w:szCs w:val="22"/>
                    </w:rPr>
                    <w:t>，属于</w:t>
                  </w:r>
                  <w:r>
                    <w:rPr>
                      <w:rFonts w:hint="eastAsia"/>
                      <w:sz w:val="21"/>
                      <w:szCs w:val="22"/>
                    </w:rPr>
                    <w:t>桐乡市崇福镇产业集聚重点管控单元</w:t>
                  </w:r>
                  <w:r>
                    <w:rPr>
                      <w:sz w:val="21"/>
                      <w:szCs w:val="22"/>
                    </w:rPr>
                    <w:t>（</w:t>
                  </w:r>
                  <w:r>
                    <w:rPr>
                      <w:rFonts w:hint="eastAsia"/>
                      <w:sz w:val="21"/>
                      <w:szCs w:val="22"/>
                    </w:rPr>
                    <w:t>ZH33048320001</w:t>
                  </w:r>
                  <w:r>
                    <w:rPr>
                      <w:sz w:val="21"/>
                      <w:szCs w:val="22"/>
                    </w:rPr>
                    <w:t>），</w:t>
                  </w:r>
                  <w:r>
                    <w:rPr>
                      <w:rFonts w:hint="eastAsia"/>
                      <w:sz w:val="21"/>
                      <w:szCs w:val="22"/>
                    </w:rPr>
                    <w:t>属于产业集聚重点管控单元。项目符合总体规划要求，符合生态环境分区管控方案的要求，环保措施合理，污染物可稳定达标排放。</w:t>
                  </w:r>
                </w:p>
              </w:tc>
              <w:tc>
                <w:tcPr>
                  <w:tcW w:w="42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0"/>
                      <w:sz w:val="21"/>
                      <w:szCs w:val="21"/>
                    </w:rPr>
                  </w:pPr>
                  <w:r>
                    <w:rPr>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Merge w:val="continue"/>
                  <w:tcBorders>
                    <w:top w:val="single" w:color="auto" w:sz="4" w:space="0"/>
                    <w:left w:val="single" w:color="auto" w:sz="4" w:space="0"/>
                    <w:bottom w:val="single" w:color="auto" w:sz="4" w:space="0"/>
                    <w:right w:val="single" w:color="auto" w:sz="4" w:space="0"/>
                  </w:tcBorders>
                </w:tcPr>
                <w:p>
                  <w:pPr>
                    <w:widowControl/>
                    <w:spacing w:line="240" w:lineRule="auto"/>
                    <w:ind w:firstLine="0" w:firstLineChars="0"/>
                    <w:rPr>
                      <w:kern w:val="0"/>
                      <w:sz w:val="21"/>
                      <w:szCs w:val="21"/>
                    </w:rPr>
                  </w:pPr>
                </w:p>
              </w:tc>
              <w:tc>
                <w:tcPr>
                  <w:tcW w:w="1340"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rPr>
                      <w:kern w:val="0"/>
                      <w:sz w:val="21"/>
                      <w:szCs w:val="21"/>
                    </w:rPr>
                  </w:pPr>
                  <w:r>
                    <w:rPr>
                      <w:kern w:val="0"/>
                      <w:sz w:val="21"/>
                      <w:szCs w:val="21"/>
                    </w:rPr>
                    <w:t>2、环境影响分析预测评估的可靠性</w:t>
                  </w:r>
                </w:p>
              </w:tc>
              <w:tc>
                <w:tcPr>
                  <w:tcW w:w="2824" w:type="pct"/>
                  <w:tcBorders>
                    <w:top w:val="single" w:color="auto" w:sz="4" w:space="0"/>
                    <w:left w:val="single" w:color="auto" w:sz="4" w:space="0"/>
                    <w:bottom w:val="single" w:color="auto" w:sz="4" w:space="0"/>
                    <w:right w:val="single" w:color="auto" w:sz="4" w:space="0"/>
                  </w:tcBorders>
                  <w:vAlign w:val="center"/>
                </w:tcPr>
                <w:p>
                  <w:pPr>
                    <w:pStyle w:val="12"/>
                    <w:rPr>
                      <w:sz w:val="21"/>
                      <w:szCs w:val="22"/>
                    </w:rPr>
                  </w:pPr>
                  <w:r>
                    <w:rPr>
                      <w:rFonts w:hint="eastAsia"/>
                      <w:sz w:val="21"/>
                      <w:szCs w:val="22"/>
                    </w:rPr>
                    <w:t>本项目水环境影响预测与评价根据《环境影响评价技术导则</w:t>
                  </w:r>
                  <w:r>
                    <w:rPr>
                      <w:sz w:val="21"/>
                      <w:szCs w:val="22"/>
                    </w:rPr>
                    <w:t>-</w:t>
                  </w:r>
                  <w:r>
                    <w:rPr>
                      <w:rFonts w:hint="eastAsia"/>
                      <w:sz w:val="21"/>
                      <w:szCs w:val="22"/>
                    </w:rPr>
                    <w:t>地表水环境》（</w:t>
                  </w:r>
                  <w:r>
                    <w:rPr>
                      <w:sz w:val="21"/>
                      <w:szCs w:val="22"/>
                    </w:rPr>
                    <w:t>HJ 2.3-2018</w:t>
                  </w:r>
                  <w:r>
                    <w:rPr>
                      <w:rFonts w:hint="eastAsia"/>
                      <w:sz w:val="21"/>
                      <w:szCs w:val="22"/>
                    </w:rPr>
                    <w:t>）要求进行，大气环境影响预测与评价根据《环境影响评价技术导则</w:t>
                  </w:r>
                  <w:r>
                    <w:rPr>
                      <w:sz w:val="21"/>
                      <w:szCs w:val="22"/>
                    </w:rPr>
                    <w:t>-</w:t>
                  </w:r>
                  <w:r>
                    <w:rPr>
                      <w:rFonts w:hint="eastAsia"/>
                      <w:sz w:val="21"/>
                      <w:szCs w:val="22"/>
                    </w:rPr>
                    <w:t>大气环境》（</w:t>
                  </w:r>
                  <w:r>
                    <w:rPr>
                      <w:sz w:val="21"/>
                      <w:szCs w:val="22"/>
                    </w:rPr>
                    <w:t>HJ 2.2-2018</w:t>
                  </w:r>
                  <w:r>
                    <w:rPr>
                      <w:rFonts w:hint="eastAsia"/>
                      <w:sz w:val="21"/>
                      <w:szCs w:val="22"/>
                    </w:rPr>
                    <w:t>）要求进行，土壤、地下水、噪声、风险环境和固体废弃物环境影响分析根据相关要求进行。</w:t>
                  </w:r>
                </w:p>
              </w:tc>
              <w:tc>
                <w:tcPr>
                  <w:tcW w:w="42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kern w:val="0"/>
                      <w:sz w:val="21"/>
                      <w:szCs w:val="21"/>
                    </w:rPr>
                  </w:pPr>
                  <w:r>
                    <w:rPr>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Merge w:val="continue"/>
                  <w:tcBorders>
                    <w:top w:val="single" w:color="auto" w:sz="4" w:space="0"/>
                    <w:left w:val="single" w:color="auto" w:sz="4" w:space="0"/>
                    <w:bottom w:val="single" w:color="auto" w:sz="4" w:space="0"/>
                    <w:right w:val="single" w:color="auto" w:sz="4" w:space="0"/>
                  </w:tcBorders>
                </w:tcPr>
                <w:p>
                  <w:pPr>
                    <w:widowControl/>
                    <w:spacing w:line="240" w:lineRule="auto"/>
                    <w:ind w:firstLine="0" w:firstLineChars="0"/>
                    <w:rPr>
                      <w:kern w:val="0"/>
                      <w:sz w:val="21"/>
                      <w:szCs w:val="21"/>
                    </w:rPr>
                  </w:pPr>
                </w:p>
              </w:tc>
              <w:tc>
                <w:tcPr>
                  <w:tcW w:w="1340"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rPr>
                      <w:kern w:val="0"/>
                      <w:sz w:val="21"/>
                      <w:szCs w:val="21"/>
                    </w:rPr>
                  </w:pPr>
                  <w:r>
                    <w:rPr>
                      <w:kern w:val="0"/>
                      <w:sz w:val="21"/>
                      <w:szCs w:val="21"/>
                    </w:rPr>
                    <w:t>3、环境保护措施的可靠性</w:t>
                  </w:r>
                </w:p>
              </w:tc>
              <w:tc>
                <w:tcPr>
                  <w:tcW w:w="282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rPr>
                      <w:kern w:val="0"/>
                      <w:sz w:val="21"/>
                      <w:szCs w:val="21"/>
                    </w:rPr>
                  </w:pPr>
                  <w:r>
                    <w:rPr>
                      <w:kern w:val="0"/>
                      <w:sz w:val="21"/>
                      <w:szCs w:val="21"/>
                    </w:rPr>
                    <w:t>本项目采取相应的环境保护治理措施后，各类污染物均可达标排放。项目采用的环境保护措施可靠、有效</w:t>
                  </w:r>
                  <w:r>
                    <w:rPr>
                      <w:rFonts w:hint="eastAsia"/>
                      <w:kern w:val="0"/>
                      <w:sz w:val="21"/>
                      <w:szCs w:val="21"/>
                    </w:rPr>
                    <w:t>。</w:t>
                  </w:r>
                </w:p>
              </w:tc>
              <w:tc>
                <w:tcPr>
                  <w:tcW w:w="42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kern w:val="0"/>
                      <w:sz w:val="21"/>
                      <w:szCs w:val="21"/>
                    </w:rPr>
                  </w:pPr>
                  <w:r>
                    <w:rPr>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Merge w:val="continue"/>
                  <w:tcBorders>
                    <w:top w:val="single" w:color="auto" w:sz="4" w:space="0"/>
                    <w:left w:val="single" w:color="auto" w:sz="4" w:space="0"/>
                    <w:bottom w:val="single" w:color="auto" w:sz="4" w:space="0"/>
                    <w:right w:val="single" w:color="auto" w:sz="4" w:space="0"/>
                  </w:tcBorders>
                </w:tcPr>
                <w:p>
                  <w:pPr>
                    <w:widowControl/>
                    <w:spacing w:line="240" w:lineRule="auto"/>
                    <w:ind w:firstLine="0" w:firstLineChars="0"/>
                    <w:rPr>
                      <w:kern w:val="0"/>
                      <w:sz w:val="21"/>
                      <w:szCs w:val="21"/>
                    </w:rPr>
                  </w:pPr>
                </w:p>
              </w:tc>
              <w:tc>
                <w:tcPr>
                  <w:tcW w:w="1340"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rPr>
                      <w:kern w:val="0"/>
                      <w:sz w:val="21"/>
                      <w:szCs w:val="21"/>
                    </w:rPr>
                  </w:pPr>
                  <w:r>
                    <w:rPr>
                      <w:kern w:val="0"/>
                      <w:sz w:val="21"/>
                      <w:szCs w:val="21"/>
                    </w:rPr>
                    <w:t>4、环境影响评价结论的科学性</w:t>
                  </w:r>
                </w:p>
              </w:tc>
              <w:tc>
                <w:tcPr>
                  <w:tcW w:w="282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rPr>
                      <w:kern w:val="0"/>
                      <w:sz w:val="21"/>
                      <w:szCs w:val="21"/>
                    </w:rPr>
                  </w:pPr>
                  <w:r>
                    <w:rPr>
                      <w:kern w:val="0"/>
                      <w:sz w:val="21"/>
                      <w:szCs w:val="21"/>
                    </w:rPr>
                    <w:t>本环评结论客观、过程公开、评价公正，评价过程均依照环评相关技术导则、技术方法等进行，并综合考虑建设项目实施后对各种环境因素可能造成的影响，环评结论科学</w:t>
                  </w:r>
                  <w:r>
                    <w:rPr>
                      <w:rFonts w:hint="eastAsia"/>
                      <w:kern w:val="0"/>
                      <w:sz w:val="21"/>
                      <w:szCs w:val="21"/>
                    </w:rPr>
                    <w:t>。</w:t>
                  </w:r>
                </w:p>
              </w:tc>
              <w:tc>
                <w:tcPr>
                  <w:tcW w:w="42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kern w:val="0"/>
                      <w:sz w:val="21"/>
                      <w:szCs w:val="21"/>
                    </w:rPr>
                  </w:pPr>
                  <w:r>
                    <w:rPr>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kern w:val="0"/>
                      <w:sz w:val="21"/>
                      <w:szCs w:val="21"/>
                    </w:rPr>
                  </w:pPr>
                  <w:r>
                    <w:rPr>
                      <w:kern w:val="0"/>
                      <w:sz w:val="21"/>
                      <w:szCs w:val="21"/>
                    </w:rPr>
                    <w:t>“五不批”</w:t>
                  </w:r>
                </w:p>
              </w:tc>
              <w:tc>
                <w:tcPr>
                  <w:tcW w:w="1340"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rPr>
                      <w:kern w:val="0"/>
                      <w:sz w:val="21"/>
                      <w:szCs w:val="21"/>
                    </w:rPr>
                  </w:pPr>
                  <w:r>
                    <w:rPr>
                      <w:kern w:val="0"/>
                      <w:sz w:val="21"/>
                      <w:szCs w:val="21"/>
                    </w:rPr>
                    <w:t>1、建设项目类型及其选址、布局、规模等是否符合环境保护法律法规和相关法定规划</w:t>
                  </w:r>
                </w:p>
              </w:tc>
              <w:tc>
                <w:tcPr>
                  <w:tcW w:w="282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rPr>
                      <w:kern w:val="0"/>
                      <w:sz w:val="21"/>
                      <w:szCs w:val="21"/>
                    </w:rPr>
                  </w:pPr>
                  <w:r>
                    <w:rPr>
                      <w:rFonts w:hint="eastAsia"/>
                      <w:kern w:val="0"/>
                      <w:sz w:val="21"/>
                      <w:szCs w:val="21"/>
                    </w:rPr>
                    <w:t>建设项目类型及其选址、布局、规模符合环境保护法律法规，并符合桐乡市“三线一单”生态环境分区管控方案。</w:t>
                  </w:r>
                </w:p>
              </w:tc>
              <w:tc>
                <w:tcPr>
                  <w:tcW w:w="42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kern w:val="0"/>
                      <w:sz w:val="21"/>
                      <w:szCs w:val="21"/>
                    </w:rPr>
                  </w:pPr>
                  <w:r>
                    <w:rPr>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Merge w:val="continue"/>
                  <w:tcBorders>
                    <w:top w:val="single" w:color="auto" w:sz="4" w:space="0"/>
                    <w:left w:val="single" w:color="auto" w:sz="4" w:space="0"/>
                    <w:bottom w:val="single" w:color="auto" w:sz="4" w:space="0"/>
                    <w:right w:val="single" w:color="auto" w:sz="4" w:space="0"/>
                  </w:tcBorders>
                </w:tcPr>
                <w:p>
                  <w:pPr>
                    <w:widowControl/>
                    <w:spacing w:line="240" w:lineRule="auto"/>
                    <w:ind w:firstLine="0" w:firstLineChars="0"/>
                    <w:rPr>
                      <w:kern w:val="0"/>
                      <w:sz w:val="21"/>
                      <w:szCs w:val="21"/>
                    </w:rPr>
                  </w:pPr>
                </w:p>
              </w:tc>
              <w:tc>
                <w:tcPr>
                  <w:tcW w:w="1340"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rPr>
                      <w:kern w:val="0"/>
                      <w:sz w:val="21"/>
                      <w:szCs w:val="21"/>
                    </w:rPr>
                  </w:pPr>
                  <w:r>
                    <w:rPr>
                      <w:kern w:val="0"/>
                      <w:sz w:val="21"/>
                      <w:szCs w:val="21"/>
                    </w:rPr>
                    <w:t>2、所在区域环境质量未达到国家或者地方环境质量标准，且建设项目拟采取的措施不能满足区域环境质量改善目标管理要求</w:t>
                  </w:r>
                </w:p>
              </w:tc>
              <w:tc>
                <w:tcPr>
                  <w:tcW w:w="2824" w:type="pct"/>
                  <w:tcBorders>
                    <w:top w:val="single" w:color="auto" w:sz="4" w:space="0"/>
                    <w:left w:val="single" w:color="auto" w:sz="4" w:space="0"/>
                    <w:bottom w:val="single" w:color="auto" w:sz="4" w:space="0"/>
                    <w:right w:val="single" w:color="auto" w:sz="4" w:space="0"/>
                  </w:tcBorders>
                  <w:vAlign w:val="center"/>
                </w:tcPr>
                <w:p>
                  <w:pPr>
                    <w:pStyle w:val="12"/>
                    <w:rPr>
                      <w:sz w:val="21"/>
                      <w:szCs w:val="22"/>
                    </w:rPr>
                  </w:pPr>
                  <w:r>
                    <w:rPr>
                      <w:sz w:val="21"/>
                      <w:szCs w:val="22"/>
                    </w:rPr>
                    <w:t>本项目生活污水经处理后纳管排放，不会对地表水环境造成影响；本项目采取各项污染防治措施后，废气、噪声等污染物均能达标排放，固废可得到妥善处置，根据影响分析可知，当地环境质量仍能维持现状，符合项目所在地</w:t>
                  </w:r>
                  <w:r>
                    <w:rPr>
                      <w:rFonts w:hint="eastAsia"/>
                      <w:sz w:val="21"/>
                      <w:szCs w:val="22"/>
                    </w:rPr>
                    <w:t>生态环境管控单元</w:t>
                  </w:r>
                  <w:r>
                    <w:rPr>
                      <w:sz w:val="21"/>
                      <w:szCs w:val="22"/>
                    </w:rPr>
                    <w:t>确定的环境质量要求。随着《浙江省打赢蓝天保卫战三年行动计划》、《桐乡市环境保护“十三五”规划》的实施，桐乡市环境空气质量将稳步改善。因此，本项目不触及环境质量底线</w:t>
                  </w:r>
                  <w:r>
                    <w:rPr>
                      <w:rFonts w:hint="eastAsia"/>
                      <w:sz w:val="21"/>
                      <w:szCs w:val="22"/>
                    </w:rPr>
                    <w:t>。</w:t>
                  </w:r>
                </w:p>
              </w:tc>
              <w:tc>
                <w:tcPr>
                  <w:tcW w:w="42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Cs/>
                      <w:kern w:val="0"/>
                      <w:sz w:val="21"/>
                      <w:szCs w:val="21"/>
                    </w:rPr>
                  </w:pPr>
                  <w:r>
                    <w:rPr>
                      <w:bCs/>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Merge w:val="continue"/>
                  <w:tcBorders>
                    <w:top w:val="single" w:color="auto" w:sz="4" w:space="0"/>
                    <w:left w:val="single" w:color="auto" w:sz="4" w:space="0"/>
                    <w:bottom w:val="single" w:color="auto" w:sz="4" w:space="0"/>
                    <w:right w:val="single" w:color="auto" w:sz="4" w:space="0"/>
                  </w:tcBorders>
                </w:tcPr>
                <w:p>
                  <w:pPr>
                    <w:widowControl/>
                    <w:spacing w:line="240" w:lineRule="auto"/>
                    <w:ind w:firstLine="0" w:firstLineChars="0"/>
                    <w:rPr>
                      <w:b/>
                      <w:bCs/>
                      <w:kern w:val="0"/>
                      <w:sz w:val="21"/>
                      <w:szCs w:val="21"/>
                    </w:rPr>
                  </w:pPr>
                </w:p>
              </w:tc>
              <w:tc>
                <w:tcPr>
                  <w:tcW w:w="1340"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rPr>
                      <w:kern w:val="0"/>
                      <w:sz w:val="21"/>
                      <w:szCs w:val="21"/>
                    </w:rPr>
                  </w:pPr>
                  <w:r>
                    <w:rPr>
                      <w:kern w:val="0"/>
                      <w:sz w:val="21"/>
                      <w:szCs w:val="21"/>
                    </w:rPr>
                    <w:t>3、建设项目采取的污染防治措施无法确保污染排放达到国家和地方排放标准，或者未采取必要措施预防和控制生态破坏。</w:t>
                  </w:r>
                </w:p>
              </w:tc>
              <w:tc>
                <w:tcPr>
                  <w:tcW w:w="2824" w:type="pct"/>
                  <w:tcBorders>
                    <w:top w:val="single" w:color="auto" w:sz="4" w:space="0"/>
                    <w:left w:val="single" w:color="auto" w:sz="4" w:space="0"/>
                    <w:bottom w:val="single" w:color="auto" w:sz="4" w:space="0"/>
                    <w:right w:val="single" w:color="auto" w:sz="4" w:space="0"/>
                  </w:tcBorders>
                  <w:vAlign w:val="center"/>
                </w:tcPr>
                <w:p>
                  <w:pPr>
                    <w:pStyle w:val="12"/>
                    <w:rPr>
                      <w:sz w:val="21"/>
                      <w:szCs w:val="22"/>
                    </w:rPr>
                  </w:pPr>
                  <w:r>
                    <w:rPr>
                      <w:sz w:val="21"/>
                      <w:szCs w:val="22"/>
                    </w:rPr>
                    <w:t>本项目采取的污染防治措施能确保污染物排放达到国家和地方排放标准；本项目采取必要措施预防和控制生态破坏</w:t>
                  </w:r>
                  <w:r>
                    <w:rPr>
                      <w:rFonts w:hint="eastAsia"/>
                      <w:sz w:val="21"/>
                      <w:szCs w:val="22"/>
                    </w:rPr>
                    <w:t>。</w:t>
                  </w:r>
                </w:p>
              </w:tc>
              <w:tc>
                <w:tcPr>
                  <w:tcW w:w="42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kern w:val="0"/>
                      <w:sz w:val="21"/>
                      <w:szCs w:val="21"/>
                    </w:rPr>
                  </w:pPr>
                  <w:r>
                    <w:rPr>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Merge w:val="continue"/>
                  <w:tcBorders>
                    <w:top w:val="single" w:color="auto" w:sz="4" w:space="0"/>
                    <w:left w:val="single" w:color="auto" w:sz="4" w:space="0"/>
                    <w:bottom w:val="single" w:color="auto" w:sz="4" w:space="0"/>
                    <w:right w:val="single" w:color="auto" w:sz="4" w:space="0"/>
                  </w:tcBorders>
                </w:tcPr>
                <w:p>
                  <w:pPr>
                    <w:widowControl/>
                    <w:spacing w:line="240" w:lineRule="auto"/>
                    <w:ind w:firstLine="0" w:firstLineChars="0"/>
                    <w:rPr>
                      <w:b/>
                      <w:bCs/>
                      <w:kern w:val="0"/>
                      <w:sz w:val="21"/>
                      <w:szCs w:val="21"/>
                    </w:rPr>
                  </w:pPr>
                </w:p>
              </w:tc>
              <w:tc>
                <w:tcPr>
                  <w:tcW w:w="1340"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rPr>
                      <w:kern w:val="0"/>
                      <w:sz w:val="21"/>
                      <w:szCs w:val="21"/>
                    </w:rPr>
                  </w:pPr>
                  <w:r>
                    <w:rPr>
                      <w:kern w:val="0"/>
                      <w:sz w:val="21"/>
                      <w:szCs w:val="21"/>
                    </w:rPr>
                    <w:t>4、改建、扩建和技术改造项目，未针对项目原有环境污染和生态破坏提出有效防治措施。</w:t>
                  </w:r>
                </w:p>
              </w:tc>
              <w:tc>
                <w:tcPr>
                  <w:tcW w:w="282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rPr>
                      <w:kern w:val="0"/>
                      <w:sz w:val="21"/>
                      <w:szCs w:val="21"/>
                    </w:rPr>
                  </w:pPr>
                  <w:r>
                    <w:rPr>
                      <w:rFonts w:hint="eastAsia"/>
                      <w:kern w:val="0"/>
                      <w:sz w:val="21"/>
                      <w:szCs w:val="21"/>
                    </w:rPr>
                    <w:t>本项目为新建项目，无原有环境污染和生态破坏。</w:t>
                  </w:r>
                </w:p>
              </w:tc>
              <w:tc>
                <w:tcPr>
                  <w:tcW w:w="42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kern w:val="0"/>
                      <w:sz w:val="21"/>
                      <w:szCs w:val="21"/>
                    </w:rPr>
                  </w:pPr>
                  <w:r>
                    <w:rPr>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Merge w:val="continue"/>
                  <w:tcBorders>
                    <w:top w:val="single" w:color="auto" w:sz="4" w:space="0"/>
                    <w:left w:val="single" w:color="auto" w:sz="4" w:space="0"/>
                    <w:bottom w:val="single" w:color="auto" w:sz="4" w:space="0"/>
                    <w:right w:val="single" w:color="auto" w:sz="4" w:space="0"/>
                  </w:tcBorders>
                </w:tcPr>
                <w:p>
                  <w:pPr>
                    <w:widowControl/>
                    <w:spacing w:line="240" w:lineRule="auto"/>
                    <w:ind w:firstLine="0" w:firstLineChars="0"/>
                    <w:rPr>
                      <w:b/>
                      <w:bCs/>
                      <w:kern w:val="0"/>
                      <w:sz w:val="21"/>
                      <w:szCs w:val="21"/>
                    </w:rPr>
                  </w:pPr>
                </w:p>
              </w:tc>
              <w:tc>
                <w:tcPr>
                  <w:tcW w:w="1340"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rPr>
                      <w:kern w:val="0"/>
                      <w:sz w:val="21"/>
                      <w:szCs w:val="21"/>
                    </w:rPr>
                  </w:pPr>
                  <w:r>
                    <w:rPr>
                      <w:kern w:val="0"/>
                      <w:sz w:val="21"/>
                      <w:szCs w:val="21"/>
                    </w:rPr>
                    <w:t>5、建设项目的环境影响报告书、环境影响报告表的基础资料数据明显不实，内容存在重大缺陷、遗漏，或者环境影响评价结论不明确、不合理。</w:t>
                  </w:r>
                </w:p>
              </w:tc>
              <w:tc>
                <w:tcPr>
                  <w:tcW w:w="282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rPr>
                      <w:kern w:val="0"/>
                      <w:sz w:val="21"/>
                      <w:szCs w:val="21"/>
                    </w:rPr>
                  </w:pPr>
                  <w:r>
                    <w:rPr>
                      <w:kern w:val="0"/>
                      <w:sz w:val="21"/>
                      <w:szCs w:val="21"/>
                    </w:rPr>
                    <w:t>环评报告采用的基础资料数据均采用项目方实际建设申报内容，环境监测数据均由正规资质单位监测取得</w:t>
                  </w:r>
                  <w:r>
                    <w:rPr>
                      <w:rFonts w:hint="eastAsia"/>
                      <w:kern w:val="0"/>
                      <w:sz w:val="21"/>
                      <w:szCs w:val="21"/>
                    </w:rPr>
                    <w:t>。</w:t>
                  </w:r>
                </w:p>
              </w:tc>
              <w:tc>
                <w:tcPr>
                  <w:tcW w:w="42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kern w:val="0"/>
                      <w:sz w:val="21"/>
                      <w:szCs w:val="21"/>
                    </w:rPr>
                  </w:pPr>
                  <w:r>
                    <w:rPr>
                      <w:kern w:val="0"/>
                      <w:sz w:val="21"/>
                      <w:szCs w:val="21"/>
                    </w:rPr>
                    <w:t>符合</w:t>
                  </w:r>
                </w:p>
              </w:tc>
            </w:tr>
          </w:tbl>
          <w:p>
            <w:pPr>
              <w:pStyle w:val="6"/>
            </w:pPr>
            <w:bookmarkStart w:id="194" w:name="_Toc29380658"/>
            <w:bookmarkStart w:id="195" w:name="_Toc29388609"/>
            <w:r>
              <w:rPr>
                <w:rFonts w:hint="eastAsia"/>
              </w:rPr>
              <w:t>9.2.5</w:t>
            </w:r>
            <w:r>
              <w:t>行业规范符合性分析</w:t>
            </w:r>
          </w:p>
          <w:p>
            <w:pPr>
              <w:ind w:firstLine="480"/>
            </w:pPr>
            <w:r>
              <w:rPr>
                <w:rFonts w:hint="eastAsia"/>
              </w:rPr>
              <w:t xml:space="preserve"> </w:t>
            </w:r>
            <w:r>
              <w:rPr>
                <w:kern w:val="0"/>
                <w:szCs w:val="24"/>
                <w:lang w:bidi="ar"/>
              </w:rPr>
              <w:t>本项目主要</w:t>
            </w:r>
            <w:r>
              <w:rPr>
                <w:rFonts w:hint="eastAsia"/>
                <w:szCs w:val="22"/>
              </w:rPr>
              <w:t>从事精密配件、后倾离心风机的生产</w:t>
            </w:r>
            <w:r>
              <w:rPr>
                <w:kern w:val="0"/>
                <w:szCs w:val="24"/>
                <w:lang w:bidi="ar"/>
              </w:rPr>
              <w:t>，</w:t>
            </w:r>
            <w:r>
              <w:rPr>
                <w:rFonts w:hint="eastAsia"/>
              </w:rPr>
              <w:t>属于国民经济行业分类中“</w:t>
            </w:r>
            <w:r>
              <w:rPr>
                <w:rFonts w:hint="eastAsia"/>
                <w:szCs w:val="24"/>
              </w:rPr>
              <w:t>C346 烘炉、风机、包装等设备制造</w:t>
            </w:r>
            <w:r>
              <w:rPr>
                <w:rFonts w:hint="eastAsia"/>
              </w:rPr>
              <w:t>”</w:t>
            </w:r>
            <w:r>
              <w:rPr>
                <w:kern w:val="0"/>
                <w:szCs w:val="24"/>
                <w:lang w:bidi="ar"/>
              </w:rPr>
              <w:t>，</w:t>
            </w:r>
            <w:r>
              <w:rPr>
                <w:rFonts w:hint="eastAsia"/>
                <w:kern w:val="0"/>
                <w:szCs w:val="24"/>
                <w:lang w:bidi="ar"/>
              </w:rPr>
              <w:t>考虑本项目使用绝缘漆进行浸漆，</w:t>
            </w:r>
            <w:r>
              <w:rPr>
                <w:rFonts w:hint="eastAsia"/>
              </w:rPr>
              <w:t>因此对照《浙江省涂装行业挥发性有机物污染整治规范》（浙环函[2015]402号）、《温州市电器及元件制造业挥发性有机物污染整治规范》（浙环办函[2016]56号）、《重点行业挥发性有机物综合治理方案》（环大气[2019]53号）、《浙江省挥发性有机物深化治理与减排工作方案（2017-2020年）》（浙环发[2017]41号）等文件要求对本项目进行符合性分析。</w:t>
            </w:r>
          </w:p>
          <w:p>
            <w:pPr>
              <w:ind w:firstLine="480"/>
            </w:pPr>
            <w:r>
              <w:rPr>
                <w:rFonts w:hint="eastAsia"/>
              </w:rPr>
              <w:t>1、《浙江省涂装行业挥发性有机物污染整治规范》</w:t>
            </w:r>
          </w:p>
          <w:p>
            <w:pPr>
              <w:ind w:firstLine="480"/>
            </w:pPr>
            <w:r>
              <w:rPr>
                <w:rFonts w:hint="eastAsia"/>
              </w:rPr>
              <w:t>参照《浙江省涂装行业挥发性有机物污染整治规范》（浙环函[2015]402号）中相关污染整治要求，本项目实施情况与整治要求符合性分析见表9-5。</w:t>
            </w:r>
          </w:p>
          <w:p>
            <w:pPr>
              <w:pStyle w:val="46"/>
            </w:pPr>
            <w:r>
              <w:rPr>
                <w:rFonts w:hint="eastAsia"/>
              </w:rPr>
              <w:t>表9</w:t>
            </w:r>
            <w:r>
              <w:t>-</w:t>
            </w:r>
            <w:r>
              <w:rPr>
                <w:rFonts w:hint="eastAsia"/>
              </w:rPr>
              <w:t>5</w:t>
            </w:r>
            <w:r>
              <w:t xml:space="preserve">  </w:t>
            </w:r>
            <w:r>
              <w:rPr>
                <w:rFonts w:hint="eastAsia"/>
              </w:rPr>
              <w:t>《浙江省涂装行业挥发性有机物污染整治规范》符合性分析</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8"/>
              <w:gridCol w:w="427"/>
              <w:gridCol w:w="427"/>
              <w:gridCol w:w="3942"/>
              <w:gridCol w:w="2851"/>
              <w:gridCol w:w="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8" w:type="dxa"/>
                  <w:vAlign w:val="center"/>
                </w:tcPr>
                <w:p>
                  <w:pPr>
                    <w:pStyle w:val="46"/>
                  </w:pPr>
                  <w:r>
                    <w:rPr>
                      <w:rFonts w:hint="eastAsia"/>
                    </w:rPr>
                    <w:t>分类</w:t>
                  </w:r>
                </w:p>
              </w:tc>
              <w:tc>
                <w:tcPr>
                  <w:tcW w:w="427" w:type="dxa"/>
                  <w:vAlign w:val="center"/>
                </w:tcPr>
                <w:p>
                  <w:pPr>
                    <w:pStyle w:val="46"/>
                  </w:pPr>
                  <w:r>
                    <w:rPr>
                      <w:rFonts w:hint="eastAsia"/>
                    </w:rPr>
                    <w:t>内容</w:t>
                  </w:r>
                </w:p>
              </w:tc>
              <w:tc>
                <w:tcPr>
                  <w:tcW w:w="427" w:type="dxa"/>
                  <w:vAlign w:val="center"/>
                </w:tcPr>
                <w:p>
                  <w:pPr>
                    <w:pStyle w:val="46"/>
                  </w:pPr>
                  <w:r>
                    <w:rPr>
                      <w:rFonts w:hint="eastAsia"/>
                    </w:rPr>
                    <w:t>序号</w:t>
                  </w:r>
                </w:p>
              </w:tc>
              <w:tc>
                <w:tcPr>
                  <w:tcW w:w="3942" w:type="dxa"/>
                  <w:vAlign w:val="center"/>
                </w:tcPr>
                <w:p>
                  <w:pPr>
                    <w:pStyle w:val="46"/>
                  </w:pPr>
                  <w:r>
                    <w:rPr>
                      <w:rFonts w:hint="eastAsia"/>
                    </w:rPr>
                    <w:t>整治要求</w:t>
                  </w:r>
                </w:p>
              </w:tc>
              <w:tc>
                <w:tcPr>
                  <w:tcW w:w="2851" w:type="dxa"/>
                  <w:vAlign w:val="center"/>
                </w:tcPr>
                <w:p>
                  <w:pPr>
                    <w:pStyle w:val="46"/>
                  </w:pPr>
                  <w:r>
                    <w:rPr>
                      <w:rFonts w:hint="eastAsia"/>
                    </w:rPr>
                    <w:t>本项目情况</w:t>
                  </w:r>
                </w:p>
              </w:tc>
              <w:tc>
                <w:tcPr>
                  <w:tcW w:w="645" w:type="dxa"/>
                  <w:vAlign w:val="center"/>
                </w:tcPr>
                <w:p>
                  <w:pPr>
                    <w:pStyle w:val="46"/>
                  </w:pPr>
                  <w:r>
                    <w:rPr>
                      <w:rFonts w:hint="eastAsia"/>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8" w:type="dxa"/>
                  <w:vMerge w:val="restart"/>
                  <w:vAlign w:val="center"/>
                </w:tcPr>
                <w:p>
                  <w:pPr>
                    <w:pStyle w:val="47"/>
                  </w:pPr>
                  <w:r>
                    <w:rPr>
                      <w:rFonts w:hint="eastAsia"/>
                    </w:rPr>
                    <w:t>涂装行业总体要求</w:t>
                  </w:r>
                </w:p>
              </w:tc>
              <w:tc>
                <w:tcPr>
                  <w:tcW w:w="427" w:type="dxa"/>
                  <w:vMerge w:val="restart"/>
                  <w:vAlign w:val="center"/>
                </w:tcPr>
                <w:p>
                  <w:pPr>
                    <w:pStyle w:val="47"/>
                  </w:pPr>
                  <w:r>
                    <w:rPr>
                      <w:rFonts w:hint="eastAsia"/>
                    </w:rPr>
                    <w:t>源头控制</w:t>
                  </w:r>
                </w:p>
              </w:tc>
              <w:tc>
                <w:tcPr>
                  <w:tcW w:w="427" w:type="dxa"/>
                  <w:vAlign w:val="center"/>
                </w:tcPr>
                <w:p>
                  <w:pPr>
                    <w:pStyle w:val="47"/>
                  </w:pPr>
                  <w:r>
                    <w:rPr>
                      <w:rFonts w:hint="eastAsia"/>
                    </w:rPr>
                    <w:t>1</w:t>
                  </w:r>
                </w:p>
              </w:tc>
              <w:tc>
                <w:tcPr>
                  <w:tcW w:w="3942" w:type="dxa"/>
                  <w:vAlign w:val="center"/>
                </w:tcPr>
                <w:p>
                  <w:pPr>
                    <w:pStyle w:val="47"/>
                    <w:jc w:val="left"/>
                  </w:pPr>
                  <w:r>
                    <w:rPr>
                      <w:rFonts w:hint="eastAsia"/>
                    </w:rPr>
                    <w:t>使用水性、粉末、高固体份、紫外(UV)光固化涂料等环境友好型涂料，限制使用即用状态下VOCs含量&gt;420g/L的涂料</w:t>
                  </w:r>
                </w:p>
              </w:tc>
              <w:tc>
                <w:tcPr>
                  <w:tcW w:w="2851" w:type="dxa"/>
                  <w:vAlign w:val="center"/>
                </w:tcPr>
                <w:p>
                  <w:pPr>
                    <w:pStyle w:val="47"/>
                    <w:jc w:val="left"/>
                  </w:pPr>
                  <w:r>
                    <w:rPr>
                      <w:rFonts w:hint="eastAsia"/>
                    </w:rPr>
                    <w:t>本项目使用的绝缘漆中树脂含量&gt;75%，属于</w:t>
                  </w:r>
                  <w:r>
                    <w:rPr>
                      <w:rFonts w:hint="eastAsia"/>
                      <w:lang w:eastAsia="zh-CN"/>
                    </w:rPr>
                    <w:t>高固体份</w:t>
                  </w:r>
                  <w:r>
                    <w:rPr>
                      <w:rFonts w:hint="eastAsia"/>
                    </w:rPr>
                    <w:t>环境友好型涂料。</w:t>
                  </w:r>
                </w:p>
              </w:tc>
              <w:tc>
                <w:tcPr>
                  <w:tcW w:w="645" w:type="dxa"/>
                  <w:vAlign w:val="center"/>
                </w:tcPr>
                <w:p>
                  <w:pPr>
                    <w:pStyle w:val="4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8" w:type="dxa"/>
                  <w:vMerge w:val="continue"/>
                  <w:vAlign w:val="center"/>
                </w:tcPr>
                <w:p>
                  <w:pPr>
                    <w:pStyle w:val="47"/>
                  </w:pPr>
                </w:p>
              </w:tc>
              <w:tc>
                <w:tcPr>
                  <w:tcW w:w="427" w:type="dxa"/>
                  <w:vMerge w:val="continue"/>
                  <w:vAlign w:val="center"/>
                </w:tcPr>
                <w:p>
                  <w:pPr>
                    <w:pStyle w:val="47"/>
                  </w:pPr>
                </w:p>
              </w:tc>
              <w:tc>
                <w:tcPr>
                  <w:tcW w:w="427" w:type="dxa"/>
                  <w:vAlign w:val="center"/>
                </w:tcPr>
                <w:p>
                  <w:pPr>
                    <w:pStyle w:val="47"/>
                  </w:pPr>
                  <w:r>
                    <w:rPr>
                      <w:rFonts w:hint="eastAsia"/>
                    </w:rPr>
                    <w:t>2</w:t>
                  </w:r>
                </w:p>
              </w:tc>
              <w:tc>
                <w:tcPr>
                  <w:tcW w:w="3942" w:type="dxa"/>
                  <w:vAlign w:val="center"/>
                </w:tcPr>
                <w:p>
                  <w:pPr>
                    <w:pStyle w:val="47"/>
                    <w:jc w:val="left"/>
                  </w:pPr>
                  <w:r>
                    <w:rPr>
                      <w:rFonts w:hint="eastAsia"/>
                    </w:rPr>
                    <w:t>汽车制造、汽车维修、家具制造、电子和电器产品制造企业环境友好型涂料(水性涂料必须满足《环境标准技术产品要求水性涂料》(HJ2537-2014)的规定)使用比例达到50%以上</w:t>
                  </w:r>
                </w:p>
              </w:tc>
              <w:tc>
                <w:tcPr>
                  <w:tcW w:w="2851" w:type="dxa"/>
                  <w:vAlign w:val="center"/>
                </w:tcPr>
                <w:p>
                  <w:pPr>
                    <w:pStyle w:val="47"/>
                    <w:jc w:val="left"/>
                  </w:pPr>
                  <w:r>
                    <w:rPr>
                      <w:rFonts w:hint="eastAsia"/>
                    </w:rPr>
                    <w:t>本项目为</w:t>
                  </w:r>
                  <w:r>
                    <w:rPr>
                      <w:rFonts w:hint="eastAsia"/>
                      <w:szCs w:val="24"/>
                    </w:rPr>
                    <w:t xml:space="preserve">C346 </w:t>
                  </w:r>
                  <w:r>
                    <w:rPr>
                      <w:rFonts w:hint="eastAsia"/>
                    </w:rPr>
                    <w:t>烘炉、风机、包装等设备制造，属于通用设备制造业，另外本项目全部使用环境友好型涂料。</w:t>
                  </w:r>
                </w:p>
              </w:tc>
              <w:tc>
                <w:tcPr>
                  <w:tcW w:w="645" w:type="dxa"/>
                  <w:vAlign w:val="center"/>
                </w:tcPr>
                <w:p>
                  <w:pPr>
                    <w:pStyle w:val="4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8" w:type="dxa"/>
                  <w:vMerge w:val="continue"/>
                  <w:vAlign w:val="center"/>
                </w:tcPr>
                <w:p>
                  <w:pPr>
                    <w:pStyle w:val="47"/>
                  </w:pPr>
                </w:p>
              </w:tc>
              <w:tc>
                <w:tcPr>
                  <w:tcW w:w="427" w:type="dxa"/>
                  <w:vMerge w:val="restart"/>
                  <w:vAlign w:val="center"/>
                </w:tcPr>
                <w:p>
                  <w:pPr>
                    <w:pStyle w:val="47"/>
                  </w:pPr>
                  <w:r>
                    <w:rPr>
                      <w:rFonts w:hint="eastAsia"/>
                    </w:rPr>
                    <w:t>过程控制</w:t>
                  </w:r>
                </w:p>
              </w:tc>
              <w:tc>
                <w:tcPr>
                  <w:tcW w:w="427" w:type="dxa"/>
                  <w:vAlign w:val="center"/>
                </w:tcPr>
                <w:p>
                  <w:pPr>
                    <w:pStyle w:val="47"/>
                  </w:pPr>
                  <w:r>
                    <w:rPr>
                      <w:rFonts w:hint="eastAsia"/>
                    </w:rPr>
                    <w:t>3</w:t>
                  </w:r>
                </w:p>
              </w:tc>
              <w:tc>
                <w:tcPr>
                  <w:tcW w:w="3942" w:type="dxa"/>
                  <w:vAlign w:val="center"/>
                </w:tcPr>
                <w:p>
                  <w:pPr>
                    <w:pStyle w:val="47"/>
                    <w:jc w:val="left"/>
                  </w:pPr>
                  <w:r>
                    <w:rPr>
                      <w:rFonts w:hint="eastAsia"/>
                    </w:rPr>
                    <w:t>涂装企业采用先进的静电喷涂、无空气喷涂、空气辅助/混气喷涂、热喷涂工艺，淘汰空气喷涂等落后喷涂工艺，提高涂料利用率</w:t>
                  </w:r>
                </w:p>
              </w:tc>
              <w:tc>
                <w:tcPr>
                  <w:tcW w:w="2851" w:type="dxa"/>
                  <w:vAlign w:val="center"/>
                </w:tcPr>
                <w:p>
                  <w:pPr>
                    <w:pStyle w:val="47"/>
                    <w:jc w:val="left"/>
                  </w:pPr>
                  <w:r>
                    <w:rPr>
                      <w:rFonts w:hint="eastAsia"/>
                    </w:rPr>
                    <w:t>本项目采用真空浸漆工艺</w:t>
                  </w:r>
                </w:p>
              </w:tc>
              <w:tc>
                <w:tcPr>
                  <w:tcW w:w="645" w:type="dxa"/>
                  <w:vAlign w:val="center"/>
                </w:tcPr>
                <w:p>
                  <w:pPr>
                    <w:pStyle w:val="4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8" w:type="dxa"/>
                  <w:vMerge w:val="continue"/>
                  <w:vAlign w:val="center"/>
                </w:tcPr>
                <w:p>
                  <w:pPr>
                    <w:pStyle w:val="47"/>
                  </w:pPr>
                </w:p>
              </w:tc>
              <w:tc>
                <w:tcPr>
                  <w:tcW w:w="427" w:type="dxa"/>
                  <w:vMerge w:val="continue"/>
                  <w:vAlign w:val="center"/>
                </w:tcPr>
                <w:p>
                  <w:pPr>
                    <w:pStyle w:val="47"/>
                  </w:pPr>
                </w:p>
              </w:tc>
              <w:tc>
                <w:tcPr>
                  <w:tcW w:w="427" w:type="dxa"/>
                  <w:vAlign w:val="center"/>
                </w:tcPr>
                <w:p>
                  <w:pPr>
                    <w:pStyle w:val="47"/>
                  </w:pPr>
                  <w:r>
                    <w:rPr>
                      <w:rFonts w:hint="eastAsia"/>
                    </w:rPr>
                    <w:t>4</w:t>
                  </w:r>
                </w:p>
              </w:tc>
              <w:tc>
                <w:tcPr>
                  <w:tcW w:w="3942" w:type="dxa"/>
                  <w:vAlign w:val="center"/>
                </w:tcPr>
                <w:p>
                  <w:pPr>
                    <w:pStyle w:val="47"/>
                    <w:jc w:val="left"/>
                  </w:pPr>
                  <w:r>
                    <w:rPr>
                      <w:rFonts w:hint="eastAsia"/>
                    </w:rPr>
                    <w:t>所有有机溶剂和含有有机溶剂的原辅料采取密封存储和密闭存放，属于危化品应符合危化品相关规定</w:t>
                  </w:r>
                </w:p>
              </w:tc>
              <w:tc>
                <w:tcPr>
                  <w:tcW w:w="2851" w:type="dxa"/>
                  <w:vAlign w:val="center"/>
                </w:tcPr>
                <w:p>
                  <w:pPr>
                    <w:pStyle w:val="47"/>
                    <w:jc w:val="left"/>
                  </w:pPr>
                  <w:r>
                    <w:rPr>
                      <w:rFonts w:hint="eastAsia"/>
                    </w:rPr>
                    <w:t>本项目不涉及危化品使用，化学品原料均采用密封储存</w:t>
                  </w:r>
                </w:p>
              </w:tc>
              <w:tc>
                <w:tcPr>
                  <w:tcW w:w="645" w:type="dxa"/>
                  <w:vAlign w:val="center"/>
                </w:tcPr>
                <w:p>
                  <w:pPr>
                    <w:pStyle w:val="4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8" w:type="dxa"/>
                  <w:vMerge w:val="continue"/>
                  <w:vAlign w:val="center"/>
                </w:tcPr>
                <w:p>
                  <w:pPr>
                    <w:pStyle w:val="47"/>
                  </w:pPr>
                </w:p>
              </w:tc>
              <w:tc>
                <w:tcPr>
                  <w:tcW w:w="427" w:type="dxa"/>
                  <w:vMerge w:val="continue"/>
                  <w:vAlign w:val="center"/>
                </w:tcPr>
                <w:p>
                  <w:pPr>
                    <w:pStyle w:val="47"/>
                  </w:pPr>
                </w:p>
              </w:tc>
              <w:tc>
                <w:tcPr>
                  <w:tcW w:w="427" w:type="dxa"/>
                  <w:vAlign w:val="center"/>
                </w:tcPr>
                <w:p>
                  <w:pPr>
                    <w:pStyle w:val="47"/>
                  </w:pPr>
                  <w:r>
                    <w:rPr>
                      <w:rFonts w:hint="eastAsia"/>
                    </w:rPr>
                    <w:t>5</w:t>
                  </w:r>
                </w:p>
              </w:tc>
              <w:tc>
                <w:tcPr>
                  <w:tcW w:w="3942" w:type="dxa"/>
                  <w:vAlign w:val="center"/>
                </w:tcPr>
                <w:p>
                  <w:pPr>
                    <w:pStyle w:val="47"/>
                    <w:jc w:val="left"/>
                  </w:pPr>
                  <w:r>
                    <w:rPr>
                      <w:rFonts w:hint="eastAsia"/>
                    </w:rPr>
                    <w:t>溶剂型涂料、稀释剂等调配作业在独立密闭间内完成，并需满足建筑设计防火规范要求</w:t>
                  </w:r>
                </w:p>
              </w:tc>
              <w:tc>
                <w:tcPr>
                  <w:tcW w:w="2851" w:type="dxa"/>
                  <w:vAlign w:val="center"/>
                </w:tcPr>
                <w:p>
                  <w:pPr>
                    <w:pStyle w:val="47"/>
                    <w:jc w:val="left"/>
                  </w:pPr>
                  <w:r>
                    <w:rPr>
                      <w:rFonts w:hint="eastAsia"/>
                    </w:rPr>
                    <w:t>本项目不涉及调配作业</w:t>
                  </w:r>
                </w:p>
              </w:tc>
              <w:tc>
                <w:tcPr>
                  <w:tcW w:w="645" w:type="dxa"/>
                  <w:vAlign w:val="center"/>
                </w:tcPr>
                <w:p>
                  <w:pPr>
                    <w:pStyle w:val="4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8" w:type="dxa"/>
                  <w:vMerge w:val="continue"/>
                  <w:vAlign w:val="center"/>
                </w:tcPr>
                <w:p>
                  <w:pPr>
                    <w:pStyle w:val="47"/>
                  </w:pPr>
                </w:p>
              </w:tc>
              <w:tc>
                <w:tcPr>
                  <w:tcW w:w="427" w:type="dxa"/>
                  <w:vMerge w:val="continue"/>
                  <w:vAlign w:val="center"/>
                </w:tcPr>
                <w:p>
                  <w:pPr>
                    <w:pStyle w:val="47"/>
                  </w:pPr>
                </w:p>
              </w:tc>
              <w:tc>
                <w:tcPr>
                  <w:tcW w:w="427" w:type="dxa"/>
                  <w:vAlign w:val="center"/>
                </w:tcPr>
                <w:p>
                  <w:pPr>
                    <w:pStyle w:val="47"/>
                  </w:pPr>
                  <w:r>
                    <w:rPr>
                      <w:rFonts w:hint="eastAsia"/>
                    </w:rPr>
                    <w:t>6</w:t>
                  </w:r>
                </w:p>
              </w:tc>
              <w:tc>
                <w:tcPr>
                  <w:tcW w:w="3942" w:type="dxa"/>
                  <w:vAlign w:val="center"/>
                </w:tcPr>
                <w:p>
                  <w:pPr>
                    <w:pStyle w:val="47"/>
                    <w:jc w:val="left"/>
                  </w:pPr>
                  <w:r>
                    <w:rPr>
                      <w:rFonts w:hint="eastAsia"/>
                    </w:rPr>
                    <w:t>无集中供料系统时，原辅料转运应采用密闭容器封存</w:t>
                  </w:r>
                </w:p>
              </w:tc>
              <w:tc>
                <w:tcPr>
                  <w:tcW w:w="2851" w:type="dxa"/>
                  <w:vAlign w:val="center"/>
                </w:tcPr>
                <w:p>
                  <w:pPr>
                    <w:pStyle w:val="47"/>
                    <w:jc w:val="left"/>
                  </w:pPr>
                  <w:r>
                    <w:rPr>
                      <w:rFonts w:hint="eastAsia"/>
                    </w:rPr>
                    <w:t>本项目原辅料转运均采用密闭容器封存</w:t>
                  </w:r>
                </w:p>
              </w:tc>
              <w:tc>
                <w:tcPr>
                  <w:tcW w:w="645" w:type="dxa"/>
                  <w:vAlign w:val="center"/>
                </w:tcPr>
                <w:p>
                  <w:pPr>
                    <w:pStyle w:val="4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8" w:type="dxa"/>
                  <w:vMerge w:val="continue"/>
                  <w:vAlign w:val="center"/>
                </w:tcPr>
                <w:p>
                  <w:pPr>
                    <w:pStyle w:val="47"/>
                  </w:pPr>
                </w:p>
              </w:tc>
              <w:tc>
                <w:tcPr>
                  <w:tcW w:w="427" w:type="dxa"/>
                  <w:vMerge w:val="continue"/>
                  <w:vAlign w:val="center"/>
                </w:tcPr>
                <w:p>
                  <w:pPr>
                    <w:pStyle w:val="47"/>
                  </w:pPr>
                </w:p>
              </w:tc>
              <w:tc>
                <w:tcPr>
                  <w:tcW w:w="427" w:type="dxa"/>
                  <w:vAlign w:val="center"/>
                </w:tcPr>
                <w:p>
                  <w:pPr>
                    <w:pStyle w:val="47"/>
                  </w:pPr>
                  <w:r>
                    <w:rPr>
                      <w:rFonts w:hint="eastAsia"/>
                    </w:rPr>
                    <w:t>7</w:t>
                  </w:r>
                </w:p>
              </w:tc>
              <w:tc>
                <w:tcPr>
                  <w:tcW w:w="3942" w:type="dxa"/>
                  <w:vAlign w:val="center"/>
                </w:tcPr>
                <w:p>
                  <w:pPr>
                    <w:pStyle w:val="47"/>
                    <w:jc w:val="left"/>
                  </w:pPr>
                  <w:r>
                    <w:rPr>
                      <w:rFonts w:hint="eastAsia"/>
                    </w:rPr>
                    <w:t>禁止敞开式涂装作业，禁止露天和敞开式晾(风)干(船体等大型工件涂装及补漆确实不能实施密闭作业的除外)</w:t>
                  </w:r>
                </w:p>
              </w:tc>
              <w:tc>
                <w:tcPr>
                  <w:tcW w:w="2851" w:type="dxa"/>
                  <w:vAlign w:val="center"/>
                </w:tcPr>
                <w:p>
                  <w:pPr>
                    <w:pStyle w:val="47"/>
                    <w:jc w:val="left"/>
                  </w:pPr>
                  <w:r>
                    <w:rPr>
                      <w:rFonts w:hint="eastAsia"/>
                    </w:rPr>
                    <w:t>本项目浸漆、烘干工序设置在密闭独立车间内</w:t>
                  </w:r>
                </w:p>
              </w:tc>
              <w:tc>
                <w:tcPr>
                  <w:tcW w:w="645" w:type="dxa"/>
                  <w:vAlign w:val="center"/>
                </w:tcPr>
                <w:p>
                  <w:pPr>
                    <w:pStyle w:val="47"/>
                  </w:pPr>
                  <w:r>
                    <w:rPr>
                      <w:rFonts w:hint="eastAsia"/>
                    </w:rPr>
                    <w:t xml:space="preserve">符合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8" w:type="dxa"/>
                  <w:vMerge w:val="continue"/>
                  <w:vAlign w:val="center"/>
                </w:tcPr>
                <w:p>
                  <w:pPr>
                    <w:pStyle w:val="47"/>
                  </w:pPr>
                </w:p>
              </w:tc>
              <w:tc>
                <w:tcPr>
                  <w:tcW w:w="427" w:type="dxa"/>
                  <w:vMerge w:val="continue"/>
                  <w:vAlign w:val="center"/>
                </w:tcPr>
                <w:p>
                  <w:pPr>
                    <w:pStyle w:val="47"/>
                  </w:pPr>
                </w:p>
              </w:tc>
              <w:tc>
                <w:tcPr>
                  <w:tcW w:w="427" w:type="dxa"/>
                  <w:vAlign w:val="center"/>
                </w:tcPr>
                <w:p>
                  <w:pPr>
                    <w:pStyle w:val="47"/>
                  </w:pPr>
                  <w:r>
                    <w:rPr>
                      <w:rFonts w:hint="eastAsia"/>
                    </w:rPr>
                    <w:t>8</w:t>
                  </w:r>
                </w:p>
              </w:tc>
              <w:tc>
                <w:tcPr>
                  <w:tcW w:w="3942" w:type="dxa"/>
                  <w:vAlign w:val="center"/>
                </w:tcPr>
                <w:p>
                  <w:pPr>
                    <w:pStyle w:val="47"/>
                    <w:jc w:val="left"/>
                  </w:pPr>
                  <w:r>
                    <w:rPr>
                      <w:rFonts w:hint="eastAsia"/>
                    </w:rPr>
                    <w:t>无集中供料系统的浸涂、滚涂、淋涂等作业应采用密闭的泵送供料系统</w:t>
                  </w:r>
                </w:p>
              </w:tc>
              <w:tc>
                <w:tcPr>
                  <w:tcW w:w="2851" w:type="dxa"/>
                  <w:vAlign w:val="center"/>
                </w:tcPr>
                <w:p>
                  <w:pPr>
                    <w:pStyle w:val="47"/>
                    <w:jc w:val="left"/>
                  </w:pPr>
                  <w:r>
                    <w:rPr>
                      <w:rFonts w:hint="eastAsia"/>
                    </w:rPr>
                    <w:t>本项目浸漆工序采用密闭管道泵送供料系统</w:t>
                  </w:r>
                </w:p>
              </w:tc>
              <w:tc>
                <w:tcPr>
                  <w:tcW w:w="645" w:type="dxa"/>
                  <w:vAlign w:val="center"/>
                </w:tcPr>
                <w:p>
                  <w:pPr>
                    <w:pStyle w:val="4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8" w:type="dxa"/>
                  <w:vMerge w:val="continue"/>
                  <w:vAlign w:val="center"/>
                </w:tcPr>
                <w:p>
                  <w:pPr>
                    <w:pStyle w:val="47"/>
                  </w:pPr>
                </w:p>
              </w:tc>
              <w:tc>
                <w:tcPr>
                  <w:tcW w:w="427" w:type="dxa"/>
                  <w:vMerge w:val="continue"/>
                  <w:vAlign w:val="center"/>
                </w:tcPr>
                <w:p>
                  <w:pPr>
                    <w:pStyle w:val="47"/>
                  </w:pPr>
                </w:p>
              </w:tc>
              <w:tc>
                <w:tcPr>
                  <w:tcW w:w="427" w:type="dxa"/>
                  <w:vAlign w:val="center"/>
                </w:tcPr>
                <w:p>
                  <w:pPr>
                    <w:pStyle w:val="47"/>
                  </w:pPr>
                  <w:r>
                    <w:rPr>
                      <w:rFonts w:hint="eastAsia"/>
                    </w:rPr>
                    <w:t>9</w:t>
                  </w:r>
                </w:p>
              </w:tc>
              <w:tc>
                <w:tcPr>
                  <w:tcW w:w="3942" w:type="dxa"/>
                  <w:vAlign w:val="center"/>
                </w:tcPr>
                <w:p>
                  <w:pPr>
                    <w:pStyle w:val="47"/>
                    <w:jc w:val="left"/>
                  </w:pPr>
                  <w:r>
                    <w:rPr>
                      <w:rFonts w:hint="eastAsia"/>
                    </w:rPr>
                    <w:t>应设置密闭的回收物料系统，淋涂作业应采取有效措施收集滴落的涂料，涂装作业结束应将剩余的所有涂料及含VOCs的辅料送回调配间或储存间</w:t>
                  </w:r>
                </w:p>
              </w:tc>
              <w:tc>
                <w:tcPr>
                  <w:tcW w:w="2851" w:type="dxa"/>
                  <w:vAlign w:val="center"/>
                </w:tcPr>
                <w:p>
                  <w:pPr>
                    <w:pStyle w:val="47"/>
                    <w:jc w:val="left"/>
                  </w:pPr>
                  <w:r>
                    <w:rPr>
                      <w:rFonts w:hint="eastAsia"/>
                    </w:rPr>
                    <w:t>本项目涂装作业结束后，剩余涂料均送回储存间</w:t>
                  </w:r>
                </w:p>
              </w:tc>
              <w:tc>
                <w:tcPr>
                  <w:tcW w:w="645" w:type="dxa"/>
                  <w:vAlign w:val="center"/>
                </w:tcPr>
                <w:p>
                  <w:pPr>
                    <w:pStyle w:val="4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8" w:type="dxa"/>
                  <w:vMerge w:val="continue"/>
                  <w:vAlign w:val="center"/>
                </w:tcPr>
                <w:p>
                  <w:pPr>
                    <w:pStyle w:val="47"/>
                  </w:pPr>
                </w:p>
              </w:tc>
              <w:tc>
                <w:tcPr>
                  <w:tcW w:w="427" w:type="dxa"/>
                  <w:vMerge w:val="continue"/>
                  <w:vAlign w:val="center"/>
                </w:tcPr>
                <w:p>
                  <w:pPr>
                    <w:pStyle w:val="47"/>
                  </w:pPr>
                </w:p>
              </w:tc>
              <w:tc>
                <w:tcPr>
                  <w:tcW w:w="427" w:type="dxa"/>
                  <w:vAlign w:val="center"/>
                </w:tcPr>
                <w:p>
                  <w:pPr>
                    <w:pStyle w:val="47"/>
                  </w:pPr>
                  <w:r>
                    <w:rPr>
                      <w:rFonts w:hint="eastAsia"/>
                    </w:rPr>
                    <w:t>1</w:t>
                  </w:r>
                  <w:r>
                    <w:t>0</w:t>
                  </w:r>
                </w:p>
              </w:tc>
              <w:tc>
                <w:tcPr>
                  <w:tcW w:w="3942" w:type="dxa"/>
                  <w:vAlign w:val="center"/>
                </w:tcPr>
                <w:p>
                  <w:pPr>
                    <w:pStyle w:val="47"/>
                    <w:jc w:val="left"/>
                  </w:pPr>
                  <w:r>
                    <w:rPr>
                      <w:rFonts w:hint="eastAsia"/>
                    </w:rPr>
                    <w:t>禁止使用火焰法除旧漆</w:t>
                  </w:r>
                </w:p>
              </w:tc>
              <w:tc>
                <w:tcPr>
                  <w:tcW w:w="2851" w:type="dxa"/>
                  <w:vAlign w:val="center"/>
                </w:tcPr>
                <w:p>
                  <w:pPr>
                    <w:pStyle w:val="47"/>
                    <w:jc w:val="left"/>
                  </w:pPr>
                  <w:r>
                    <w:rPr>
                      <w:rFonts w:hint="eastAsia"/>
                    </w:rPr>
                    <w:t>本项目不涉及除旧漆工序</w:t>
                  </w:r>
                </w:p>
              </w:tc>
              <w:tc>
                <w:tcPr>
                  <w:tcW w:w="645" w:type="dxa"/>
                  <w:vAlign w:val="center"/>
                </w:tcPr>
                <w:p>
                  <w:pPr>
                    <w:pStyle w:val="4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8" w:type="dxa"/>
                  <w:vMerge w:val="continue"/>
                  <w:vAlign w:val="center"/>
                </w:tcPr>
                <w:p>
                  <w:pPr>
                    <w:pStyle w:val="47"/>
                  </w:pPr>
                </w:p>
              </w:tc>
              <w:tc>
                <w:tcPr>
                  <w:tcW w:w="427" w:type="dxa"/>
                  <w:vMerge w:val="restart"/>
                  <w:vAlign w:val="center"/>
                </w:tcPr>
                <w:p>
                  <w:pPr>
                    <w:pStyle w:val="47"/>
                  </w:pPr>
                  <w:r>
                    <w:rPr>
                      <w:rFonts w:hint="eastAsia"/>
                    </w:rPr>
                    <w:t>废气收集</w:t>
                  </w:r>
                </w:p>
              </w:tc>
              <w:tc>
                <w:tcPr>
                  <w:tcW w:w="427" w:type="dxa"/>
                  <w:vAlign w:val="center"/>
                </w:tcPr>
                <w:p>
                  <w:pPr>
                    <w:pStyle w:val="47"/>
                  </w:pPr>
                  <w:r>
                    <w:rPr>
                      <w:rFonts w:hint="eastAsia"/>
                    </w:rPr>
                    <w:t>1</w:t>
                  </w:r>
                  <w:r>
                    <w:t>1</w:t>
                  </w:r>
                </w:p>
              </w:tc>
              <w:tc>
                <w:tcPr>
                  <w:tcW w:w="3942" w:type="dxa"/>
                  <w:vAlign w:val="center"/>
                </w:tcPr>
                <w:p>
                  <w:pPr>
                    <w:pStyle w:val="47"/>
                    <w:jc w:val="left"/>
                  </w:pPr>
                  <w:r>
                    <w:rPr>
                      <w:rFonts w:hint="eastAsia"/>
                    </w:rPr>
                    <w:t>严格执行废气分类收集、处理，除汽车维修行业外，新建、改建、扩建废气处理设施时禁止涂装废气和烘干废气混合收集、处理</w:t>
                  </w:r>
                </w:p>
              </w:tc>
              <w:tc>
                <w:tcPr>
                  <w:tcW w:w="2851" w:type="dxa"/>
                  <w:vAlign w:val="center"/>
                </w:tcPr>
                <w:p>
                  <w:pPr>
                    <w:pStyle w:val="47"/>
                    <w:jc w:val="left"/>
                  </w:pPr>
                  <w:r>
                    <w:rPr>
                      <w:rFonts w:hint="eastAsia"/>
                    </w:rPr>
                    <w:t>本项目全部使用</w:t>
                  </w:r>
                  <w:r>
                    <w:rPr>
                      <w:rFonts w:hint="eastAsia"/>
                      <w:lang w:eastAsia="zh-CN"/>
                    </w:rPr>
                    <w:t>高固体份</w:t>
                  </w:r>
                  <w:r>
                    <w:rPr>
                      <w:rFonts w:hint="eastAsia"/>
                    </w:rPr>
                    <w:t>环境友好型涂料且设备较小，浸涂和烘干设备设置于同一个密闭车间内，车间废气进行整体收集且废气产生量较少，故本项目废气合并收集处理</w:t>
                  </w:r>
                </w:p>
              </w:tc>
              <w:tc>
                <w:tcPr>
                  <w:tcW w:w="645" w:type="dxa"/>
                  <w:vAlign w:val="center"/>
                </w:tcPr>
                <w:p>
                  <w:pPr>
                    <w:pStyle w:val="4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8" w:type="dxa"/>
                  <w:vMerge w:val="continue"/>
                  <w:vAlign w:val="center"/>
                </w:tcPr>
                <w:p>
                  <w:pPr>
                    <w:pStyle w:val="47"/>
                  </w:pPr>
                </w:p>
              </w:tc>
              <w:tc>
                <w:tcPr>
                  <w:tcW w:w="427" w:type="dxa"/>
                  <w:vMerge w:val="continue"/>
                  <w:vAlign w:val="center"/>
                </w:tcPr>
                <w:p>
                  <w:pPr>
                    <w:pStyle w:val="47"/>
                  </w:pPr>
                </w:p>
              </w:tc>
              <w:tc>
                <w:tcPr>
                  <w:tcW w:w="427" w:type="dxa"/>
                  <w:vAlign w:val="center"/>
                </w:tcPr>
                <w:p>
                  <w:pPr>
                    <w:pStyle w:val="47"/>
                  </w:pPr>
                  <w:r>
                    <w:rPr>
                      <w:rFonts w:hint="eastAsia"/>
                    </w:rPr>
                    <w:t>1</w:t>
                  </w:r>
                  <w:r>
                    <w:t>2</w:t>
                  </w:r>
                </w:p>
              </w:tc>
              <w:tc>
                <w:tcPr>
                  <w:tcW w:w="3942" w:type="dxa"/>
                  <w:vAlign w:val="center"/>
                </w:tcPr>
                <w:p>
                  <w:pPr>
                    <w:pStyle w:val="47"/>
                    <w:jc w:val="left"/>
                  </w:pPr>
                  <w:r>
                    <w:rPr>
                      <w:rFonts w:hint="eastAsia"/>
                    </w:rPr>
                    <w:t>调配、涂装和干燥工艺过程必须进行废气收集</w:t>
                  </w:r>
                </w:p>
              </w:tc>
              <w:tc>
                <w:tcPr>
                  <w:tcW w:w="2851" w:type="dxa"/>
                  <w:vAlign w:val="center"/>
                </w:tcPr>
                <w:p>
                  <w:pPr>
                    <w:pStyle w:val="47"/>
                    <w:jc w:val="left"/>
                  </w:pPr>
                  <w:r>
                    <w:rPr>
                      <w:rFonts w:hint="eastAsia"/>
                    </w:rPr>
                    <w:t>本项目无调配废气，浸漆、烘干工艺均进行有效废气收集</w:t>
                  </w:r>
                </w:p>
              </w:tc>
              <w:tc>
                <w:tcPr>
                  <w:tcW w:w="645" w:type="dxa"/>
                  <w:vAlign w:val="center"/>
                </w:tcPr>
                <w:p>
                  <w:pPr>
                    <w:pStyle w:val="4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8" w:type="dxa"/>
                  <w:vMerge w:val="continue"/>
                  <w:vAlign w:val="center"/>
                </w:tcPr>
                <w:p>
                  <w:pPr>
                    <w:pStyle w:val="47"/>
                  </w:pPr>
                </w:p>
              </w:tc>
              <w:tc>
                <w:tcPr>
                  <w:tcW w:w="427" w:type="dxa"/>
                  <w:vMerge w:val="continue"/>
                  <w:vAlign w:val="center"/>
                </w:tcPr>
                <w:p>
                  <w:pPr>
                    <w:pStyle w:val="47"/>
                  </w:pPr>
                </w:p>
              </w:tc>
              <w:tc>
                <w:tcPr>
                  <w:tcW w:w="427" w:type="dxa"/>
                  <w:vAlign w:val="center"/>
                </w:tcPr>
                <w:p>
                  <w:pPr>
                    <w:pStyle w:val="47"/>
                  </w:pPr>
                  <w:r>
                    <w:rPr>
                      <w:rFonts w:hint="eastAsia"/>
                    </w:rPr>
                    <w:t>1</w:t>
                  </w:r>
                  <w:r>
                    <w:t>3</w:t>
                  </w:r>
                </w:p>
              </w:tc>
              <w:tc>
                <w:tcPr>
                  <w:tcW w:w="3942" w:type="dxa"/>
                  <w:vAlign w:val="center"/>
                </w:tcPr>
                <w:p>
                  <w:pPr>
                    <w:pStyle w:val="47"/>
                    <w:jc w:val="left"/>
                  </w:pPr>
                  <w:r>
                    <w:rPr>
                      <w:rFonts w:hint="eastAsia"/>
                    </w:rPr>
                    <w:t>所有产生VOCs污染物的涂装生产工艺装置或区域必须配备有效的废气收集系统，涂装废气总收集效率不低于90%</w:t>
                  </w:r>
                </w:p>
              </w:tc>
              <w:tc>
                <w:tcPr>
                  <w:tcW w:w="2851" w:type="dxa"/>
                  <w:vAlign w:val="center"/>
                </w:tcPr>
                <w:p>
                  <w:pPr>
                    <w:pStyle w:val="47"/>
                    <w:jc w:val="left"/>
                  </w:pPr>
                  <w:r>
                    <w:rPr>
                      <w:rFonts w:hint="eastAsia"/>
                    </w:rPr>
                    <w:t>本项目将产生VOCs污染物的设备设置于独立密闭车间内，保持微负压状态进行废气收集，总收集效率可达9</w:t>
                  </w:r>
                  <w:r>
                    <w:t>0</w:t>
                  </w:r>
                  <w:r>
                    <w:rPr>
                      <w:rFonts w:hint="eastAsia"/>
                    </w:rPr>
                    <w:t>%以上</w:t>
                  </w:r>
                </w:p>
              </w:tc>
              <w:tc>
                <w:tcPr>
                  <w:tcW w:w="645" w:type="dxa"/>
                  <w:vAlign w:val="center"/>
                </w:tcPr>
                <w:p>
                  <w:pPr>
                    <w:pStyle w:val="4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8" w:type="dxa"/>
                  <w:vMerge w:val="continue"/>
                  <w:vAlign w:val="center"/>
                </w:tcPr>
                <w:p>
                  <w:pPr>
                    <w:pStyle w:val="47"/>
                  </w:pPr>
                </w:p>
              </w:tc>
              <w:tc>
                <w:tcPr>
                  <w:tcW w:w="427" w:type="dxa"/>
                  <w:vMerge w:val="continue"/>
                  <w:vAlign w:val="center"/>
                </w:tcPr>
                <w:p>
                  <w:pPr>
                    <w:pStyle w:val="47"/>
                  </w:pPr>
                </w:p>
              </w:tc>
              <w:tc>
                <w:tcPr>
                  <w:tcW w:w="427" w:type="dxa"/>
                  <w:vAlign w:val="center"/>
                </w:tcPr>
                <w:p>
                  <w:pPr>
                    <w:pStyle w:val="47"/>
                  </w:pPr>
                  <w:r>
                    <w:rPr>
                      <w:rFonts w:hint="eastAsia"/>
                    </w:rPr>
                    <w:t>1</w:t>
                  </w:r>
                  <w:r>
                    <w:t>4</w:t>
                  </w:r>
                </w:p>
              </w:tc>
              <w:tc>
                <w:tcPr>
                  <w:tcW w:w="3942" w:type="dxa"/>
                  <w:vAlign w:val="center"/>
                </w:tcPr>
                <w:p>
                  <w:pPr>
                    <w:pStyle w:val="47"/>
                    <w:jc w:val="left"/>
                  </w:pPr>
                  <w:r>
                    <w:rPr>
                      <w:rFonts w:hint="eastAsia"/>
                    </w:rPr>
                    <w:t>VOCs污染气体收集与输送应满足《大气污染治理工程技术导则》(HJ2000-2010)要求，集气方向与污染气流运动方向一致，管路应有走向标识</w:t>
                  </w:r>
                </w:p>
              </w:tc>
              <w:tc>
                <w:tcPr>
                  <w:tcW w:w="2851" w:type="dxa"/>
                  <w:vAlign w:val="center"/>
                </w:tcPr>
                <w:p>
                  <w:pPr>
                    <w:pStyle w:val="47"/>
                    <w:jc w:val="left"/>
                  </w:pPr>
                  <w:r>
                    <w:rPr>
                      <w:rFonts w:hint="eastAsia"/>
                    </w:rPr>
                    <w:t>要求企业VOCs污染气体收集与输送满足HJ2000-2010《大气污染治理工程技术导则》要求，并标示管路走向</w:t>
                  </w:r>
                </w:p>
              </w:tc>
              <w:tc>
                <w:tcPr>
                  <w:tcW w:w="645" w:type="dxa"/>
                  <w:vAlign w:val="center"/>
                </w:tcPr>
                <w:p>
                  <w:pPr>
                    <w:pStyle w:val="4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8" w:type="dxa"/>
                  <w:vMerge w:val="continue"/>
                  <w:vAlign w:val="center"/>
                </w:tcPr>
                <w:p>
                  <w:pPr>
                    <w:pStyle w:val="47"/>
                  </w:pPr>
                </w:p>
              </w:tc>
              <w:tc>
                <w:tcPr>
                  <w:tcW w:w="427" w:type="dxa"/>
                  <w:vMerge w:val="restart"/>
                  <w:vAlign w:val="center"/>
                </w:tcPr>
                <w:p>
                  <w:pPr>
                    <w:pStyle w:val="47"/>
                  </w:pPr>
                  <w:r>
                    <w:rPr>
                      <w:rFonts w:hint="eastAsia"/>
                    </w:rPr>
                    <w:t>废气处理</w:t>
                  </w:r>
                </w:p>
              </w:tc>
              <w:tc>
                <w:tcPr>
                  <w:tcW w:w="427" w:type="dxa"/>
                  <w:vAlign w:val="center"/>
                </w:tcPr>
                <w:p>
                  <w:pPr>
                    <w:pStyle w:val="47"/>
                  </w:pPr>
                  <w:r>
                    <w:rPr>
                      <w:rFonts w:hint="eastAsia"/>
                    </w:rPr>
                    <w:t>1</w:t>
                  </w:r>
                  <w:r>
                    <w:t>5</w:t>
                  </w:r>
                </w:p>
              </w:tc>
              <w:tc>
                <w:tcPr>
                  <w:tcW w:w="3942" w:type="dxa"/>
                  <w:vAlign w:val="center"/>
                </w:tcPr>
                <w:p>
                  <w:pPr>
                    <w:pStyle w:val="47"/>
                    <w:jc w:val="left"/>
                  </w:pPr>
                  <w:r>
                    <w:rPr>
                      <w:rFonts w:hint="eastAsia"/>
                    </w:rPr>
                    <w:t>溶剂型涂料喷涂漆雾应优先采用干式过滤或湿式水帘等装置去除漆雾，且后段VOCs治理不得仅采用单一水喷淋处理的方式</w:t>
                  </w:r>
                </w:p>
              </w:tc>
              <w:tc>
                <w:tcPr>
                  <w:tcW w:w="2851" w:type="dxa"/>
                  <w:vAlign w:val="center"/>
                </w:tcPr>
                <w:p>
                  <w:pPr>
                    <w:pStyle w:val="47"/>
                    <w:jc w:val="left"/>
                  </w:pPr>
                  <w:r>
                    <w:rPr>
                      <w:rFonts w:hint="eastAsia"/>
                    </w:rPr>
                    <w:t>本项目采用真空浸漆工艺，不涉及喷涂漆雾</w:t>
                  </w:r>
                </w:p>
              </w:tc>
              <w:tc>
                <w:tcPr>
                  <w:tcW w:w="645" w:type="dxa"/>
                  <w:vAlign w:val="center"/>
                </w:tcPr>
                <w:p>
                  <w:pPr>
                    <w:pStyle w:val="4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8" w:type="dxa"/>
                  <w:vMerge w:val="continue"/>
                  <w:vAlign w:val="center"/>
                </w:tcPr>
                <w:p>
                  <w:pPr>
                    <w:pStyle w:val="47"/>
                  </w:pPr>
                </w:p>
              </w:tc>
              <w:tc>
                <w:tcPr>
                  <w:tcW w:w="427" w:type="dxa"/>
                  <w:vMerge w:val="continue"/>
                  <w:vAlign w:val="center"/>
                </w:tcPr>
                <w:p>
                  <w:pPr>
                    <w:pStyle w:val="47"/>
                  </w:pPr>
                </w:p>
              </w:tc>
              <w:tc>
                <w:tcPr>
                  <w:tcW w:w="427" w:type="dxa"/>
                  <w:vAlign w:val="center"/>
                </w:tcPr>
                <w:p>
                  <w:pPr>
                    <w:pStyle w:val="47"/>
                  </w:pPr>
                  <w:r>
                    <w:rPr>
                      <w:rFonts w:hint="eastAsia"/>
                    </w:rPr>
                    <w:t>1</w:t>
                  </w:r>
                  <w:r>
                    <w:t>6</w:t>
                  </w:r>
                </w:p>
              </w:tc>
              <w:tc>
                <w:tcPr>
                  <w:tcW w:w="3942" w:type="dxa"/>
                  <w:vAlign w:val="center"/>
                </w:tcPr>
                <w:p>
                  <w:pPr>
                    <w:pStyle w:val="47"/>
                    <w:jc w:val="left"/>
                  </w:pPr>
                  <w:r>
                    <w:rPr>
                      <w:rFonts w:hint="eastAsia"/>
                    </w:rPr>
                    <w:t>使用溶剂型涂料的生产线，烘干废气处理设施总净化效率不低于90%</w:t>
                  </w:r>
                </w:p>
              </w:tc>
              <w:tc>
                <w:tcPr>
                  <w:tcW w:w="2851" w:type="dxa"/>
                  <w:vAlign w:val="center"/>
                </w:tcPr>
                <w:p>
                  <w:pPr>
                    <w:pStyle w:val="47"/>
                    <w:jc w:val="left"/>
                  </w:pPr>
                  <w:r>
                    <w:rPr>
                      <w:rFonts w:hint="eastAsia"/>
                      <w:szCs w:val="22"/>
                    </w:rPr>
                    <w:t>本项目废气处理设施处理总净化效率不低于90%</w:t>
                  </w:r>
                </w:p>
              </w:tc>
              <w:tc>
                <w:tcPr>
                  <w:tcW w:w="645" w:type="dxa"/>
                  <w:vAlign w:val="center"/>
                </w:tcPr>
                <w:p>
                  <w:pPr>
                    <w:pStyle w:val="4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8" w:type="dxa"/>
                  <w:vMerge w:val="continue"/>
                  <w:vAlign w:val="center"/>
                </w:tcPr>
                <w:p>
                  <w:pPr>
                    <w:pStyle w:val="47"/>
                  </w:pPr>
                </w:p>
              </w:tc>
              <w:tc>
                <w:tcPr>
                  <w:tcW w:w="427" w:type="dxa"/>
                  <w:vMerge w:val="continue"/>
                  <w:vAlign w:val="center"/>
                </w:tcPr>
                <w:p>
                  <w:pPr>
                    <w:pStyle w:val="47"/>
                  </w:pPr>
                </w:p>
              </w:tc>
              <w:tc>
                <w:tcPr>
                  <w:tcW w:w="427" w:type="dxa"/>
                  <w:vAlign w:val="center"/>
                </w:tcPr>
                <w:p>
                  <w:pPr>
                    <w:pStyle w:val="47"/>
                  </w:pPr>
                  <w:r>
                    <w:rPr>
                      <w:rFonts w:hint="eastAsia"/>
                    </w:rPr>
                    <w:t>1</w:t>
                  </w:r>
                  <w:r>
                    <w:t>7</w:t>
                  </w:r>
                </w:p>
              </w:tc>
              <w:tc>
                <w:tcPr>
                  <w:tcW w:w="3942" w:type="dxa"/>
                  <w:vAlign w:val="center"/>
                </w:tcPr>
                <w:p>
                  <w:pPr>
                    <w:pStyle w:val="47"/>
                    <w:jc w:val="left"/>
                  </w:pPr>
                  <w:r>
                    <w:rPr>
                      <w:rFonts w:hint="eastAsia"/>
                    </w:rPr>
                    <w:t>使用溶剂型涂料的生产线，涂装、晾(风)干废气处理设施总净化效率不低于75%</w:t>
                  </w:r>
                </w:p>
              </w:tc>
              <w:tc>
                <w:tcPr>
                  <w:tcW w:w="2851" w:type="dxa"/>
                  <w:vAlign w:val="center"/>
                </w:tcPr>
                <w:p>
                  <w:pPr>
                    <w:pStyle w:val="47"/>
                    <w:jc w:val="left"/>
                  </w:pPr>
                  <w:r>
                    <w:rPr>
                      <w:rFonts w:hint="eastAsia"/>
                      <w:szCs w:val="22"/>
                    </w:rPr>
                    <w:t>本项目废气处理设施处理总净化效率不低于75%</w:t>
                  </w:r>
                </w:p>
              </w:tc>
              <w:tc>
                <w:tcPr>
                  <w:tcW w:w="645" w:type="dxa"/>
                  <w:vAlign w:val="center"/>
                </w:tcPr>
                <w:p>
                  <w:pPr>
                    <w:pStyle w:val="4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8" w:type="dxa"/>
                  <w:vMerge w:val="continue"/>
                  <w:vAlign w:val="center"/>
                </w:tcPr>
                <w:p>
                  <w:pPr>
                    <w:pStyle w:val="47"/>
                  </w:pPr>
                </w:p>
              </w:tc>
              <w:tc>
                <w:tcPr>
                  <w:tcW w:w="427" w:type="dxa"/>
                  <w:vMerge w:val="continue"/>
                  <w:vAlign w:val="center"/>
                </w:tcPr>
                <w:p>
                  <w:pPr>
                    <w:pStyle w:val="47"/>
                  </w:pPr>
                </w:p>
              </w:tc>
              <w:tc>
                <w:tcPr>
                  <w:tcW w:w="427" w:type="dxa"/>
                  <w:vAlign w:val="center"/>
                </w:tcPr>
                <w:p>
                  <w:pPr>
                    <w:pStyle w:val="47"/>
                  </w:pPr>
                  <w:r>
                    <w:rPr>
                      <w:rFonts w:hint="eastAsia"/>
                    </w:rPr>
                    <w:t>1</w:t>
                  </w:r>
                  <w:r>
                    <w:t>8</w:t>
                  </w:r>
                </w:p>
              </w:tc>
              <w:tc>
                <w:tcPr>
                  <w:tcW w:w="3942" w:type="dxa"/>
                  <w:vAlign w:val="center"/>
                </w:tcPr>
                <w:p>
                  <w:pPr>
                    <w:pStyle w:val="47"/>
                    <w:jc w:val="left"/>
                  </w:pPr>
                  <w:r>
                    <w:rPr>
                      <w:rFonts w:hint="eastAsia"/>
                    </w:rPr>
                    <w:t>废气处理设施进口和排气筒出口安装符合HJ/T1-92要求的采样固定位装置，VOCs污染物排放满足《大气污染物综合排放标准》(GB16297-1996)及环评相关要求，实现稳定达标排放</w:t>
                  </w:r>
                </w:p>
              </w:tc>
              <w:tc>
                <w:tcPr>
                  <w:tcW w:w="2851" w:type="dxa"/>
                  <w:vAlign w:val="center"/>
                </w:tcPr>
                <w:p>
                  <w:pPr>
                    <w:pStyle w:val="47"/>
                    <w:jc w:val="left"/>
                  </w:pPr>
                  <w:r>
                    <w:rPr>
                      <w:rFonts w:hint="eastAsia"/>
                    </w:rPr>
                    <w:t>要求企业废气处理设施进口和排气筒出口均安装符合标准要求的采样固定位装置，VOCs污染物排放满足《大气污染物综合排放标准》(GB16297-1996)及环评相关要求，实现稳定达标排放</w:t>
                  </w:r>
                </w:p>
              </w:tc>
              <w:tc>
                <w:tcPr>
                  <w:tcW w:w="645" w:type="dxa"/>
                  <w:vAlign w:val="center"/>
                </w:tcPr>
                <w:p>
                  <w:pPr>
                    <w:pStyle w:val="4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8" w:type="dxa"/>
                  <w:vMerge w:val="continue"/>
                  <w:vAlign w:val="center"/>
                </w:tcPr>
                <w:p>
                  <w:pPr>
                    <w:pStyle w:val="47"/>
                  </w:pPr>
                </w:p>
              </w:tc>
              <w:tc>
                <w:tcPr>
                  <w:tcW w:w="427" w:type="dxa"/>
                  <w:vMerge w:val="restart"/>
                  <w:vAlign w:val="center"/>
                </w:tcPr>
                <w:p>
                  <w:pPr>
                    <w:pStyle w:val="47"/>
                  </w:pPr>
                  <w:r>
                    <w:rPr>
                      <w:rFonts w:hint="eastAsia"/>
                    </w:rPr>
                    <w:t>监督管理</w:t>
                  </w:r>
                </w:p>
              </w:tc>
              <w:tc>
                <w:tcPr>
                  <w:tcW w:w="427" w:type="dxa"/>
                  <w:vAlign w:val="center"/>
                </w:tcPr>
                <w:p>
                  <w:pPr>
                    <w:pStyle w:val="47"/>
                  </w:pPr>
                  <w:r>
                    <w:rPr>
                      <w:rFonts w:hint="eastAsia"/>
                    </w:rPr>
                    <w:t>1</w:t>
                  </w:r>
                  <w:r>
                    <w:t>9</w:t>
                  </w:r>
                </w:p>
              </w:tc>
              <w:tc>
                <w:tcPr>
                  <w:tcW w:w="3942" w:type="dxa"/>
                  <w:vAlign w:val="center"/>
                </w:tcPr>
                <w:p>
                  <w:pPr>
                    <w:pStyle w:val="47"/>
                    <w:jc w:val="left"/>
                  </w:pPr>
                  <w:r>
                    <w:rPr>
                      <w:rFonts w:hint="eastAsia"/>
                    </w:rPr>
                    <w:t>完善环境保护管理制度，包括环保设施运行管理制度、废气处理设施定期保养制度、废气监测制度、溶剂使用回收制度</w:t>
                  </w:r>
                </w:p>
              </w:tc>
              <w:tc>
                <w:tcPr>
                  <w:tcW w:w="2851" w:type="dxa"/>
                  <w:vAlign w:val="center"/>
                </w:tcPr>
                <w:p>
                  <w:pPr>
                    <w:pStyle w:val="47"/>
                    <w:jc w:val="left"/>
                  </w:pPr>
                  <w:r>
                    <w:rPr>
                      <w:rFonts w:hint="eastAsia"/>
                    </w:rPr>
                    <w:t>要求企业完善环保设施运行管理制度、废气处理设施定期保养制度、废气监测制度等各项环保管理制度</w:t>
                  </w:r>
                </w:p>
              </w:tc>
              <w:tc>
                <w:tcPr>
                  <w:tcW w:w="645" w:type="dxa"/>
                  <w:vAlign w:val="center"/>
                </w:tcPr>
                <w:p>
                  <w:pPr>
                    <w:pStyle w:val="4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8" w:type="dxa"/>
                  <w:vMerge w:val="continue"/>
                  <w:vAlign w:val="center"/>
                </w:tcPr>
                <w:p>
                  <w:pPr>
                    <w:pStyle w:val="47"/>
                  </w:pPr>
                </w:p>
              </w:tc>
              <w:tc>
                <w:tcPr>
                  <w:tcW w:w="427" w:type="dxa"/>
                  <w:vMerge w:val="continue"/>
                  <w:vAlign w:val="center"/>
                </w:tcPr>
                <w:p>
                  <w:pPr>
                    <w:pStyle w:val="47"/>
                  </w:pPr>
                </w:p>
              </w:tc>
              <w:tc>
                <w:tcPr>
                  <w:tcW w:w="427" w:type="dxa"/>
                  <w:vAlign w:val="center"/>
                </w:tcPr>
                <w:p>
                  <w:pPr>
                    <w:pStyle w:val="47"/>
                  </w:pPr>
                  <w:r>
                    <w:rPr>
                      <w:rFonts w:hint="eastAsia"/>
                    </w:rPr>
                    <w:t>2</w:t>
                  </w:r>
                  <w:r>
                    <w:t>0</w:t>
                  </w:r>
                </w:p>
              </w:tc>
              <w:tc>
                <w:tcPr>
                  <w:tcW w:w="3942" w:type="dxa"/>
                  <w:vAlign w:val="center"/>
                </w:tcPr>
                <w:p>
                  <w:pPr>
                    <w:pStyle w:val="47"/>
                    <w:jc w:val="left"/>
                  </w:pPr>
                  <w:r>
                    <w:rPr>
                      <w:rFonts w:hint="eastAsia"/>
                    </w:rPr>
                    <w:t>落实监测监控制度，企业每年至少开展1次VOCs废气处理设施进、出口监测和厂界无组织监控浓度监测，其中重点企业处理设施监测不少于2次，厂界无组织监控浓度监测不少于1次。监测需委托有资质的第三方进行，监测指标须包含原辅料所含主要特征污染物和非甲烷总烃等指标，并根据废气处理设施进、出口监测参数核算VOCs处理效率</w:t>
                  </w:r>
                </w:p>
              </w:tc>
              <w:tc>
                <w:tcPr>
                  <w:tcW w:w="2851" w:type="dxa"/>
                  <w:vAlign w:val="center"/>
                </w:tcPr>
                <w:p>
                  <w:pPr>
                    <w:pStyle w:val="47"/>
                    <w:jc w:val="left"/>
                  </w:pPr>
                  <w:r>
                    <w:rPr>
                      <w:rFonts w:hint="eastAsia"/>
                    </w:rPr>
                    <w:t>要求企业按相关要求定期开展VOCs监测，委托有资质的第三方进行</w:t>
                  </w:r>
                </w:p>
              </w:tc>
              <w:tc>
                <w:tcPr>
                  <w:tcW w:w="645" w:type="dxa"/>
                  <w:vAlign w:val="center"/>
                </w:tcPr>
                <w:p>
                  <w:pPr>
                    <w:pStyle w:val="4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8" w:type="dxa"/>
                  <w:vMerge w:val="continue"/>
                  <w:vAlign w:val="center"/>
                </w:tcPr>
                <w:p>
                  <w:pPr>
                    <w:pStyle w:val="47"/>
                  </w:pPr>
                </w:p>
              </w:tc>
              <w:tc>
                <w:tcPr>
                  <w:tcW w:w="427" w:type="dxa"/>
                  <w:vMerge w:val="continue"/>
                  <w:vAlign w:val="center"/>
                </w:tcPr>
                <w:p>
                  <w:pPr>
                    <w:pStyle w:val="47"/>
                  </w:pPr>
                </w:p>
              </w:tc>
              <w:tc>
                <w:tcPr>
                  <w:tcW w:w="427" w:type="dxa"/>
                  <w:vAlign w:val="center"/>
                </w:tcPr>
                <w:p>
                  <w:pPr>
                    <w:pStyle w:val="47"/>
                  </w:pPr>
                  <w:r>
                    <w:rPr>
                      <w:rFonts w:hint="eastAsia"/>
                    </w:rPr>
                    <w:t>2</w:t>
                  </w:r>
                  <w:r>
                    <w:t>1</w:t>
                  </w:r>
                </w:p>
              </w:tc>
              <w:tc>
                <w:tcPr>
                  <w:tcW w:w="3942" w:type="dxa"/>
                  <w:vAlign w:val="center"/>
                </w:tcPr>
                <w:p>
                  <w:pPr>
                    <w:pStyle w:val="47"/>
                    <w:jc w:val="left"/>
                  </w:pPr>
                  <w:r>
                    <w:rPr>
                      <w:rFonts w:hint="eastAsia"/>
                    </w:rPr>
                    <w:t>健全各类台帐并严格管理，包括废气监测台帐、废气处理设施运行台帐、含有机溶剂原辅料的消耗台帐(包括使用量、废弃量、去向以及VOCs含量)、废气处理耗材(吸附剂、催化剂等)的用量和更换及转移处置台账。台账保存期限不得少于三年</w:t>
                  </w:r>
                </w:p>
              </w:tc>
              <w:tc>
                <w:tcPr>
                  <w:tcW w:w="2851" w:type="dxa"/>
                  <w:vAlign w:val="center"/>
                </w:tcPr>
                <w:p>
                  <w:pPr>
                    <w:pStyle w:val="47"/>
                    <w:jc w:val="left"/>
                  </w:pPr>
                  <w:r>
                    <w:rPr>
                      <w:rFonts w:hint="eastAsia"/>
                    </w:rPr>
                    <w:t>要求企业建立健全各类台账并严格管理，台账保存期限不少于三年</w:t>
                  </w:r>
                </w:p>
              </w:tc>
              <w:tc>
                <w:tcPr>
                  <w:tcW w:w="645" w:type="dxa"/>
                  <w:vAlign w:val="center"/>
                </w:tcPr>
                <w:p>
                  <w:pPr>
                    <w:pStyle w:val="4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8" w:type="dxa"/>
                  <w:vMerge w:val="continue"/>
                  <w:vAlign w:val="center"/>
                </w:tcPr>
                <w:p>
                  <w:pPr>
                    <w:pStyle w:val="47"/>
                  </w:pPr>
                </w:p>
              </w:tc>
              <w:tc>
                <w:tcPr>
                  <w:tcW w:w="427" w:type="dxa"/>
                  <w:vMerge w:val="continue"/>
                  <w:vAlign w:val="center"/>
                </w:tcPr>
                <w:p>
                  <w:pPr>
                    <w:pStyle w:val="47"/>
                  </w:pPr>
                </w:p>
              </w:tc>
              <w:tc>
                <w:tcPr>
                  <w:tcW w:w="427" w:type="dxa"/>
                  <w:vAlign w:val="center"/>
                </w:tcPr>
                <w:p>
                  <w:pPr>
                    <w:pStyle w:val="47"/>
                  </w:pPr>
                  <w:r>
                    <w:rPr>
                      <w:rFonts w:hint="eastAsia"/>
                    </w:rPr>
                    <w:t>2</w:t>
                  </w:r>
                  <w:r>
                    <w:t>2</w:t>
                  </w:r>
                </w:p>
              </w:tc>
              <w:tc>
                <w:tcPr>
                  <w:tcW w:w="3942" w:type="dxa"/>
                  <w:vAlign w:val="center"/>
                </w:tcPr>
                <w:p>
                  <w:pPr>
                    <w:pStyle w:val="47"/>
                    <w:jc w:val="left"/>
                  </w:pPr>
                  <w:r>
                    <w:rPr>
                      <w:rFonts w:hint="eastAsia"/>
                    </w:rPr>
                    <w:t>建立非正常工况申报管理制度，包括出现项目停产、废气处理设施停运、突发环保事故等情况时，企业应及时向当地环保部门的报告并备案。</w:t>
                  </w:r>
                </w:p>
              </w:tc>
              <w:tc>
                <w:tcPr>
                  <w:tcW w:w="2851" w:type="dxa"/>
                  <w:vAlign w:val="center"/>
                </w:tcPr>
                <w:p>
                  <w:pPr>
                    <w:pStyle w:val="47"/>
                    <w:jc w:val="left"/>
                  </w:pPr>
                  <w:r>
                    <w:rPr>
                      <w:rFonts w:hint="eastAsia"/>
                    </w:rPr>
                    <w:t>要求企业建立非正常工况申报管理制度</w:t>
                  </w:r>
                </w:p>
              </w:tc>
              <w:tc>
                <w:tcPr>
                  <w:tcW w:w="645" w:type="dxa"/>
                  <w:vAlign w:val="center"/>
                </w:tcPr>
                <w:p>
                  <w:pPr>
                    <w:pStyle w:val="4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8" w:type="dxa"/>
                  <w:vAlign w:val="center"/>
                </w:tcPr>
                <w:p>
                  <w:pPr>
                    <w:pStyle w:val="47"/>
                  </w:pPr>
                  <w:r>
                    <w:rPr>
                      <w:rFonts w:hint="eastAsia"/>
                    </w:rPr>
                    <w:t>子行业要求</w:t>
                  </w:r>
                </w:p>
              </w:tc>
              <w:tc>
                <w:tcPr>
                  <w:tcW w:w="427" w:type="dxa"/>
                  <w:vAlign w:val="center"/>
                </w:tcPr>
                <w:p>
                  <w:pPr>
                    <w:pStyle w:val="47"/>
                  </w:pPr>
                  <w:r>
                    <w:rPr>
                      <w:rFonts w:hint="eastAsia"/>
                    </w:rPr>
                    <w:t>电器及元件</w:t>
                  </w:r>
                </w:p>
              </w:tc>
              <w:tc>
                <w:tcPr>
                  <w:tcW w:w="427" w:type="dxa"/>
                  <w:vAlign w:val="center"/>
                </w:tcPr>
                <w:p>
                  <w:pPr>
                    <w:pStyle w:val="47"/>
                  </w:pPr>
                  <w:r>
                    <w:rPr>
                      <w:rFonts w:hint="eastAsia"/>
                    </w:rPr>
                    <w:t>3</w:t>
                  </w:r>
                  <w:r>
                    <w:t>4</w:t>
                  </w:r>
                </w:p>
              </w:tc>
              <w:tc>
                <w:tcPr>
                  <w:tcW w:w="3942" w:type="dxa"/>
                  <w:vAlign w:val="center"/>
                </w:tcPr>
                <w:p>
                  <w:pPr>
                    <w:pStyle w:val="47"/>
                    <w:jc w:val="left"/>
                  </w:pPr>
                  <w:r>
                    <w:rPr>
                      <w:rFonts w:hint="eastAsia"/>
                    </w:rPr>
                    <w:t>采用“热气流-真空-热气流”真空浸漆烘干工艺★</w:t>
                  </w:r>
                </w:p>
              </w:tc>
              <w:tc>
                <w:tcPr>
                  <w:tcW w:w="2851" w:type="dxa"/>
                  <w:vAlign w:val="center"/>
                </w:tcPr>
                <w:p>
                  <w:pPr>
                    <w:pStyle w:val="47"/>
                    <w:jc w:val="left"/>
                  </w:pPr>
                  <w:r>
                    <w:rPr>
                      <w:rFonts w:hint="eastAsia"/>
                    </w:rPr>
                    <w:t>本项目采用真空浸漆烘干工艺</w:t>
                  </w:r>
                </w:p>
              </w:tc>
              <w:tc>
                <w:tcPr>
                  <w:tcW w:w="645" w:type="dxa"/>
                  <w:vAlign w:val="center"/>
                </w:tcPr>
                <w:p>
                  <w:pPr>
                    <w:pStyle w:val="4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720" w:type="dxa"/>
                  <w:gridSpan w:val="6"/>
                  <w:vAlign w:val="center"/>
                </w:tcPr>
                <w:p>
                  <w:pPr>
                    <w:pStyle w:val="49"/>
                    <w:jc w:val="both"/>
                  </w:pPr>
                  <w:r>
                    <w:rPr>
                      <w:rFonts w:hint="eastAsia"/>
                    </w:rPr>
                    <w:t>说明：</w:t>
                  </w:r>
                  <w:r>
                    <w:t>1</w:t>
                  </w:r>
                  <w:r>
                    <w:rPr>
                      <w:rFonts w:hint="eastAsia"/>
                    </w:rPr>
                    <w:t>、加</w:t>
                  </w:r>
                  <w:r>
                    <w:t>“</w:t>
                  </w:r>
                  <w:r>
                    <w:rPr>
                      <w:rFonts w:hint="eastAsia"/>
                    </w:rPr>
                    <w:t>★</w:t>
                  </w:r>
                  <w:r>
                    <w:t>”</w:t>
                  </w:r>
                  <w:r>
                    <w:rPr>
                      <w:rFonts w:hint="eastAsia"/>
                    </w:rPr>
                    <w:t>的条目为可选条目，由当地环保主管部门根据当地情况明确整治要求；</w:t>
                  </w:r>
                </w:p>
                <w:p>
                  <w:pPr>
                    <w:pStyle w:val="49"/>
                    <w:jc w:val="both"/>
                  </w:pPr>
                  <w:r>
                    <w:t>2</w:t>
                  </w:r>
                  <w:r>
                    <w:rPr>
                      <w:rFonts w:hint="eastAsia"/>
                    </w:rPr>
                    <w:t>、整治期间如涉及的国家、地方和行业标准、政策进行了修订，则按修订后的新标准、新政策执行。</w:t>
                  </w:r>
                </w:p>
              </w:tc>
            </w:tr>
          </w:tbl>
          <w:p>
            <w:pPr>
              <w:spacing w:before="120" w:beforeLines="50"/>
              <w:ind w:firstLine="480"/>
            </w:pPr>
            <w:r>
              <w:rPr>
                <w:rFonts w:hint="eastAsia"/>
              </w:rPr>
              <w:t>2、《温州市电器及元件制造业挥发性有机物污染整治规范》</w:t>
            </w:r>
          </w:p>
          <w:p>
            <w:pPr>
              <w:ind w:firstLine="480"/>
            </w:pPr>
            <w:r>
              <w:rPr>
                <w:rFonts w:hint="eastAsia"/>
                <w:szCs w:val="22"/>
              </w:rPr>
              <w:t>由于本项目所属行业无相关挥发性有机物污染整治规范，因此本项目</w:t>
            </w:r>
            <w:r>
              <w:rPr>
                <w:rFonts w:hint="eastAsia"/>
              </w:rPr>
              <w:t>参照《温州市电器及元件制造业挥发性有机物污染整治规范》（浙环办函[2016]56号）中相关污染整治要求，本项目实施情况与整治要求符合性分析见表9-6。</w:t>
            </w:r>
          </w:p>
          <w:p>
            <w:pPr>
              <w:pStyle w:val="46"/>
            </w:pPr>
            <w:r>
              <w:rPr>
                <w:rFonts w:hint="eastAsia"/>
              </w:rPr>
              <w:t>表9-6</w:t>
            </w:r>
            <w:r>
              <w:t xml:space="preserve">  </w:t>
            </w:r>
            <w:r>
              <w:rPr>
                <w:rFonts w:hint="eastAsia"/>
              </w:rPr>
              <w:t>《温州市电器及元件制造业挥发性有机物污染整治规范》符合性分析</w:t>
            </w:r>
          </w:p>
          <w:tbl>
            <w:tblPr>
              <w:tblStyle w:val="3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483"/>
              <w:gridCol w:w="483"/>
              <w:gridCol w:w="3712"/>
              <w:gridCol w:w="2898"/>
              <w:gridCol w:w="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61" w:type="pct"/>
                  <w:tcBorders>
                    <w:top w:val="single" w:color="auto" w:sz="4" w:space="0"/>
                    <w:left w:val="single" w:color="auto" w:sz="4" w:space="0"/>
                    <w:bottom w:val="single" w:color="auto" w:sz="4" w:space="0"/>
                    <w:right w:val="single" w:color="auto" w:sz="4" w:space="0"/>
                  </w:tcBorders>
                  <w:vAlign w:val="center"/>
                </w:tcPr>
                <w:p>
                  <w:pPr>
                    <w:pStyle w:val="47"/>
                    <w:rPr>
                      <w:b/>
                      <w:bCs/>
                    </w:rPr>
                  </w:pPr>
                  <w:r>
                    <w:rPr>
                      <w:rFonts w:hint="eastAsia"/>
                      <w:b/>
                      <w:bCs/>
                    </w:rPr>
                    <w:t>类别</w:t>
                  </w:r>
                </w:p>
              </w:tc>
              <w:tc>
                <w:tcPr>
                  <w:tcW w:w="277" w:type="pct"/>
                  <w:tcBorders>
                    <w:top w:val="single" w:color="auto" w:sz="4" w:space="0"/>
                    <w:left w:val="single" w:color="auto" w:sz="4" w:space="0"/>
                    <w:bottom w:val="single" w:color="auto" w:sz="4" w:space="0"/>
                    <w:right w:val="single" w:color="auto" w:sz="4" w:space="0"/>
                  </w:tcBorders>
                  <w:vAlign w:val="center"/>
                </w:tcPr>
                <w:p>
                  <w:pPr>
                    <w:pStyle w:val="47"/>
                    <w:rPr>
                      <w:b/>
                      <w:bCs/>
                    </w:rPr>
                  </w:pPr>
                  <w:r>
                    <w:rPr>
                      <w:rFonts w:hint="eastAsia"/>
                      <w:b/>
                      <w:bCs/>
                    </w:rPr>
                    <w:t>内容</w:t>
                  </w:r>
                </w:p>
              </w:tc>
              <w:tc>
                <w:tcPr>
                  <w:tcW w:w="277" w:type="pct"/>
                  <w:tcBorders>
                    <w:top w:val="single" w:color="auto" w:sz="4" w:space="0"/>
                    <w:left w:val="single" w:color="auto" w:sz="4" w:space="0"/>
                    <w:bottom w:val="single" w:color="auto" w:sz="4" w:space="0"/>
                    <w:right w:val="single" w:color="auto" w:sz="4" w:space="0"/>
                  </w:tcBorders>
                  <w:vAlign w:val="center"/>
                </w:tcPr>
                <w:p>
                  <w:pPr>
                    <w:pStyle w:val="47"/>
                    <w:rPr>
                      <w:b/>
                      <w:bCs/>
                    </w:rPr>
                  </w:pPr>
                  <w:r>
                    <w:rPr>
                      <w:rFonts w:hint="eastAsia"/>
                      <w:b/>
                      <w:bCs/>
                    </w:rPr>
                    <w:t>序号</w:t>
                  </w:r>
                </w:p>
              </w:tc>
              <w:tc>
                <w:tcPr>
                  <w:tcW w:w="2129" w:type="pct"/>
                  <w:tcBorders>
                    <w:top w:val="single" w:color="auto" w:sz="4" w:space="0"/>
                    <w:left w:val="single" w:color="auto" w:sz="4" w:space="0"/>
                    <w:bottom w:val="single" w:color="auto" w:sz="4" w:space="0"/>
                    <w:right w:val="single" w:color="auto" w:sz="4" w:space="0"/>
                  </w:tcBorders>
                  <w:vAlign w:val="center"/>
                </w:tcPr>
                <w:p>
                  <w:pPr>
                    <w:pStyle w:val="47"/>
                    <w:rPr>
                      <w:b/>
                      <w:bCs/>
                    </w:rPr>
                  </w:pPr>
                  <w:r>
                    <w:rPr>
                      <w:rFonts w:hint="eastAsia"/>
                      <w:b/>
                      <w:bCs/>
                    </w:rPr>
                    <w:t>整治要求</w:t>
                  </w:r>
                </w:p>
              </w:tc>
              <w:tc>
                <w:tcPr>
                  <w:tcW w:w="1662" w:type="pct"/>
                  <w:tcBorders>
                    <w:top w:val="single" w:color="auto" w:sz="4" w:space="0"/>
                    <w:left w:val="single" w:color="auto" w:sz="4" w:space="0"/>
                    <w:bottom w:val="single" w:color="auto" w:sz="4" w:space="0"/>
                    <w:right w:val="single" w:color="auto" w:sz="4" w:space="0"/>
                  </w:tcBorders>
                  <w:vAlign w:val="center"/>
                </w:tcPr>
                <w:p>
                  <w:pPr>
                    <w:pStyle w:val="47"/>
                    <w:rPr>
                      <w:b/>
                      <w:bCs/>
                    </w:rPr>
                  </w:pPr>
                  <w:r>
                    <w:rPr>
                      <w:rFonts w:hint="eastAsia"/>
                      <w:b/>
                      <w:bCs/>
                    </w:rPr>
                    <w:t>本项目情况</w:t>
                  </w:r>
                </w:p>
              </w:tc>
              <w:tc>
                <w:tcPr>
                  <w:tcW w:w="393" w:type="pct"/>
                  <w:tcBorders>
                    <w:top w:val="single" w:color="auto" w:sz="4" w:space="0"/>
                    <w:left w:val="single" w:color="auto" w:sz="4" w:space="0"/>
                    <w:bottom w:val="single" w:color="auto" w:sz="4" w:space="0"/>
                    <w:right w:val="single" w:color="auto" w:sz="4" w:space="0"/>
                  </w:tcBorders>
                  <w:vAlign w:val="center"/>
                </w:tcPr>
                <w:p>
                  <w:pPr>
                    <w:pStyle w:val="47"/>
                    <w:rPr>
                      <w:b/>
                      <w:bCs/>
                    </w:rPr>
                  </w:pPr>
                  <w:r>
                    <w:rPr>
                      <w:rFonts w:hint="eastAsia"/>
                      <w:b/>
                      <w:bCs/>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61" w:type="pct"/>
                  <w:vMerge w:val="restart"/>
                  <w:tcBorders>
                    <w:top w:val="single" w:color="auto" w:sz="4" w:space="0"/>
                    <w:left w:val="single" w:color="auto" w:sz="4" w:space="0"/>
                    <w:right w:val="single" w:color="auto" w:sz="4" w:space="0"/>
                  </w:tcBorders>
                  <w:vAlign w:val="center"/>
                </w:tcPr>
                <w:p>
                  <w:pPr>
                    <w:pStyle w:val="47"/>
                  </w:pPr>
                  <w:r>
                    <w:rPr>
                      <w:rFonts w:hint="eastAsia"/>
                    </w:rPr>
                    <w:t>原料</w:t>
                  </w:r>
                  <w:r>
                    <w:t>/</w:t>
                  </w:r>
                  <w:r>
                    <w:rPr>
                      <w:rFonts w:hint="eastAsia"/>
                    </w:rPr>
                    <w:t>工艺装备</w:t>
                  </w:r>
                  <w:r>
                    <w:t>/</w:t>
                  </w:r>
                  <w:r>
                    <w:rPr>
                      <w:rFonts w:hint="eastAsia"/>
                    </w:rPr>
                    <w:t>生产现场</w:t>
                  </w:r>
                </w:p>
              </w:tc>
              <w:tc>
                <w:tcPr>
                  <w:tcW w:w="277" w:type="pct"/>
                  <w:vMerge w:val="restar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源头控制</w:t>
                  </w:r>
                </w:p>
              </w:tc>
              <w:tc>
                <w:tcPr>
                  <w:tcW w:w="277" w:type="pct"/>
                  <w:tcBorders>
                    <w:top w:val="single" w:color="auto" w:sz="4" w:space="0"/>
                    <w:left w:val="single" w:color="auto" w:sz="4" w:space="0"/>
                    <w:bottom w:val="single" w:color="auto" w:sz="4" w:space="0"/>
                    <w:right w:val="single" w:color="auto" w:sz="4" w:space="0"/>
                  </w:tcBorders>
                  <w:vAlign w:val="center"/>
                </w:tcPr>
                <w:p>
                  <w:pPr>
                    <w:pStyle w:val="47"/>
                  </w:pPr>
                  <w:r>
                    <w:t>1</w:t>
                  </w:r>
                </w:p>
              </w:tc>
              <w:tc>
                <w:tcPr>
                  <w:tcW w:w="2129" w:type="pct"/>
                  <w:tcBorders>
                    <w:top w:val="single" w:color="auto" w:sz="4" w:space="0"/>
                    <w:left w:val="single" w:color="auto" w:sz="4" w:space="0"/>
                    <w:bottom w:val="single" w:color="auto" w:sz="4" w:space="0"/>
                    <w:right w:val="single" w:color="auto" w:sz="4" w:space="0"/>
                  </w:tcBorders>
                  <w:vAlign w:val="center"/>
                </w:tcPr>
                <w:p>
                  <w:pPr>
                    <w:pStyle w:val="47"/>
                    <w:jc w:val="both"/>
                  </w:pPr>
                  <w:r>
                    <w:rPr>
                      <w:rFonts w:hint="eastAsia"/>
                    </w:rPr>
                    <w:t>禁止使用含苯溶剂</w:t>
                  </w:r>
                </w:p>
              </w:tc>
              <w:tc>
                <w:tcPr>
                  <w:tcW w:w="1662" w:type="pct"/>
                  <w:tcBorders>
                    <w:top w:val="single" w:color="auto" w:sz="4" w:space="0"/>
                    <w:left w:val="single" w:color="auto" w:sz="4" w:space="0"/>
                    <w:bottom w:val="single" w:color="auto" w:sz="4" w:space="0"/>
                    <w:right w:val="single" w:color="auto" w:sz="4" w:space="0"/>
                  </w:tcBorders>
                  <w:vAlign w:val="center"/>
                </w:tcPr>
                <w:p>
                  <w:pPr>
                    <w:pStyle w:val="47"/>
                    <w:jc w:val="both"/>
                  </w:pPr>
                  <w:r>
                    <w:rPr>
                      <w:rFonts w:hint="eastAsia"/>
                    </w:rPr>
                    <w:t>本项目不使用含苯溶剂</w:t>
                  </w:r>
                </w:p>
              </w:tc>
              <w:tc>
                <w:tcPr>
                  <w:tcW w:w="39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61" w:type="pct"/>
                  <w:vMerge w:val="continue"/>
                  <w:tcBorders>
                    <w:left w:val="single" w:color="auto" w:sz="4" w:space="0"/>
                    <w:right w:val="single" w:color="auto" w:sz="4" w:space="0"/>
                  </w:tcBorders>
                  <w:vAlign w:val="center"/>
                </w:tcPr>
                <w:p>
                  <w:pPr>
                    <w:pStyle w:val="47"/>
                  </w:pPr>
                </w:p>
              </w:tc>
              <w:tc>
                <w:tcPr>
                  <w:tcW w:w="277" w:type="pct"/>
                  <w:vMerge w:val="continue"/>
                  <w:tcBorders>
                    <w:top w:val="single" w:color="auto" w:sz="4" w:space="0"/>
                    <w:left w:val="single" w:color="auto" w:sz="4" w:space="0"/>
                    <w:bottom w:val="single" w:color="auto" w:sz="4" w:space="0"/>
                    <w:right w:val="single" w:color="auto" w:sz="4" w:space="0"/>
                  </w:tcBorders>
                  <w:vAlign w:val="center"/>
                </w:tcPr>
                <w:p>
                  <w:pPr>
                    <w:pStyle w:val="47"/>
                  </w:pPr>
                </w:p>
              </w:tc>
              <w:tc>
                <w:tcPr>
                  <w:tcW w:w="277" w:type="pct"/>
                  <w:tcBorders>
                    <w:top w:val="single" w:color="auto" w:sz="4" w:space="0"/>
                    <w:left w:val="single" w:color="auto" w:sz="4" w:space="0"/>
                    <w:bottom w:val="single" w:color="auto" w:sz="4" w:space="0"/>
                    <w:right w:val="single" w:color="auto" w:sz="4" w:space="0"/>
                  </w:tcBorders>
                  <w:vAlign w:val="center"/>
                </w:tcPr>
                <w:p>
                  <w:pPr>
                    <w:pStyle w:val="47"/>
                  </w:pPr>
                  <w:r>
                    <w:t>2</w:t>
                  </w:r>
                </w:p>
              </w:tc>
              <w:tc>
                <w:tcPr>
                  <w:tcW w:w="2129" w:type="pct"/>
                  <w:tcBorders>
                    <w:top w:val="single" w:color="auto" w:sz="4" w:space="0"/>
                    <w:left w:val="single" w:color="auto" w:sz="4" w:space="0"/>
                    <w:bottom w:val="single" w:color="auto" w:sz="4" w:space="0"/>
                    <w:right w:val="single" w:color="auto" w:sz="4" w:space="0"/>
                  </w:tcBorders>
                  <w:vAlign w:val="center"/>
                </w:tcPr>
                <w:p>
                  <w:pPr>
                    <w:pStyle w:val="47"/>
                    <w:jc w:val="both"/>
                  </w:pPr>
                  <w:r>
                    <w:rPr>
                      <w:rFonts w:hint="eastAsia"/>
                    </w:rPr>
                    <w:t>环保型涂料使用比例达到5</w:t>
                  </w:r>
                  <w:r>
                    <w:t>0</w:t>
                  </w:r>
                  <w:r>
                    <w:rPr>
                      <w:rFonts w:hint="eastAsia"/>
                    </w:rPr>
                    <w:t>%以上★</w:t>
                  </w:r>
                </w:p>
              </w:tc>
              <w:tc>
                <w:tcPr>
                  <w:tcW w:w="1662" w:type="pct"/>
                  <w:tcBorders>
                    <w:top w:val="single" w:color="auto" w:sz="4" w:space="0"/>
                    <w:left w:val="single" w:color="auto" w:sz="4" w:space="0"/>
                    <w:bottom w:val="single" w:color="auto" w:sz="4" w:space="0"/>
                    <w:right w:val="single" w:color="auto" w:sz="4" w:space="0"/>
                  </w:tcBorders>
                  <w:vAlign w:val="center"/>
                </w:tcPr>
                <w:p>
                  <w:pPr>
                    <w:pStyle w:val="47"/>
                    <w:jc w:val="both"/>
                  </w:pPr>
                  <w:r>
                    <w:rPr>
                      <w:rFonts w:hint="eastAsia"/>
                    </w:rPr>
                    <w:t>本项目全部使用环保型绝缘漆</w:t>
                  </w:r>
                </w:p>
              </w:tc>
              <w:tc>
                <w:tcPr>
                  <w:tcW w:w="39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61" w:type="pct"/>
                  <w:vMerge w:val="continue"/>
                  <w:tcBorders>
                    <w:left w:val="single" w:color="auto" w:sz="4" w:space="0"/>
                    <w:right w:val="single" w:color="auto" w:sz="4" w:space="0"/>
                  </w:tcBorders>
                  <w:vAlign w:val="center"/>
                </w:tcPr>
                <w:p>
                  <w:pPr>
                    <w:pStyle w:val="47"/>
                  </w:pPr>
                </w:p>
              </w:tc>
              <w:tc>
                <w:tcPr>
                  <w:tcW w:w="277" w:type="pct"/>
                  <w:vMerge w:val="continue"/>
                  <w:tcBorders>
                    <w:top w:val="single" w:color="auto" w:sz="4" w:space="0"/>
                    <w:left w:val="single" w:color="auto" w:sz="4" w:space="0"/>
                    <w:bottom w:val="single" w:color="auto" w:sz="4" w:space="0"/>
                    <w:right w:val="single" w:color="auto" w:sz="4" w:space="0"/>
                  </w:tcBorders>
                  <w:vAlign w:val="center"/>
                </w:tcPr>
                <w:p>
                  <w:pPr>
                    <w:pStyle w:val="47"/>
                  </w:pPr>
                </w:p>
              </w:tc>
              <w:tc>
                <w:tcPr>
                  <w:tcW w:w="277" w:type="pct"/>
                  <w:tcBorders>
                    <w:top w:val="single" w:color="auto" w:sz="4" w:space="0"/>
                    <w:left w:val="single" w:color="auto" w:sz="4" w:space="0"/>
                    <w:bottom w:val="single" w:color="auto" w:sz="4" w:space="0"/>
                    <w:right w:val="single" w:color="auto" w:sz="4" w:space="0"/>
                  </w:tcBorders>
                  <w:vAlign w:val="center"/>
                </w:tcPr>
                <w:p>
                  <w:pPr>
                    <w:pStyle w:val="47"/>
                  </w:pPr>
                  <w:r>
                    <w:t>3</w:t>
                  </w:r>
                </w:p>
              </w:tc>
              <w:tc>
                <w:tcPr>
                  <w:tcW w:w="2129" w:type="pct"/>
                  <w:tcBorders>
                    <w:top w:val="single" w:color="auto" w:sz="4" w:space="0"/>
                    <w:left w:val="single" w:color="auto" w:sz="4" w:space="0"/>
                    <w:bottom w:val="single" w:color="auto" w:sz="4" w:space="0"/>
                    <w:right w:val="single" w:color="auto" w:sz="4" w:space="0"/>
                  </w:tcBorders>
                  <w:vAlign w:val="center"/>
                </w:tcPr>
                <w:p>
                  <w:pPr>
                    <w:pStyle w:val="47"/>
                    <w:jc w:val="both"/>
                  </w:pPr>
                  <w:r>
                    <w:rPr>
                      <w:rFonts w:hint="eastAsia"/>
                    </w:rPr>
                    <w:t>所有有机溶剂及低沸点物料采取密闭式存储</w:t>
                  </w:r>
                </w:p>
              </w:tc>
              <w:tc>
                <w:tcPr>
                  <w:tcW w:w="1662" w:type="pct"/>
                  <w:tcBorders>
                    <w:top w:val="single" w:color="auto" w:sz="4" w:space="0"/>
                    <w:left w:val="single" w:color="auto" w:sz="4" w:space="0"/>
                    <w:bottom w:val="single" w:color="auto" w:sz="4" w:space="0"/>
                    <w:right w:val="single" w:color="auto" w:sz="4" w:space="0"/>
                  </w:tcBorders>
                  <w:vAlign w:val="center"/>
                </w:tcPr>
                <w:p>
                  <w:pPr>
                    <w:pStyle w:val="47"/>
                    <w:jc w:val="both"/>
                  </w:pPr>
                  <w:r>
                    <w:rPr>
                      <w:rFonts w:hint="eastAsia"/>
                    </w:rPr>
                    <w:t>本项目所有有机溶剂采取密闭式存储</w:t>
                  </w:r>
                </w:p>
              </w:tc>
              <w:tc>
                <w:tcPr>
                  <w:tcW w:w="39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61" w:type="pct"/>
                  <w:vMerge w:val="continue"/>
                  <w:tcBorders>
                    <w:left w:val="single" w:color="auto" w:sz="4" w:space="0"/>
                    <w:right w:val="single" w:color="auto" w:sz="4" w:space="0"/>
                  </w:tcBorders>
                  <w:vAlign w:val="center"/>
                </w:tcPr>
                <w:p>
                  <w:pPr>
                    <w:pStyle w:val="47"/>
                  </w:pPr>
                </w:p>
              </w:tc>
              <w:tc>
                <w:tcPr>
                  <w:tcW w:w="277" w:type="pct"/>
                  <w:vMerge w:val="restart"/>
                  <w:tcBorders>
                    <w:top w:val="single" w:color="auto" w:sz="4" w:space="0"/>
                    <w:left w:val="single" w:color="auto" w:sz="4" w:space="0"/>
                    <w:right w:val="single" w:color="auto" w:sz="4" w:space="0"/>
                  </w:tcBorders>
                  <w:vAlign w:val="center"/>
                </w:tcPr>
                <w:p>
                  <w:pPr>
                    <w:pStyle w:val="47"/>
                  </w:pPr>
                  <w:r>
                    <w:rPr>
                      <w:rFonts w:hint="eastAsia"/>
                    </w:rPr>
                    <w:t>废气收集</w:t>
                  </w:r>
                </w:p>
              </w:tc>
              <w:tc>
                <w:tcPr>
                  <w:tcW w:w="277"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4</w:t>
                  </w:r>
                </w:p>
              </w:tc>
              <w:tc>
                <w:tcPr>
                  <w:tcW w:w="2129" w:type="pct"/>
                  <w:tcBorders>
                    <w:top w:val="single" w:color="auto" w:sz="4" w:space="0"/>
                    <w:left w:val="single" w:color="auto" w:sz="4" w:space="0"/>
                    <w:bottom w:val="single" w:color="auto" w:sz="4" w:space="0"/>
                    <w:right w:val="single" w:color="auto" w:sz="4" w:space="0"/>
                  </w:tcBorders>
                  <w:vAlign w:val="center"/>
                </w:tcPr>
                <w:p>
                  <w:pPr>
                    <w:pStyle w:val="47"/>
                    <w:jc w:val="both"/>
                  </w:pPr>
                  <w:r>
                    <w:rPr>
                      <w:rFonts w:hint="eastAsia"/>
                    </w:rPr>
                    <w:t>调漆、喷烤漆处理过程必须在密封或半密闭空间中进行，配备废气收集设施</w:t>
                  </w:r>
                </w:p>
              </w:tc>
              <w:tc>
                <w:tcPr>
                  <w:tcW w:w="1662" w:type="pct"/>
                  <w:tcBorders>
                    <w:top w:val="single" w:color="auto" w:sz="4" w:space="0"/>
                    <w:left w:val="single" w:color="auto" w:sz="4" w:space="0"/>
                    <w:bottom w:val="single" w:color="auto" w:sz="4" w:space="0"/>
                    <w:right w:val="single" w:color="auto" w:sz="4" w:space="0"/>
                  </w:tcBorders>
                  <w:vAlign w:val="center"/>
                </w:tcPr>
                <w:p>
                  <w:pPr>
                    <w:pStyle w:val="47"/>
                    <w:jc w:val="both"/>
                  </w:pPr>
                  <w:r>
                    <w:rPr>
                      <w:rFonts w:hint="eastAsia"/>
                    </w:rPr>
                    <w:t>本项目浸漆、烘干工序在独立密闭车间内进行，配备废气收集设施</w:t>
                  </w:r>
                </w:p>
              </w:tc>
              <w:tc>
                <w:tcPr>
                  <w:tcW w:w="39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61" w:type="pct"/>
                  <w:vMerge w:val="continue"/>
                  <w:tcBorders>
                    <w:left w:val="single" w:color="auto" w:sz="4" w:space="0"/>
                    <w:right w:val="single" w:color="auto" w:sz="4" w:space="0"/>
                  </w:tcBorders>
                  <w:vAlign w:val="center"/>
                </w:tcPr>
                <w:p>
                  <w:pPr>
                    <w:pStyle w:val="47"/>
                  </w:pPr>
                </w:p>
              </w:tc>
              <w:tc>
                <w:tcPr>
                  <w:tcW w:w="277" w:type="pct"/>
                  <w:vMerge w:val="continue"/>
                  <w:tcBorders>
                    <w:left w:val="single" w:color="auto" w:sz="4" w:space="0"/>
                    <w:right w:val="single" w:color="auto" w:sz="4" w:space="0"/>
                  </w:tcBorders>
                  <w:vAlign w:val="center"/>
                </w:tcPr>
                <w:p>
                  <w:pPr>
                    <w:pStyle w:val="47"/>
                  </w:pPr>
                </w:p>
              </w:tc>
              <w:tc>
                <w:tcPr>
                  <w:tcW w:w="277"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5</w:t>
                  </w:r>
                </w:p>
              </w:tc>
              <w:tc>
                <w:tcPr>
                  <w:tcW w:w="2129" w:type="pct"/>
                  <w:tcBorders>
                    <w:top w:val="single" w:color="auto" w:sz="4" w:space="0"/>
                    <w:left w:val="single" w:color="auto" w:sz="4" w:space="0"/>
                    <w:bottom w:val="single" w:color="auto" w:sz="4" w:space="0"/>
                    <w:right w:val="single" w:color="auto" w:sz="4" w:space="0"/>
                  </w:tcBorders>
                  <w:vAlign w:val="center"/>
                </w:tcPr>
                <w:p>
                  <w:pPr>
                    <w:pStyle w:val="47"/>
                    <w:jc w:val="both"/>
                  </w:pPr>
                  <w:r>
                    <w:rPr>
                      <w:rFonts w:hint="eastAsia"/>
                    </w:rPr>
                    <w:t>所有盛装溶剂的容器在调配、转用和投料过程保持密闭</w:t>
                  </w:r>
                </w:p>
              </w:tc>
              <w:tc>
                <w:tcPr>
                  <w:tcW w:w="1662" w:type="pct"/>
                  <w:tcBorders>
                    <w:top w:val="single" w:color="auto" w:sz="4" w:space="0"/>
                    <w:left w:val="single" w:color="auto" w:sz="4" w:space="0"/>
                    <w:bottom w:val="single" w:color="auto" w:sz="4" w:space="0"/>
                    <w:right w:val="single" w:color="auto" w:sz="4" w:space="0"/>
                  </w:tcBorders>
                  <w:vAlign w:val="center"/>
                </w:tcPr>
                <w:p>
                  <w:pPr>
                    <w:pStyle w:val="47"/>
                    <w:jc w:val="both"/>
                  </w:pPr>
                  <w:r>
                    <w:rPr>
                      <w:rFonts w:hint="eastAsia"/>
                    </w:rPr>
                    <w:t>本项目环保型绝缘漆等原料容器在调配、转用和投料过程均保持密闭</w:t>
                  </w:r>
                </w:p>
              </w:tc>
              <w:tc>
                <w:tcPr>
                  <w:tcW w:w="39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61" w:type="pct"/>
                  <w:vMerge w:val="continue"/>
                  <w:tcBorders>
                    <w:left w:val="single" w:color="auto" w:sz="4" w:space="0"/>
                    <w:right w:val="single" w:color="auto" w:sz="4" w:space="0"/>
                  </w:tcBorders>
                  <w:vAlign w:val="center"/>
                </w:tcPr>
                <w:p>
                  <w:pPr>
                    <w:pStyle w:val="47"/>
                  </w:pPr>
                </w:p>
              </w:tc>
              <w:tc>
                <w:tcPr>
                  <w:tcW w:w="277" w:type="pct"/>
                  <w:vMerge w:val="continue"/>
                  <w:tcBorders>
                    <w:left w:val="single" w:color="auto" w:sz="4" w:space="0"/>
                    <w:right w:val="single" w:color="auto" w:sz="4" w:space="0"/>
                  </w:tcBorders>
                  <w:vAlign w:val="center"/>
                </w:tcPr>
                <w:p>
                  <w:pPr>
                    <w:pStyle w:val="47"/>
                  </w:pPr>
                </w:p>
              </w:tc>
              <w:tc>
                <w:tcPr>
                  <w:tcW w:w="277"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6</w:t>
                  </w:r>
                </w:p>
              </w:tc>
              <w:tc>
                <w:tcPr>
                  <w:tcW w:w="2129" w:type="pct"/>
                  <w:tcBorders>
                    <w:top w:val="single" w:color="auto" w:sz="4" w:space="0"/>
                    <w:left w:val="single" w:color="auto" w:sz="4" w:space="0"/>
                    <w:bottom w:val="single" w:color="auto" w:sz="4" w:space="0"/>
                    <w:right w:val="single" w:color="auto" w:sz="4" w:space="0"/>
                  </w:tcBorders>
                  <w:vAlign w:val="center"/>
                </w:tcPr>
                <w:p>
                  <w:pPr>
                    <w:pStyle w:val="47"/>
                    <w:jc w:val="both"/>
                  </w:pPr>
                  <w:r>
                    <w:rPr>
                      <w:rFonts w:hint="eastAsia"/>
                    </w:rPr>
                    <w:t>收集系统能与生产设备自动同步启动，控制目标区域处于负压状态</w:t>
                  </w:r>
                </w:p>
              </w:tc>
              <w:tc>
                <w:tcPr>
                  <w:tcW w:w="1662" w:type="pct"/>
                  <w:tcBorders>
                    <w:top w:val="single" w:color="auto" w:sz="4" w:space="0"/>
                    <w:left w:val="single" w:color="auto" w:sz="4" w:space="0"/>
                    <w:bottom w:val="single" w:color="auto" w:sz="4" w:space="0"/>
                    <w:right w:val="single" w:color="auto" w:sz="4" w:space="0"/>
                  </w:tcBorders>
                  <w:vAlign w:val="center"/>
                </w:tcPr>
                <w:p>
                  <w:pPr>
                    <w:pStyle w:val="47"/>
                    <w:jc w:val="both"/>
                  </w:pPr>
                  <w:r>
                    <w:rPr>
                      <w:rFonts w:hint="eastAsia"/>
                    </w:rPr>
                    <w:t>要求项目建设时收集系统能与生产设备自动同步启动，车间独立密闭内，保持微负压状态收集废气</w:t>
                  </w:r>
                </w:p>
              </w:tc>
              <w:tc>
                <w:tcPr>
                  <w:tcW w:w="39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61" w:type="pct"/>
                  <w:vMerge w:val="continue"/>
                  <w:tcBorders>
                    <w:left w:val="single" w:color="auto" w:sz="4" w:space="0"/>
                    <w:right w:val="single" w:color="auto" w:sz="4" w:space="0"/>
                  </w:tcBorders>
                  <w:vAlign w:val="center"/>
                </w:tcPr>
                <w:p>
                  <w:pPr>
                    <w:pStyle w:val="47"/>
                  </w:pPr>
                </w:p>
              </w:tc>
              <w:tc>
                <w:tcPr>
                  <w:tcW w:w="277" w:type="pct"/>
                  <w:vMerge w:val="continue"/>
                  <w:tcBorders>
                    <w:left w:val="single" w:color="auto" w:sz="4" w:space="0"/>
                    <w:right w:val="single" w:color="auto" w:sz="4" w:space="0"/>
                  </w:tcBorders>
                  <w:vAlign w:val="center"/>
                </w:tcPr>
                <w:p>
                  <w:pPr>
                    <w:pStyle w:val="47"/>
                  </w:pPr>
                </w:p>
              </w:tc>
              <w:tc>
                <w:tcPr>
                  <w:tcW w:w="277"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7</w:t>
                  </w:r>
                </w:p>
              </w:tc>
              <w:tc>
                <w:tcPr>
                  <w:tcW w:w="2129" w:type="pct"/>
                  <w:tcBorders>
                    <w:top w:val="single" w:color="auto" w:sz="4" w:space="0"/>
                    <w:left w:val="single" w:color="auto" w:sz="4" w:space="0"/>
                    <w:bottom w:val="single" w:color="auto" w:sz="4" w:space="0"/>
                    <w:right w:val="single" w:color="auto" w:sz="4" w:space="0"/>
                  </w:tcBorders>
                  <w:vAlign w:val="center"/>
                </w:tcPr>
                <w:p>
                  <w:pPr>
                    <w:pStyle w:val="47"/>
                    <w:jc w:val="both"/>
                  </w:pPr>
                  <w:r>
                    <w:rPr>
                      <w:rFonts w:hint="eastAsia"/>
                    </w:rPr>
                    <w:t>安全、安装等其他废气收集要求满足涂装作业安全规程的要求</w:t>
                  </w:r>
                </w:p>
              </w:tc>
              <w:tc>
                <w:tcPr>
                  <w:tcW w:w="1662" w:type="pct"/>
                  <w:tcBorders>
                    <w:top w:val="single" w:color="auto" w:sz="4" w:space="0"/>
                    <w:left w:val="single" w:color="auto" w:sz="4" w:space="0"/>
                    <w:bottom w:val="single" w:color="auto" w:sz="4" w:space="0"/>
                    <w:right w:val="single" w:color="auto" w:sz="4" w:space="0"/>
                  </w:tcBorders>
                  <w:vAlign w:val="center"/>
                </w:tcPr>
                <w:p>
                  <w:pPr>
                    <w:pStyle w:val="47"/>
                    <w:jc w:val="both"/>
                  </w:pPr>
                  <w:r>
                    <w:rPr>
                      <w:rFonts w:hint="eastAsia"/>
                    </w:rPr>
                    <w:t>本项目不涉及安全、安装等其他工业涂装工序废气</w:t>
                  </w:r>
                </w:p>
              </w:tc>
              <w:tc>
                <w:tcPr>
                  <w:tcW w:w="39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61" w:type="pct"/>
                  <w:vMerge w:val="continue"/>
                  <w:tcBorders>
                    <w:left w:val="single" w:color="auto" w:sz="4" w:space="0"/>
                    <w:bottom w:val="single" w:color="auto" w:sz="4" w:space="0"/>
                    <w:right w:val="single" w:color="auto" w:sz="4" w:space="0"/>
                  </w:tcBorders>
                  <w:vAlign w:val="center"/>
                </w:tcPr>
                <w:p>
                  <w:pPr>
                    <w:pStyle w:val="47"/>
                  </w:pPr>
                </w:p>
              </w:tc>
              <w:tc>
                <w:tcPr>
                  <w:tcW w:w="277" w:type="pct"/>
                  <w:vMerge w:val="continue"/>
                  <w:tcBorders>
                    <w:left w:val="single" w:color="auto" w:sz="4" w:space="0"/>
                    <w:bottom w:val="single" w:color="auto" w:sz="4" w:space="0"/>
                    <w:right w:val="single" w:color="auto" w:sz="4" w:space="0"/>
                  </w:tcBorders>
                  <w:vAlign w:val="center"/>
                </w:tcPr>
                <w:p>
                  <w:pPr>
                    <w:pStyle w:val="47"/>
                  </w:pPr>
                </w:p>
              </w:tc>
              <w:tc>
                <w:tcPr>
                  <w:tcW w:w="277"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8</w:t>
                  </w:r>
                </w:p>
              </w:tc>
              <w:tc>
                <w:tcPr>
                  <w:tcW w:w="2129" w:type="pct"/>
                  <w:tcBorders>
                    <w:top w:val="single" w:color="auto" w:sz="4" w:space="0"/>
                    <w:left w:val="single" w:color="auto" w:sz="4" w:space="0"/>
                    <w:bottom w:val="single" w:color="auto" w:sz="4" w:space="0"/>
                    <w:right w:val="single" w:color="auto" w:sz="4" w:space="0"/>
                  </w:tcBorders>
                  <w:vAlign w:val="center"/>
                </w:tcPr>
                <w:p>
                  <w:pPr>
                    <w:pStyle w:val="47"/>
                    <w:jc w:val="both"/>
                  </w:pPr>
                  <w:r>
                    <w:rPr>
                      <w:rFonts w:hint="eastAsia"/>
                    </w:rPr>
                    <w:t>废气收集和输送管路与其他管线设置较为明显的颜色区分及走向</w:t>
                  </w:r>
                </w:p>
              </w:tc>
              <w:tc>
                <w:tcPr>
                  <w:tcW w:w="1662" w:type="pct"/>
                  <w:tcBorders>
                    <w:top w:val="single" w:color="auto" w:sz="4" w:space="0"/>
                    <w:left w:val="single" w:color="auto" w:sz="4" w:space="0"/>
                    <w:bottom w:val="single" w:color="auto" w:sz="4" w:space="0"/>
                    <w:right w:val="single" w:color="auto" w:sz="4" w:space="0"/>
                  </w:tcBorders>
                  <w:vAlign w:val="center"/>
                </w:tcPr>
                <w:p>
                  <w:pPr>
                    <w:pStyle w:val="47"/>
                    <w:jc w:val="both"/>
                  </w:pPr>
                  <w:r>
                    <w:rPr>
                      <w:rFonts w:hint="eastAsia"/>
                    </w:rPr>
                    <w:t>要求项目建设时废气收集和输送管路与其他管线设置较为明显的颜色区分及走向</w:t>
                  </w:r>
                </w:p>
              </w:tc>
              <w:tc>
                <w:tcPr>
                  <w:tcW w:w="39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61" w:type="pct"/>
                  <w:vMerge w:val="restar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污染治理</w:t>
                  </w:r>
                </w:p>
              </w:tc>
              <w:tc>
                <w:tcPr>
                  <w:tcW w:w="277" w:type="pct"/>
                  <w:vMerge w:val="restar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废气处理</w:t>
                  </w:r>
                </w:p>
              </w:tc>
              <w:tc>
                <w:tcPr>
                  <w:tcW w:w="277" w:type="pct"/>
                  <w:tcBorders>
                    <w:top w:val="single" w:color="auto" w:sz="4" w:space="0"/>
                    <w:left w:val="single" w:color="auto" w:sz="4" w:space="0"/>
                    <w:bottom w:val="single" w:color="auto" w:sz="4" w:space="0"/>
                    <w:right w:val="single" w:color="auto" w:sz="4" w:space="0"/>
                  </w:tcBorders>
                  <w:vAlign w:val="center"/>
                </w:tcPr>
                <w:p>
                  <w:pPr>
                    <w:pStyle w:val="47"/>
                  </w:pPr>
                  <w:r>
                    <w:t>9</w:t>
                  </w:r>
                </w:p>
              </w:tc>
              <w:tc>
                <w:tcPr>
                  <w:tcW w:w="2129" w:type="pct"/>
                  <w:tcBorders>
                    <w:top w:val="single" w:color="auto" w:sz="4" w:space="0"/>
                    <w:left w:val="single" w:color="auto" w:sz="4" w:space="0"/>
                    <w:bottom w:val="single" w:color="auto" w:sz="4" w:space="0"/>
                    <w:right w:val="single" w:color="auto" w:sz="4" w:space="0"/>
                  </w:tcBorders>
                  <w:vAlign w:val="center"/>
                </w:tcPr>
                <w:p>
                  <w:pPr>
                    <w:pStyle w:val="47"/>
                    <w:jc w:val="both"/>
                  </w:pPr>
                  <w:r>
                    <w:rPr>
                      <w:rFonts w:hint="eastAsia"/>
                    </w:rPr>
                    <w:t>产生挥发性有机物的环节配套建设收集处理装置，经净化后达到《大气污染物综合排放标准》（GB</w:t>
                  </w:r>
                  <w:r>
                    <w:t>16297-1996</w:t>
                  </w:r>
                  <w:r>
                    <w:rPr>
                      <w:rFonts w:hint="eastAsia"/>
                    </w:rPr>
                    <w:t>）排放限值及环评要求</w:t>
                  </w:r>
                </w:p>
              </w:tc>
              <w:tc>
                <w:tcPr>
                  <w:tcW w:w="1662" w:type="pct"/>
                  <w:tcBorders>
                    <w:top w:val="single" w:color="auto" w:sz="4" w:space="0"/>
                    <w:left w:val="single" w:color="auto" w:sz="4" w:space="0"/>
                    <w:bottom w:val="single" w:color="auto" w:sz="4" w:space="0"/>
                    <w:right w:val="single" w:color="auto" w:sz="4" w:space="0"/>
                  </w:tcBorders>
                  <w:vAlign w:val="center"/>
                </w:tcPr>
                <w:p>
                  <w:pPr>
                    <w:pStyle w:val="47"/>
                    <w:jc w:val="both"/>
                  </w:pPr>
                  <w:r>
                    <w:rPr>
                      <w:rFonts w:hint="eastAsia"/>
                    </w:rPr>
                    <w:t>本项目产生挥发性有机物的工序均配套建设收集处理装置，经净化后达到环评要求的相关排放限值</w:t>
                  </w:r>
                </w:p>
              </w:tc>
              <w:tc>
                <w:tcPr>
                  <w:tcW w:w="39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61" w:type="pct"/>
                  <w:vMerge w:val="continue"/>
                  <w:tcBorders>
                    <w:top w:val="single" w:color="auto" w:sz="4" w:space="0"/>
                    <w:left w:val="single" w:color="auto" w:sz="4" w:space="0"/>
                    <w:bottom w:val="single" w:color="auto" w:sz="4" w:space="0"/>
                    <w:right w:val="single" w:color="auto" w:sz="4" w:space="0"/>
                  </w:tcBorders>
                  <w:vAlign w:val="center"/>
                </w:tcPr>
                <w:p>
                  <w:pPr>
                    <w:pStyle w:val="47"/>
                  </w:pPr>
                </w:p>
              </w:tc>
              <w:tc>
                <w:tcPr>
                  <w:tcW w:w="277" w:type="pct"/>
                  <w:vMerge w:val="continue"/>
                  <w:tcBorders>
                    <w:top w:val="single" w:color="auto" w:sz="4" w:space="0"/>
                    <w:left w:val="single" w:color="auto" w:sz="4" w:space="0"/>
                    <w:bottom w:val="single" w:color="auto" w:sz="4" w:space="0"/>
                    <w:right w:val="single" w:color="auto" w:sz="4" w:space="0"/>
                  </w:tcBorders>
                  <w:vAlign w:val="center"/>
                </w:tcPr>
                <w:p>
                  <w:pPr>
                    <w:pStyle w:val="47"/>
                  </w:pPr>
                </w:p>
              </w:tc>
              <w:tc>
                <w:tcPr>
                  <w:tcW w:w="277" w:type="pct"/>
                  <w:tcBorders>
                    <w:top w:val="single" w:color="auto" w:sz="4" w:space="0"/>
                    <w:left w:val="single" w:color="auto" w:sz="4" w:space="0"/>
                    <w:bottom w:val="single" w:color="auto" w:sz="4" w:space="0"/>
                    <w:right w:val="single" w:color="auto" w:sz="4" w:space="0"/>
                  </w:tcBorders>
                  <w:vAlign w:val="center"/>
                </w:tcPr>
                <w:p>
                  <w:pPr>
                    <w:pStyle w:val="47"/>
                  </w:pPr>
                  <w:r>
                    <w:t>10</w:t>
                  </w:r>
                </w:p>
              </w:tc>
              <w:tc>
                <w:tcPr>
                  <w:tcW w:w="2129" w:type="pct"/>
                  <w:tcBorders>
                    <w:top w:val="single" w:color="auto" w:sz="4" w:space="0"/>
                    <w:left w:val="single" w:color="auto" w:sz="4" w:space="0"/>
                    <w:bottom w:val="single" w:color="auto" w:sz="4" w:space="0"/>
                    <w:right w:val="single" w:color="auto" w:sz="4" w:space="0"/>
                  </w:tcBorders>
                  <w:vAlign w:val="center"/>
                </w:tcPr>
                <w:p>
                  <w:pPr>
                    <w:pStyle w:val="47"/>
                    <w:jc w:val="both"/>
                  </w:pPr>
                  <w:r>
                    <w:rPr>
                      <w:rFonts w:hint="eastAsia"/>
                    </w:rPr>
                    <w:t>污染治理过程产生的危险废物委托有资质单位进行无害化处理</w:t>
                  </w:r>
                </w:p>
              </w:tc>
              <w:tc>
                <w:tcPr>
                  <w:tcW w:w="1662" w:type="pct"/>
                  <w:tcBorders>
                    <w:top w:val="single" w:color="auto" w:sz="4" w:space="0"/>
                    <w:left w:val="single" w:color="auto" w:sz="4" w:space="0"/>
                    <w:bottom w:val="single" w:color="auto" w:sz="4" w:space="0"/>
                    <w:right w:val="single" w:color="auto" w:sz="4" w:space="0"/>
                  </w:tcBorders>
                  <w:vAlign w:val="center"/>
                </w:tcPr>
                <w:p>
                  <w:pPr>
                    <w:pStyle w:val="47"/>
                    <w:jc w:val="both"/>
                  </w:pPr>
                  <w:r>
                    <w:rPr>
                      <w:rFonts w:hint="eastAsia"/>
                    </w:rPr>
                    <w:t>本项目危险废物均委托有资质单位进行无害化处理</w:t>
                  </w:r>
                </w:p>
              </w:tc>
              <w:tc>
                <w:tcPr>
                  <w:tcW w:w="39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61" w:type="pct"/>
                  <w:vMerge w:val="continue"/>
                  <w:tcBorders>
                    <w:top w:val="single" w:color="auto" w:sz="4" w:space="0"/>
                    <w:left w:val="single" w:color="auto" w:sz="4" w:space="0"/>
                    <w:bottom w:val="single" w:color="auto" w:sz="4" w:space="0"/>
                    <w:right w:val="single" w:color="auto" w:sz="4" w:space="0"/>
                  </w:tcBorders>
                  <w:vAlign w:val="center"/>
                </w:tcPr>
                <w:p>
                  <w:pPr>
                    <w:pStyle w:val="47"/>
                  </w:pPr>
                </w:p>
              </w:tc>
              <w:tc>
                <w:tcPr>
                  <w:tcW w:w="277" w:type="pct"/>
                  <w:vMerge w:val="continue"/>
                  <w:tcBorders>
                    <w:top w:val="single" w:color="auto" w:sz="4" w:space="0"/>
                    <w:left w:val="single" w:color="auto" w:sz="4" w:space="0"/>
                    <w:bottom w:val="single" w:color="auto" w:sz="4" w:space="0"/>
                    <w:right w:val="single" w:color="auto" w:sz="4" w:space="0"/>
                  </w:tcBorders>
                  <w:vAlign w:val="center"/>
                </w:tcPr>
                <w:p>
                  <w:pPr>
                    <w:pStyle w:val="47"/>
                  </w:pPr>
                </w:p>
              </w:tc>
              <w:tc>
                <w:tcPr>
                  <w:tcW w:w="277" w:type="pct"/>
                  <w:tcBorders>
                    <w:top w:val="single" w:color="auto" w:sz="4" w:space="0"/>
                    <w:left w:val="single" w:color="auto" w:sz="4" w:space="0"/>
                    <w:bottom w:val="single" w:color="auto" w:sz="4" w:space="0"/>
                    <w:right w:val="single" w:color="auto" w:sz="4" w:space="0"/>
                  </w:tcBorders>
                  <w:vAlign w:val="center"/>
                </w:tcPr>
                <w:p>
                  <w:pPr>
                    <w:pStyle w:val="47"/>
                  </w:pPr>
                  <w:r>
                    <w:t>11</w:t>
                  </w:r>
                </w:p>
              </w:tc>
              <w:tc>
                <w:tcPr>
                  <w:tcW w:w="2129" w:type="pct"/>
                  <w:tcBorders>
                    <w:top w:val="single" w:color="auto" w:sz="4" w:space="0"/>
                    <w:left w:val="single" w:color="auto" w:sz="4" w:space="0"/>
                    <w:bottom w:val="single" w:color="auto" w:sz="4" w:space="0"/>
                    <w:right w:val="single" w:color="auto" w:sz="4" w:space="0"/>
                  </w:tcBorders>
                  <w:vAlign w:val="center"/>
                </w:tcPr>
                <w:p>
                  <w:pPr>
                    <w:pStyle w:val="47"/>
                    <w:jc w:val="both"/>
                  </w:pPr>
                  <w:r>
                    <w:rPr>
                      <w:rFonts w:hint="eastAsia"/>
                    </w:rPr>
                    <w:t>其他通风、净化设施安装要求满足《涂装作业安全规程-有机废气净化装置安全技术规定》（GB</w:t>
                  </w:r>
                  <w:r>
                    <w:t>20101</w:t>
                  </w:r>
                  <w:r>
                    <w:rPr>
                      <w:rFonts w:hint="eastAsia"/>
                    </w:rPr>
                    <w:t>-</w:t>
                  </w:r>
                  <w:r>
                    <w:t>2006</w:t>
                  </w:r>
                  <w:r>
                    <w:rPr>
                      <w:rFonts w:hint="eastAsia"/>
                    </w:rPr>
                    <w:t>）</w:t>
                  </w:r>
                </w:p>
              </w:tc>
              <w:tc>
                <w:tcPr>
                  <w:tcW w:w="1662" w:type="pct"/>
                  <w:tcBorders>
                    <w:top w:val="single" w:color="auto" w:sz="4" w:space="0"/>
                    <w:left w:val="single" w:color="auto" w:sz="4" w:space="0"/>
                    <w:bottom w:val="single" w:color="auto" w:sz="4" w:space="0"/>
                    <w:right w:val="single" w:color="auto" w:sz="4" w:space="0"/>
                  </w:tcBorders>
                  <w:vAlign w:val="center"/>
                </w:tcPr>
                <w:p>
                  <w:pPr>
                    <w:pStyle w:val="47"/>
                    <w:jc w:val="both"/>
                  </w:pPr>
                  <w:r>
                    <w:rPr>
                      <w:rFonts w:hint="eastAsia"/>
                    </w:rPr>
                    <w:t>要求项目建设时其他通风、净化设施安装满足《涂装作业安全规程-有机废气净化装置安全技术规定》（GB20101-2006）</w:t>
                  </w:r>
                </w:p>
              </w:tc>
              <w:tc>
                <w:tcPr>
                  <w:tcW w:w="39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61" w:type="pct"/>
                  <w:vMerge w:val="restar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环境管理</w:t>
                  </w:r>
                </w:p>
              </w:tc>
              <w:tc>
                <w:tcPr>
                  <w:tcW w:w="277"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内部管理</w:t>
                  </w:r>
                </w:p>
              </w:tc>
              <w:tc>
                <w:tcPr>
                  <w:tcW w:w="277" w:type="pct"/>
                  <w:tcBorders>
                    <w:top w:val="single" w:color="auto" w:sz="4" w:space="0"/>
                    <w:left w:val="single" w:color="auto" w:sz="4" w:space="0"/>
                    <w:bottom w:val="single" w:color="auto" w:sz="4" w:space="0"/>
                    <w:right w:val="single" w:color="auto" w:sz="4" w:space="0"/>
                  </w:tcBorders>
                  <w:vAlign w:val="center"/>
                </w:tcPr>
                <w:p>
                  <w:pPr>
                    <w:pStyle w:val="47"/>
                  </w:pPr>
                  <w:r>
                    <w:t>12</w:t>
                  </w:r>
                </w:p>
              </w:tc>
              <w:tc>
                <w:tcPr>
                  <w:tcW w:w="2129" w:type="pct"/>
                  <w:tcBorders>
                    <w:top w:val="single" w:color="auto" w:sz="4" w:space="0"/>
                    <w:left w:val="single" w:color="auto" w:sz="4" w:space="0"/>
                    <w:bottom w:val="single" w:color="auto" w:sz="4" w:space="0"/>
                    <w:right w:val="single" w:color="auto" w:sz="4" w:space="0"/>
                  </w:tcBorders>
                  <w:vAlign w:val="center"/>
                </w:tcPr>
                <w:p>
                  <w:pPr>
                    <w:pStyle w:val="47"/>
                    <w:jc w:val="both"/>
                  </w:pPr>
                  <w:r>
                    <w:rPr>
                      <w:rFonts w:hint="eastAsia"/>
                    </w:rPr>
                    <w:t>制定环保设施运行管理制度（包含应急措施）、定期保养制度、环保考核奖励制度、监测制度等</w:t>
                  </w:r>
                </w:p>
              </w:tc>
              <w:tc>
                <w:tcPr>
                  <w:tcW w:w="1662" w:type="pct"/>
                  <w:tcBorders>
                    <w:top w:val="single" w:color="auto" w:sz="4" w:space="0"/>
                    <w:left w:val="single" w:color="auto" w:sz="4" w:space="0"/>
                    <w:bottom w:val="single" w:color="auto" w:sz="4" w:space="0"/>
                    <w:right w:val="single" w:color="auto" w:sz="4" w:space="0"/>
                  </w:tcBorders>
                  <w:vAlign w:val="center"/>
                </w:tcPr>
                <w:p>
                  <w:pPr>
                    <w:pStyle w:val="47"/>
                    <w:jc w:val="both"/>
                  </w:pPr>
                  <w:r>
                    <w:rPr>
                      <w:rFonts w:hint="eastAsia"/>
                    </w:rPr>
                    <w:t>要求企业制定环保设施运行管理制度、定期保养制度、环保考核奖励制度、监测制度等</w:t>
                  </w:r>
                </w:p>
              </w:tc>
              <w:tc>
                <w:tcPr>
                  <w:tcW w:w="39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61" w:type="pct"/>
                  <w:vMerge w:val="continue"/>
                  <w:tcBorders>
                    <w:top w:val="single" w:color="auto" w:sz="4" w:space="0"/>
                    <w:left w:val="single" w:color="auto" w:sz="4" w:space="0"/>
                    <w:bottom w:val="single" w:color="auto" w:sz="4" w:space="0"/>
                    <w:right w:val="single" w:color="auto" w:sz="4" w:space="0"/>
                  </w:tcBorders>
                  <w:vAlign w:val="center"/>
                </w:tcPr>
                <w:p>
                  <w:pPr>
                    <w:pStyle w:val="47"/>
                  </w:pPr>
                </w:p>
              </w:tc>
              <w:tc>
                <w:tcPr>
                  <w:tcW w:w="277"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日常监测</w:t>
                  </w:r>
                </w:p>
              </w:tc>
              <w:tc>
                <w:tcPr>
                  <w:tcW w:w="277" w:type="pct"/>
                  <w:tcBorders>
                    <w:top w:val="single" w:color="auto" w:sz="4" w:space="0"/>
                    <w:left w:val="single" w:color="auto" w:sz="4" w:space="0"/>
                    <w:bottom w:val="single" w:color="auto" w:sz="4" w:space="0"/>
                    <w:right w:val="single" w:color="auto" w:sz="4" w:space="0"/>
                  </w:tcBorders>
                  <w:vAlign w:val="center"/>
                </w:tcPr>
                <w:p>
                  <w:pPr>
                    <w:pStyle w:val="47"/>
                  </w:pPr>
                  <w:r>
                    <w:t>13</w:t>
                  </w:r>
                </w:p>
              </w:tc>
              <w:tc>
                <w:tcPr>
                  <w:tcW w:w="2129" w:type="pct"/>
                  <w:tcBorders>
                    <w:top w:val="single" w:color="auto" w:sz="4" w:space="0"/>
                    <w:left w:val="single" w:color="auto" w:sz="4" w:space="0"/>
                    <w:bottom w:val="single" w:color="auto" w:sz="4" w:space="0"/>
                    <w:right w:val="single" w:color="auto" w:sz="4" w:space="0"/>
                  </w:tcBorders>
                  <w:vAlign w:val="center"/>
                </w:tcPr>
                <w:p>
                  <w:pPr>
                    <w:pStyle w:val="47"/>
                    <w:jc w:val="both"/>
                  </w:pPr>
                  <w:r>
                    <w:rPr>
                      <w:rFonts w:hint="eastAsia"/>
                    </w:rPr>
                    <w:t>企业制定长期监测计划，每年废气排放口监测、厂界无组织监测不少于两次，监测指标须包含行业主要特征污染物和TVOCs指标</w:t>
                  </w:r>
                </w:p>
              </w:tc>
              <w:tc>
                <w:tcPr>
                  <w:tcW w:w="1662" w:type="pct"/>
                  <w:tcBorders>
                    <w:top w:val="single" w:color="auto" w:sz="4" w:space="0"/>
                    <w:left w:val="single" w:color="auto" w:sz="4" w:space="0"/>
                    <w:bottom w:val="single" w:color="auto" w:sz="4" w:space="0"/>
                    <w:right w:val="single" w:color="auto" w:sz="4" w:space="0"/>
                  </w:tcBorders>
                  <w:vAlign w:val="center"/>
                </w:tcPr>
                <w:p>
                  <w:pPr>
                    <w:pStyle w:val="47"/>
                    <w:jc w:val="both"/>
                  </w:pPr>
                  <w:r>
                    <w:rPr>
                      <w:rFonts w:hint="eastAsia"/>
                    </w:rPr>
                    <w:t>要求企业按要求制定长期监测计划</w:t>
                  </w:r>
                </w:p>
              </w:tc>
              <w:tc>
                <w:tcPr>
                  <w:tcW w:w="39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61" w:type="pct"/>
                  <w:vMerge w:val="continue"/>
                  <w:tcBorders>
                    <w:top w:val="single" w:color="auto" w:sz="4" w:space="0"/>
                    <w:left w:val="single" w:color="auto" w:sz="4" w:space="0"/>
                    <w:bottom w:val="single" w:color="auto" w:sz="4" w:space="0"/>
                    <w:right w:val="single" w:color="auto" w:sz="4" w:space="0"/>
                  </w:tcBorders>
                  <w:vAlign w:val="center"/>
                </w:tcPr>
                <w:p>
                  <w:pPr>
                    <w:pStyle w:val="47"/>
                  </w:pPr>
                </w:p>
              </w:tc>
              <w:tc>
                <w:tcPr>
                  <w:tcW w:w="277"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档案管理</w:t>
                  </w:r>
                </w:p>
              </w:tc>
              <w:tc>
                <w:tcPr>
                  <w:tcW w:w="277" w:type="pct"/>
                  <w:tcBorders>
                    <w:top w:val="single" w:color="auto" w:sz="4" w:space="0"/>
                    <w:left w:val="single" w:color="auto" w:sz="4" w:space="0"/>
                    <w:bottom w:val="single" w:color="auto" w:sz="4" w:space="0"/>
                    <w:right w:val="single" w:color="auto" w:sz="4" w:space="0"/>
                  </w:tcBorders>
                  <w:vAlign w:val="center"/>
                </w:tcPr>
                <w:p>
                  <w:pPr>
                    <w:pStyle w:val="47"/>
                  </w:pPr>
                  <w:r>
                    <w:t>14</w:t>
                  </w:r>
                </w:p>
              </w:tc>
              <w:tc>
                <w:tcPr>
                  <w:tcW w:w="2129" w:type="pct"/>
                  <w:tcBorders>
                    <w:top w:val="single" w:color="auto" w:sz="4" w:space="0"/>
                    <w:left w:val="single" w:color="auto" w:sz="4" w:space="0"/>
                    <w:bottom w:val="single" w:color="auto" w:sz="4" w:space="0"/>
                    <w:right w:val="single" w:color="auto" w:sz="4" w:space="0"/>
                  </w:tcBorders>
                  <w:vAlign w:val="center"/>
                </w:tcPr>
                <w:p>
                  <w:pPr>
                    <w:pStyle w:val="47"/>
                    <w:jc w:val="both"/>
                  </w:pPr>
                  <w:r>
                    <w:rPr>
                      <w:rFonts w:hint="eastAsia"/>
                    </w:rPr>
                    <w:t>建立台账。包括废气监测台账、废气处理设施运行台账、有机溶剂物料的消耗台账、废气处理耗材（活性炭、催化剂）更换台账</w:t>
                  </w:r>
                </w:p>
              </w:tc>
              <w:tc>
                <w:tcPr>
                  <w:tcW w:w="1662" w:type="pct"/>
                  <w:tcBorders>
                    <w:top w:val="single" w:color="auto" w:sz="4" w:space="0"/>
                    <w:left w:val="single" w:color="auto" w:sz="4" w:space="0"/>
                    <w:bottom w:val="single" w:color="auto" w:sz="4" w:space="0"/>
                    <w:right w:val="single" w:color="auto" w:sz="4" w:space="0"/>
                  </w:tcBorders>
                  <w:vAlign w:val="center"/>
                </w:tcPr>
                <w:p>
                  <w:pPr>
                    <w:pStyle w:val="47"/>
                    <w:jc w:val="both"/>
                  </w:pPr>
                  <w:r>
                    <w:rPr>
                      <w:rFonts w:hint="eastAsia"/>
                    </w:rPr>
                    <w:t>要求企业建立健全各类台账</w:t>
                  </w:r>
                </w:p>
              </w:tc>
              <w:tc>
                <w:tcPr>
                  <w:tcW w:w="39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符合</w:t>
                  </w:r>
                </w:p>
              </w:tc>
            </w:tr>
          </w:tbl>
          <w:p>
            <w:pPr>
              <w:spacing w:before="120" w:beforeLines="50"/>
              <w:ind w:firstLine="480"/>
            </w:pPr>
            <w:r>
              <w:rPr>
                <w:rFonts w:hint="eastAsia"/>
              </w:rPr>
              <w:t>3、《浙江省挥发性有机物深化治理与减排工作方案（2017~2020年）》</w:t>
            </w:r>
          </w:p>
          <w:p>
            <w:pPr>
              <w:ind w:firstLine="480"/>
            </w:pPr>
            <w:r>
              <w:rPr>
                <w:rFonts w:hint="eastAsia"/>
              </w:rPr>
              <w:t>参照《浙江省挥发性有机物深化治理与减排工作方案（2017~2020年）》（浙环发[2017]41号）中相关污染整治要求，本项目实施情况与整治要求符合性分析见表9-7。</w:t>
            </w:r>
          </w:p>
          <w:p>
            <w:pPr>
              <w:pStyle w:val="46"/>
            </w:pPr>
            <w:r>
              <w:rPr>
                <w:rFonts w:hint="eastAsia"/>
              </w:rPr>
              <w:t>表9-7</w:t>
            </w:r>
            <w:r>
              <w:t xml:space="preserve">  </w:t>
            </w:r>
            <w:r>
              <w:rPr>
                <w:rFonts w:hint="eastAsia"/>
              </w:rPr>
              <w:t>《浙江省挥发性有机物深化治理与减排工作方案（2017~2020）年》符合性分析</w:t>
            </w:r>
          </w:p>
          <w:tbl>
            <w:tblPr>
              <w:tblStyle w:val="34"/>
              <w:tblW w:w="4998"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0" w:type="dxa"/>
                <w:bottom w:w="0" w:type="dxa"/>
                <w:right w:w="0" w:type="dxa"/>
              </w:tblCellMar>
            </w:tblPr>
            <w:tblGrid>
              <w:gridCol w:w="515"/>
              <w:gridCol w:w="4583"/>
              <w:gridCol w:w="2924"/>
              <w:gridCol w:w="700"/>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296" w:type="pct"/>
                  <w:tcBorders>
                    <w:top w:val="single" w:color="auto" w:sz="2" w:space="0"/>
                    <w:left w:val="single" w:color="auto" w:sz="2" w:space="0"/>
                    <w:bottom w:val="single" w:color="auto" w:sz="6" w:space="0"/>
                    <w:right w:val="single" w:color="auto" w:sz="6" w:space="0"/>
                  </w:tcBorders>
                  <w:vAlign w:val="center"/>
                </w:tcPr>
                <w:p>
                  <w:pPr>
                    <w:pStyle w:val="46"/>
                  </w:pPr>
                  <w:r>
                    <w:rPr>
                      <w:rFonts w:hint="eastAsia"/>
                    </w:rPr>
                    <w:t>序号</w:t>
                  </w:r>
                </w:p>
              </w:tc>
              <w:tc>
                <w:tcPr>
                  <w:tcW w:w="2626" w:type="pct"/>
                  <w:tcBorders>
                    <w:top w:val="single" w:color="auto" w:sz="2" w:space="0"/>
                    <w:left w:val="single" w:color="auto" w:sz="6" w:space="0"/>
                    <w:bottom w:val="single" w:color="auto" w:sz="6" w:space="0"/>
                    <w:right w:val="single" w:color="auto" w:sz="6" w:space="0"/>
                  </w:tcBorders>
                  <w:vAlign w:val="center"/>
                </w:tcPr>
                <w:p>
                  <w:pPr>
                    <w:pStyle w:val="46"/>
                  </w:pPr>
                  <w:r>
                    <w:rPr>
                      <w:rFonts w:hint="eastAsia"/>
                    </w:rPr>
                    <w:t>整治要求</w:t>
                  </w:r>
                </w:p>
              </w:tc>
              <w:tc>
                <w:tcPr>
                  <w:tcW w:w="1676" w:type="pct"/>
                  <w:tcBorders>
                    <w:top w:val="single" w:color="auto" w:sz="2" w:space="0"/>
                    <w:left w:val="single" w:color="auto" w:sz="6" w:space="0"/>
                    <w:bottom w:val="single" w:color="auto" w:sz="6" w:space="0"/>
                    <w:right w:val="single" w:color="auto" w:sz="2" w:space="0"/>
                  </w:tcBorders>
                  <w:vAlign w:val="center"/>
                </w:tcPr>
                <w:p>
                  <w:pPr>
                    <w:pStyle w:val="46"/>
                  </w:pPr>
                  <w:r>
                    <w:rPr>
                      <w:rFonts w:hint="eastAsia"/>
                    </w:rPr>
                    <w:t>是否符合</w:t>
                  </w:r>
                </w:p>
              </w:tc>
              <w:tc>
                <w:tcPr>
                  <w:tcW w:w="401" w:type="pct"/>
                  <w:tcBorders>
                    <w:top w:val="single" w:color="auto" w:sz="2" w:space="0"/>
                    <w:left w:val="single" w:color="auto" w:sz="6" w:space="0"/>
                    <w:bottom w:val="single" w:color="auto" w:sz="6" w:space="0"/>
                    <w:right w:val="single" w:color="auto" w:sz="2" w:space="0"/>
                  </w:tcBorders>
                  <w:vAlign w:val="center"/>
                </w:tcPr>
                <w:p>
                  <w:pPr>
                    <w:pStyle w:val="46"/>
                  </w:pPr>
                  <w:r>
                    <w:rPr>
                      <w:rFonts w:hint="eastAsia"/>
                    </w:rPr>
                    <w:t>是否</w:t>
                  </w:r>
                </w:p>
                <w:p>
                  <w:pPr>
                    <w:pStyle w:val="46"/>
                  </w:pPr>
                  <w:r>
                    <w:rPr>
                      <w:rFonts w:hint="eastAsia"/>
                    </w:rPr>
                    <w:t>符合</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000" w:type="pct"/>
                  <w:gridSpan w:val="4"/>
                  <w:tcBorders>
                    <w:top w:val="single" w:color="auto" w:sz="6" w:space="0"/>
                    <w:left w:val="single" w:color="auto" w:sz="2" w:space="0"/>
                    <w:bottom w:val="single" w:color="auto" w:sz="6" w:space="0"/>
                    <w:right w:val="single" w:color="auto" w:sz="2" w:space="0"/>
                  </w:tcBorders>
                  <w:vAlign w:val="center"/>
                </w:tcPr>
                <w:p>
                  <w:pPr>
                    <w:pStyle w:val="47"/>
                    <w:rPr>
                      <w:lang w:val="zh-CN"/>
                    </w:rPr>
                  </w:pPr>
                  <w:r>
                    <w:rPr>
                      <w:rFonts w:hint="eastAsia"/>
                      <w:lang w:val="zh-CN"/>
                    </w:rPr>
                    <w:t>工业涂装行业</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96" w:type="pct"/>
                  <w:tcBorders>
                    <w:top w:val="single" w:color="auto" w:sz="6" w:space="0"/>
                    <w:left w:val="single" w:color="auto" w:sz="2" w:space="0"/>
                    <w:bottom w:val="single" w:color="auto" w:sz="6" w:space="0"/>
                    <w:right w:val="single" w:color="auto" w:sz="6" w:space="0"/>
                  </w:tcBorders>
                  <w:vAlign w:val="center"/>
                </w:tcPr>
                <w:p>
                  <w:pPr>
                    <w:pStyle w:val="47"/>
                  </w:pPr>
                  <w:r>
                    <w:t>1</w:t>
                  </w:r>
                </w:p>
              </w:tc>
              <w:tc>
                <w:tcPr>
                  <w:tcW w:w="2627" w:type="pct"/>
                  <w:tcBorders>
                    <w:top w:val="single" w:color="auto" w:sz="6" w:space="0"/>
                    <w:left w:val="single" w:color="auto" w:sz="6" w:space="0"/>
                    <w:bottom w:val="single" w:color="auto" w:sz="6" w:space="0"/>
                    <w:right w:val="single" w:color="auto" w:sz="6" w:space="0"/>
                  </w:tcBorders>
                  <w:vAlign w:val="center"/>
                </w:tcPr>
                <w:p>
                  <w:pPr>
                    <w:pStyle w:val="47"/>
                    <w:jc w:val="both"/>
                    <w:rPr>
                      <w:lang w:val="zh-CN"/>
                    </w:rPr>
                  </w:pPr>
                  <w:r>
                    <w:rPr>
                      <w:rFonts w:hint="eastAsia"/>
                    </w:rPr>
                    <w:t>推广使用水性、</w:t>
                  </w:r>
                  <w:r>
                    <w:rPr>
                      <w:rFonts w:hint="eastAsia"/>
                      <w:lang w:eastAsia="zh-CN"/>
                    </w:rPr>
                    <w:t>高固体份</w:t>
                  </w:r>
                  <w:r>
                    <w:rPr>
                      <w:rFonts w:hint="eastAsia"/>
                    </w:rPr>
                    <w:t>、粉末、能量固化等涂料和先进涂装工艺</w:t>
                  </w:r>
                </w:p>
              </w:tc>
              <w:tc>
                <w:tcPr>
                  <w:tcW w:w="1676" w:type="pct"/>
                  <w:tcBorders>
                    <w:top w:val="single" w:color="auto" w:sz="6" w:space="0"/>
                    <w:left w:val="single" w:color="auto" w:sz="6" w:space="0"/>
                    <w:bottom w:val="single" w:color="auto" w:sz="6" w:space="0"/>
                    <w:right w:val="single" w:color="auto" w:sz="2" w:space="0"/>
                  </w:tcBorders>
                  <w:vAlign w:val="center"/>
                </w:tcPr>
                <w:p>
                  <w:pPr>
                    <w:pStyle w:val="47"/>
                    <w:jc w:val="both"/>
                    <w:rPr>
                      <w:lang w:val="zh-CN"/>
                    </w:rPr>
                  </w:pPr>
                  <w:r>
                    <w:rPr>
                      <w:rFonts w:hint="eastAsia"/>
                    </w:rPr>
                    <w:t>本项目全部使用</w:t>
                  </w:r>
                  <w:r>
                    <w:rPr>
                      <w:rFonts w:hint="eastAsia"/>
                      <w:lang w:eastAsia="zh-CN"/>
                    </w:rPr>
                    <w:t>高固体份</w:t>
                  </w:r>
                  <w:r>
                    <w:rPr>
                      <w:rFonts w:hint="eastAsia"/>
                    </w:rPr>
                    <w:t>环境友好型涂料，使用真空浸漆工艺</w:t>
                  </w:r>
                </w:p>
              </w:tc>
              <w:tc>
                <w:tcPr>
                  <w:tcW w:w="401" w:type="pct"/>
                  <w:tcBorders>
                    <w:top w:val="single" w:color="auto" w:sz="6" w:space="0"/>
                    <w:left w:val="single" w:color="auto" w:sz="6" w:space="0"/>
                    <w:bottom w:val="single" w:color="auto" w:sz="6" w:space="0"/>
                    <w:right w:val="single" w:color="auto" w:sz="2" w:space="0"/>
                  </w:tcBorders>
                  <w:vAlign w:val="center"/>
                </w:tcPr>
                <w:p>
                  <w:pPr>
                    <w:pStyle w:val="47"/>
                  </w:pPr>
                  <w:r>
                    <w:rPr>
                      <w:rFonts w:hint="eastAsia"/>
                    </w:rPr>
                    <w:t>符合</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96" w:type="pct"/>
                  <w:tcBorders>
                    <w:top w:val="single" w:color="auto" w:sz="6" w:space="0"/>
                    <w:left w:val="single" w:color="auto" w:sz="2" w:space="0"/>
                    <w:bottom w:val="single" w:color="auto" w:sz="2" w:space="0"/>
                    <w:right w:val="single" w:color="auto" w:sz="6" w:space="0"/>
                  </w:tcBorders>
                  <w:vAlign w:val="center"/>
                </w:tcPr>
                <w:p>
                  <w:pPr>
                    <w:pStyle w:val="47"/>
                  </w:pPr>
                  <w:r>
                    <w:t>2</w:t>
                  </w:r>
                </w:p>
              </w:tc>
              <w:tc>
                <w:tcPr>
                  <w:tcW w:w="2627" w:type="pct"/>
                  <w:tcBorders>
                    <w:top w:val="single" w:color="auto" w:sz="6" w:space="0"/>
                    <w:left w:val="single" w:color="auto" w:sz="6" w:space="0"/>
                    <w:bottom w:val="single" w:color="auto" w:sz="2" w:space="0"/>
                    <w:right w:val="single" w:color="auto" w:sz="6" w:space="0"/>
                  </w:tcBorders>
                  <w:vAlign w:val="center"/>
                </w:tcPr>
                <w:p>
                  <w:pPr>
                    <w:pStyle w:val="47"/>
                    <w:jc w:val="both"/>
                    <w:rPr>
                      <w:lang w:val="zh-CN"/>
                    </w:rPr>
                  </w:pPr>
                  <w:r>
                    <w:rPr>
                      <w:rFonts w:hint="eastAsia"/>
                    </w:rPr>
                    <w:t>调漆、涂装、流平、晾干、烘干等工序应在密闭环境（船体等大型工件涂装及补漆确实不能实施密闭作业的除外）中进行，加强有机废气的收集与处理</w:t>
                  </w:r>
                </w:p>
              </w:tc>
              <w:tc>
                <w:tcPr>
                  <w:tcW w:w="1676" w:type="pct"/>
                  <w:tcBorders>
                    <w:top w:val="single" w:color="auto" w:sz="6" w:space="0"/>
                    <w:left w:val="single" w:color="auto" w:sz="6" w:space="0"/>
                    <w:bottom w:val="single" w:color="auto" w:sz="2" w:space="0"/>
                    <w:right w:val="single" w:color="auto" w:sz="2" w:space="0"/>
                  </w:tcBorders>
                  <w:vAlign w:val="center"/>
                </w:tcPr>
                <w:p>
                  <w:pPr>
                    <w:pStyle w:val="47"/>
                    <w:jc w:val="both"/>
                    <w:rPr>
                      <w:lang w:val="zh-CN"/>
                    </w:rPr>
                  </w:pPr>
                  <w:r>
                    <w:rPr>
                      <w:rFonts w:hint="eastAsia"/>
                      <w:lang w:val="zh-CN"/>
                    </w:rPr>
                    <w:t>本项目</w:t>
                  </w:r>
                  <w:r>
                    <w:rPr>
                      <w:rFonts w:hint="eastAsia"/>
                    </w:rPr>
                    <w:t>浸漆、烘干均</w:t>
                  </w:r>
                  <w:r>
                    <w:rPr>
                      <w:rFonts w:hint="eastAsia"/>
                      <w:lang w:val="zh-CN"/>
                    </w:rPr>
                    <w:t>在独立密闭车间内进行，有机废气均能有效的收集与处理</w:t>
                  </w:r>
                </w:p>
              </w:tc>
              <w:tc>
                <w:tcPr>
                  <w:tcW w:w="401" w:type="pct"/>
                  <w:tcBorders>
                    <w:top w:val="single" w:color="auto" w:sz="6" w:space="0"/>
                    <w:left w:val="single" w:color="auto" w:sz="6" w:space="0"/>
                    <w:bottom w:val="single" w:color="auto" w:sz="2" w:space="0"/>
                    <w:right w:val="single" w:color="auto" w:sz="2" w:space="0"/>
                  </w:tcBorders>
                  <w:vAlign w:val="center"/>
                </w:tcPr>
                <w:p>
                  <w:pPr>
                    <w:pStyle w:val="47"/>
                    <w:rPr>
                      <w:lang w:val="zh-CN"/>
                    </w:rPr>
                  </w:pPr>
                  <w:r>
                    <w:rPr>
                      <w:rFonts w:hint="eastAsia"/>
                      <w:lang w:val="zh-CN"/>
                    </w:rPr>
                    <w:t>符合</w:t>
                  </w:r>
                </w:p>
              </w:tc>
            </w:tr>
          </w:tbl>
          <w:p>
            <w:pPr>
              <w:spacing w:before="120" w:beforeLines="50"/>
              <w:ind w:firstLine="480"/>
            </w:pPr>
            <w:r>
              <w:rPr>
                <w:rFonts w:hint="eastAsia"/>
              </w:rPr>
              <w:t>4、《重点行业挥发性有机物综合治理方案》</w:t>
            </w:r>
          </w:p>
          <w:p>
            <w:pPr>
              <w:ind w:firstLine="480"/>
            </w:pPr>
            <w:r>
              <w:rPr>
                <w:rFonts w:hint="eastAsia"/>
              </w:rPr>
              <w:t>参照《重点行业挥发性有机物综合治理方案》（环大气[2019]53号）中相关污染整治要求，本项目实施情况与整治要求符合性分析见表9-8。</w:t>
            </w:r>
          </w:p>
          <w:p>
            <w:pPr>
              <w:autoSpaceDE w:val="0"/>
              <w:autoSpaceDN w:val="0"/>
              <w:adjustRightInd w:val="0"/>
              <w:spacing w:line="240" w:lineRule="auto"/>
              <w:ind w:firstLine="0" w:firstLineChars="0"/>
              <w:jc w:val="center"/>
              <w:textAlignment w:val="auto"/>
              <w:rPr>
                <w:b/>
                <w:kern w:val="0"/>
                <w:sz w:val="21"/>
              </w:rPr>
            </w:pPr>
            <w:r>
              <w:rPr>
                <w:rFonts w:hint="eastAsia"/>
                <w:b/>
                <w:kern w:val="0"/>
                <w:sz w:val="21"/>
              </w:rPr>
              <w:t>表9</w:t>
            </w:r>
            <w:r>
              <w:rPr>
                <w:b/>
                <w:kern w:val="0"/>
                <w:sz w:val="21"/>
              </w:rPr>
              <w:t>-</w:t>
            </w:r>
            <w:r>
              <w:rPr>
                <w:rFonts w:hint="eastAsia"/>
                <w:b/>
                <w:kern w:val="0"/>
                <w:sz w:val="21"/>
              </w:rPr>
              <w:t>8</w:t>
            </w:r>
            <w:r>
              <w:rPr>
                <w:b/>
                <w:kern w:val="0"/>
                <w:sz w:val="21"/>
              </w:rPr>
              <w:t xml:space="preserve">  </w:t>
            </w:r>
            <w:r>
              <w:rPr>
                <w:rFonts w:hint="eastAsia"/>
                <w:b/>
                <w:kern w:val="0"/>
                <w:sz w:val="21"/>
              </w:rPr>
              <w:t>《重点行业挥发性有机物综合治理方案》符合性分析</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8"/>
              <w:gridCol w:w="5316"/>
              <w:gridCol w:w="2075"/>
              <w:gridCol w:w="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 w:type="pct"/>
                  <w:tcBorders>
                    <w:top w:val="single" w:color="auto" w:sz="4" w:space="0"/>
                    <w:left w:val="single" w:color="auto" w:sz="4" w:space="0"/>
                    <w:bottom w:val="single" w:color="auto" w:sz="4" w:space="0"/>
                    <w:right w:val="single" w:color="auto" w:sz="4" w:space="0"/>
                  </w:tcBorders>
                  <w:vAlign w:val="center"/>
                </w:tcPr>
                <w:p>
                  <w:pPr>
                    <w:pStyle w:val="46"/>
                  </w:pPr>
                  <w:r>
                    <w:rPr>
                      <w:rFonts w:hint="eastAsia"/>
                    </w:rPr>
                    <w:t>序号</w:t>
                  </w:r>
                </w:p>
              </w:tc>
              <w:tc>
                <w:tcPr>
                  <w:tcW w:w="3048" w:type="pct"/>
                  <w:tcBorders>
                    <w:top w:val="single" w:color="auto" w:sz="4" w:space="0"/>
                    <w:left w:val="single" w:color="auto" w:sz="4" w:space="0"/>
                    <w:bottom w:val="single" w:color="auto" w:sz="4" w:space="0"/>
                    <w:right w:val="single" w:color="auto" w:sz="4" w:space="0"/>
                  </w:tcBorders>
                  <w:vAlign w:val="center"/>
                </w:tcPr>
                <w:p>
                  <w:pPr>
                    <w:pStyle w:val="46"/>
                  </w:pPr>
                  <w:r>
                    <w:rPr>
                      <w:rFonts w:hint="eastAsia"/>
                    </w:rPr>
                    <w:t>整治要求</w:t>
                  </w:r>
                </w:p>
              </w:tc>
              <w:tc>
                <w:tcPr>
                  <w:tcW w:w="1190" w:type="pct"/>
                  <w:tcBorders>
                    <w:top w:val="single" w:color="auto" w:sz="4" w:space="0"/>
                    <w:left w:val="single" w:color="auto" w:sz="4" w:space="0"/>
                    <w:bottom w:val="single" w:color="auto" w:sz="4" w:space="0"/>
                    <w:right w:val="single" w:color="auto" w:sz="4" w:space="0"/>
                  </w:tcBorders>
                  <w:vAlign w:val="center"/>
                </w:tcPr>
                <w:p>
                  <w:pPr>
                    <w:pStyle w:val="46"/>
                  </w:pPr>
                  <w:r>
                    <w:rPr>
                      <w:rFonts w:hint="eastAsia"/>
                    </w:rPr>
                    <w:t>本项目情况</w:t>
                  </w:r>
                </w:p>
              </w:tc>
              <w:tc>
                <w:tcPr>
                  <w:tcW w:w="400" w:type="pct"/>
                  <w:tcBorders>
                    <w:top w:val="single" w:color="auto" w:sz="4" w:space="0"/>
                    <w:left w:val="single" w:color="auto" w:sz="4" w:space="0"/>
                    <w:bottom w:val="single" w:color="auto" w:sz="4" w:space="0"/>
                    <w:right w:val="single" w:color="auto" w:sz="4" w:space="0"/>
                  </w:tcBorders>
                  <w:vAlign w:val="center"/>
                </w:tcPr>
                <w:p>
                  <w:pPr>
                    <w:pStyle w:val="46"/>
                  </w:pPr>
                  <w:r>
                    <w:rPr>
                      <w:rFonts w:hint="eastAsia"/>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60" w:type="pct"/>
                  <w:tcBorders>
                    <w:top w:val="single" w:color="auto" w:sz="4" w:space="0"/>
                    <w:left w:val="single" w:color="auto" w:sz="4" w:space="0"/>
                    <w:bottom w:val="single" w:color="auto" w:sz="4" w:space="0"/>
                    <w:right w:val="single" w:color="auto" w:sz="4" w:space="0"/>
                  </w:tcBorders>
                  <w:vAlign w:val="center"/>
                </w:tcPr>
                <w:p>
                  <w:pPr>
                    <w:pStyle w:val="47"/>
                  </w:pPr>
                  <w:r>
                    <w:t>1</w:t>
                  </w:r>
                </w:p>
              </w:tc>
              <w:tc>
                <w:tcPr>
                  <w:tcW w:w="3048" w:type="pct"/>
                  <w:tcBorders>
                    <w:top w:val="single" w:color="auto" w:sz="4" w:space="0"/>
                    <w:left w:val="single" w:color="auto" w:sz="4" w:space="0"/>
                    <w:bottom w:val="single" w:color="auto" w:sz="4" w:space="0"/>
                    <w:right w:val="single" w:color="auto" w:sz="4" w:space="0"/>
                  </w:tcBorders>
                  <w:vAlign w:val="center"/>
                </w:tcPr>
                <w:p>
                  <w:pPr>
                    <w:pStyle w:val="47"/>
                    <w:jc w:val="both"/>
                  </w:pPr>
                  <w:r>
                    <w:rPr>
                      <w:rFonts w:hint="eastAsia"/>
                    </w:rPr>
                    <w:t>强化源头控制，加快使用粉末、水性、</w:t>
                  </w:r>
                  <w:r>
                    <w:rPr>
                      <w:rFonts w:hint="eastAsia"/>
                      <w:lang w:eastAsia="zh-CN"/>
                    </w:rPr>
                    <w:t>高固体份</w:t>
                  </w:r>
                  <w:r>
                    <w:rPr>
                      <w:rFonts w:hint="eastAsia"/>
                    </w:rPr>
                    <w:t>、辐射固化等低</w:t>
                  </w:r>
                  <w:r>
                    <w:t>VOCs</w:t>
                  </w:r>
                  <w:r>
                    <w:rPr>
                      <w:rFonts w:hint="eastAsia"/>
                    </w:rPr>
                    <w:t>含量的涂料替代溶剂型涂料。重点区域汽车制造底漆大力推广使用水性涂料，乘用车中涂、色漆大力推广使用</w:t>
                  </w:r>
                  <w:r>
                    <w:rPr>
                      <w:rFonts w:hint="eastAsia"/>
                      <w:lang w:eastAsia="zh-CN"/>
                    </w:rPr>
                    <w:t>高固体份</w:t>
                  </w:r>
                  <w:r>
                    <w:rPr>
                      <w:rFonts w:hint="eastAsia"/>
                    </w:rPr>
                    <w:t>或水性涂料，加快客车、货车等中涂、色漆改造。钢制集装箱制造在箱内、箱外、木地板涂装等工序大力推广使用水性涂料，在确保防腐蚀功能的前提下，加快推进特种集装箱采用水性涂料。木质家具制造大力推广使用水性、辐射固化、粉末等涂料和水性胶粘剂；金属家具制造大力推广使用粉末涂料；软体家具制造大力推广使用水性胶粘剂。工程机械制造大力推广使用水性、粉末和</w:t>
                  </w:r>
                  <w:r>
                    <w:rPr>
                      <w:rFonts w:hint="eastAsia"/>
                      <w:lang w:eastAsia="zh-CN"/>
                    </w:rPr>
                    <w:t>高固体份</w:t>
                  </w:r>
                  <w:r>
                    <w:rPr>
                      <w:rFonts w:hint="eastAsia"/>
                    </w:rPr>
                    <w:t>涂料。电子产品制造推广使用粉末、水性、辐射固化等涂料。</w:t>
                  </w:r>
                </w:p>
              </w:tc>
              <w:tc>
                <w:tcPr>
                  <w:tcW w:w="1190" w:type="pct"/>
                  <w:tcBorders>
                    <w:top w:val="single" w:color="auto" w:sz="4" w:space="0"/>
                    <w:left w:val="single" w:color="auto" w:sz="4" w:space="0"/>
                    <w:bottom w:val="single" w:color="auto" w:sz="4" w:space="0"/>
                    <w:right w:val="single" w:color="auto" w:sz="4" w:space="0"/>
                  </w:tcBorders>
                  <w:vAlign w:val="center"/>
                </w:tcPr>
                <w:p>
                  <w:pPr>
                    <w:pStyle w:val="47"/>
                    <w:jc w:val="both"/>
                  </w:pPr>
                  <w:r>
                    <w:rPr>
                      <w:rFonts w:hint="eastAsia"/>
                    </w:rPr>
                    <w:t>本项目为</w:t>
                  </w:r>
                  <w:r>
                    <w:rPr>
                      <w:rFonts w:hint="eastAsia"/>
                      <w:szCs w:val="24"/>
                    </w:rPr>
                    <w:t xml:space="preserve">C346 </w:t>
                  </w:r>
                  <w:r>
                    <w:rPr>
                      <w:rFonts w:hint="eastAsia"/>
                    </w:rPr>
                    <w:t>烘炉、风机、包装等设备制造，属于通用设备制造业，全部使用</w:t>
                  </w:r>
                  <w:r>
                    <w:rPr>
                      <w:rFonts w:hint="eastAsia"/>
                      <w:lang w:eastAsia="zh-CN"/>
                    </w:rPr>
                    <w:t>高固体份</w:t>
                  </w:r>
                  <w:r>
                    <w:rPr>
                      <w:rFonts w:hint="eastAsia"/>
                    </w:rPr>
                    <w:t>环境友好型涂料。</w:t>
                  </w:r>
                </w:p>
              </w:tc>
              <w:tc>
                <w:tcPr>
                  <w:tcW w:w="400"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 w:type="pct"/>
                  <w:tcBorders>
                    <w:top w:val="single" w:color="auto" w:sz="4" w:space="0"/>
                    <w:left w:val="single" w:color="auto" w:sz="4" w:space="0"/>
                    <w:bottom w:val="single" w:color="auto" w:sz="4" w:space="0"/>
                    <w:right w:val="single" w:color="auto" w:sz="4" w:space="0"/>
                  </w:tcBorders>
                  <w:vAlign w:val="center"/>
                </w:tcPr>
                <w:p>
                  <w:pPr>
                    <w:pStyle w:val="47"/>
                  </w:pPr>
                  <w:r>
                    <w:t>2</w:t>
                  </w:r>
                </w:p>
              </w:tc>
              <w:tc>
                <w:tcPr>
                  <w:tcW w:w="3048" w:type="pct"/>
                  <w:tcBorders>
                    <w:top w:val="single" w:color="auto" w:sz="4" w:space="0"/>
                    <w:left w:val="single" w:color="auto" w:sz="4" w:space="0"/>
                    <w:bottom w:val="single" w:color="auto" w:sz="4" w:space="0"/>
                    <w:right w:val="single" w:color="auto" w:sz="4" w:space="0"/>
                  </w:tcBorders>
                  <w:vAlign w:val="center"/>
                </w:tcPr>
                <w:p>
                  <w:pPr>
                    <w:pStyle w:val="47"/>
                    <w:jc w:val="both"/>
                  </w:pPr>
                  <w:r>
                    <w:rPr>
                      <w:rFonts w:hint="eastAsia"/>
                    </w:rPr>
                    <w:t>加快推广紧凑式涂装工艺、先进涂装技术和设备。汽车制造整车生产推广使用</w:t>
                  </w:r>
                  <w:r>
                    <w:t>“</w:t>
                  </w:r>
                  <w:r>
                    <w:rPr>
                      <w:rFonts w:hint="eastAsia"/>
                    </w:rPr>
                    <w:t>三涂一烘</w:t>
                  </w:r>
                  <w:r>
                    <w:t>”“</w:t>
                  </w:r>
                  <w:r>
                    <w:rPr>
                      <w:rFonts w:hint="eastAsia"/>
                    </w:rPr>
                    <w:t>两涂一烘</w:t>
                  </w:r>
                  <w:r>
                    <w:t>”</w:t>
                  </w:r>
                  <w:r>
                    <w:rPr>
                      <w:rFonts w:hint="eastAsia"/>
                    </w:rPr>
                    <w:t>或免中涂等紧凑型工艺、静电喷涂技术、自动化喷涂设备。汽车金属零配件企业鼓励采用粉末静电喷涂技术。集装箱制造次打砂工序钢板处理采用辊涂工艺。木质家具推广使用高效的往复式喷涂箱、机械手和静电喷涂技术。板式家具采用喷涂工艺的，推广使用粉末静电喷涂技术；采用溶剂型、辐射固化涂料的，推广使用辊涂、淋涂等工艺。工程机械制造要提高室内涂装比例，鼓励采用自动喷涂、静电喷涂等技术。电子产品制造推广使用静电喷涂等技术。</w:t>
                  </w:r>
                </w:p>
              </w:tc>
              <w:tc>
                <w:tcPr>
                  <w:tcW w:w="1190" w:type="pct"/>
                  <w:tcBorders>
                    <w:top w:val="single" w:color="auto" w:sz="4" w:space="0"/>
                    <w:left w:val="single" w:color="auto" w:sz="4" w:space="0"/>
                    <w:bottom w:val="single" w:color="auto" w:sz="4" w:space="0"/>
                    <w:right w:val="single" w:color="auto" w:sz="4" w:space="0"/>
                  </w:tcBorders>
                  <w:vAlign w:val="center"/>
                </w:tcPr>
                <w:p>
                  <w:pPr>
                    <w:pStyle w:val="47"/>
                    <w:jc w:val="both"/>
                  </w:pPr>
                  <w:r>
                    <w:rPr>
                      <w:rFonts w:hint="eastAsia"/>
                    </w:rPr>
                    <w:t>本项目采用真空浸漆技术。</w:t>
                  </w:r>
                </w:p>
              </w:tc>
              <w:tc>
                <w:tcPr>
                  <w:tcW w:w="400"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 w:type="pct"/>
                  <w:tcBorders>
                    <w:top w:val="single" w:color="auto" w:sz="4" w:space="0"/>
                    <w:left w:val="single" w:color="auto" w:sz="4" w:space="0"/>
                    <w:bottom w:val="single" w:color="auto" w:sz="4" w:space="0"/>
                    <w:right w:val="single" w:color="auto" w:sz="4" w:space="0"/>
                  </w:tcBorders>
                  <w:vAlign w:val="center"/>
                </w:tcPr>
                <w:p>
                  <w:pPr>
                    <w:pStyle w:val="47"/>
                  </w:pPr>
                  <w:r>
                    <w:t>3</w:t>
                  </w:r>
                </w:p>
              </w:tc>
              <w:tc>
                <w:tcPr>
                  <w:tcW w:w="3048" w:type="pct"/>
                  <w:tcBorders>
                    <w:top w:val="single" w:color="auto" w:sz="4" w:space="0"/>
                    <w:left w:val="single" w:color="auto" w:sz="4" w:space="0"/>
                    <w:bottom w:val="single" w:color="auto" w:sz="4" w:space="0"/>
                    <w:right w:val="single" w:color="auto" w:sz="4" w:space="0"/>
                  </w:tcBorders>
                  <w:vAlign w:val="center"/>
                </w:tcPr>
                <w:p>
                  <w:pPr>
                    <w:pStyle w:val="47"/>
                    <w:jc w:val="both"/>
                  </w:pPr>
                  <w:r>
                    <w:rPr>
                      <w:rFonts w:hint="eastAsia"/>
                    </w:rPr>
                    <w:t>有效控制无组织排放。涂料、稀释剂、清洗剂等原辅材料应密闭存储，调配、使用、回收等过程应采用密闭设备或在密闭空间内操作，采用密闭管道或密闭容器等输送。除大型工件外，禁止敞开式喷涂、晾（风）干作业。除工艺限制外，原则上实行集中调配。调配、喷涂和干燥等</w:t>
                  </w:r>
                  <w:r>
                    <w:t>VOCs</w:t>
                  </w:r>
                  <w:r>
                    <w:rPr>
                      <w:rFonts w:hint="eastAsia"/>
                    </w:rPr>
                    <w:t>排放工序应配备有效的废气收集系统。</w:t>
                  </w:r>
                </w:p>
              </w:tc>
              <w:tc>
                <w:tcPr>
                  <w:tcW w:w="1190" w:type="pct"/>
                  <w:tcBorders>
                    <w:top w:val="single" w:color="auto" w:sz="4" w:space="0"/>
                    <w:left w:val="single" w:color="auto" w:sz="4" w:space="0"/>
                    <w:bottom w:val="single" w:color="auto" w:sz="4" w:space="0"/>
                    <w:right w:val="single" w:color="auto" w:sz="4" w:space="0"/>
                  </w:tcBorders>
                  <w:vAlign w:val="center"/>
                </w:tcPr>
                <w:p>
                  <w:pPr>
                    <w:pStyle w:val="47"/>
                    <w:jc w:val="both"/>
                  </w:pPr>
                  <w:r>
                    <w:rPr>
                      <w:rFonts w:hint="eastAsia"/>
                    </w:rPr>
                    <w:t>本项目</w:t>
                  </w:r>
                  <w:r>
                    <w:t>VOCs</w:t>
                  </w:r>
                  <w:r>
                    <w:rPr>
                      <w:rFonts w:hint="eastAsia"/>
                    </w:rPr>
                    <w:t>废气总收集效率较高。原辅材料密闭存储，使用、回收等过程在密闭空间内操作，采用密闭管道输送。浸漆、烘干等</w:t>
                  </w:r>
                  <w:r>
                    <w:t>VOCs</w:t>
                  </w:r>
                  <w:r>
                    <w:rPr>
                      <w:rFonts w:hint="eastAsia"/>
                    </w:rPr>
                    <w:t>排放工序配备有效的废气收集系统。</w:t>
                  </w:r>
                </w:p>
              </w:tc>
              <w:tc>
                <w:tcPr>
                  <w:tcW w:w="400"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 w:type="pct"/>
                  <w:tcBorders>
                    <w:top w:val="single" w:color="auto" w:sz="4" w:space="0"/>
                    <w:left w:val="single" w:color="auto" w:sz="4" w:space="0"/>
                    <w:bottom w:val="single" w:color="auto" w:sz="4" w:space="0"/>
                    <w:right w:val="single" w:color="auto" w:sz="4" w:space="0"/>
                  </w:tcBorders>
                  <w:vAlign w:val="center"/>
                </w:tcPr>
                <w:p>
                  <w:pPr>
                    <w:pStyle w:val="47"/>
                  </w:pPr>
                  <w:r>
                    <w:t>4</w:t>
                  </w:r>
                </w:p>
              </w:tc>
              <w:tc>
                <w:tcPr>
                  <w:tcW w:w="3048" w:type="pct"/>
                  <w:tcBorders>
                    <w:top w:val="single" w:color="auto" w:sz="4" w:space="0"/>
                    <w:left w:val="single" w:color="auto" w:sz="4" w:space="0"/>
                    <w:bottom w:val="single" w:color="auto" w:sz="4" w:space="0"/>
                    <w:right w:val="single" w:color="auto" w:sz="4" w:space="0"/>
                  </w:tcBorders>
                  <w:vAlign w:val="center"/>
                </w:tcPr>
                <w:p>
                  <w:pPr>
                    <w:pStyle w:val="47"/>
                    <w:jc w:val="both"/>
                  </w:pPr>
                  <w:r>
                    <w:rPr>
                      <w:rFonts w:hint="eastAsia"/>
                    </w:rPr>
                    <w:t>推进建设适宜高效的治污设施。喷涂废气应设置高效漆雾处理装置。喷涂、晾（风）干废气宜采用吸附浓缩</w:t>
                  </w:r>
                  <w:r>
                    <w:t>+</w:t>
                  </w:r>
                  <w:r>
                    <w:rPr>
                      <w:rFonts w:hint="eastAsia"/>
                    </w:rPr>
                    <w:t>燃烧处理方式，小风量的可采用一次性活性炭吸附等工艺。调配、流平等废气可与喷涂、晾（风）干废气一并处理。使用溶剂型涂料的生产线，烘干废气宜采用燃烧方式单独处理，具备条件的可采用回收式热力燃烧装置。</w:t>
                  </w:r>
                </w:p>
              </w:tc>
              <w:tc>
                <w:tcPr>
                  <w:tcW w:w="1190" w:type="pct"/>
                  <w:tcBorders>
                    <w:top w:val="single" w:color="auto" w:sz="4" w:space="0"/>
                    <w:left w:val="single" w:color="auto" w:sz="4" w:space="0"/>
                    <w:bottom w:val="single" w:color="auto" w:sz="4" w:space="0"/>
                    <w:right w:val="single" w:color="auto" w:sz="4" w:space="0"/>
                  </w:tcBorders>
                  <w:vAlign w:val="center"/>
                </w:tcPr>
                <w:p>
                  <w:pPr>
                    <w:pStyle w:val="47"/>
                    <w:jc w:val="both"/>
                  </w:pPr>
                  <w:r>
                    <w:rPr>
                      <w:rFonts w:hint="eastAsia"/>
                    </w:rPr>
                    <w:t>本项目全部使用</w:t>
                  </w:r>
                  <w:r>
                    <w:rPr>
                      <w:rFonts w:hint="eastAsia"/>
                      <w:lang w:eastAsia="zh-CN"/>
                    </w:rPr>
                    <w:t>高固体份</w:t>
                  </w:r>
                  <w:r>
                    <w:rPr>
                      <w:rFonts w:hint="eastAsia"/>
                    </w:rPr>
                    <w:t>环境友好型涂料，对车间废气进行整体收集且废气产生量较少，故废气处理工艺采用“一级活性炭+二级活性炭”吸附处理。</w:t>
                  </w:r>
                </w:p>
              </w:tc>
              <w:tc>
                <w:tcPr>
                  <w:tcW w:w="400"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符合</w:t>
                  </w:r>
                </w:p>
              </w:tc>
            </w:tr>
          </w:tbl>
          <w:p>
            <w:pPr>
              <w:ind w:firstLine="480"/>
            </w:pPr>
            <w:r>
              <w:rPr>
                <w:rFonts w:hint="eastAsia"/>
              </w:rPr>
              <w:t>综上所述，本项目实施后能够满足《浙江省涂装行业挥发性有机物污染整治规范》（浙环函[2015]402号）、《温州市电器及元件制造业挥发性有机物污染整治规范》（浙环办函[2016]56号）、《重点行业挥发性有机物综合治理方案》（环大气[2019]53号）、《浙江省挥发性有机物深化治理与减排工作方案（2017~2020年）》（浙环发[2017]41号）等文件提出的整治要求。另外，对照《国务院关于印发打赢蓝天保卫战三年行动计划的通知》（国发[2018]22号）和《浙江省人民政府关于印发浙江省打赢蓝天保卫战三年行动计划的通知》（浙政发[2018]35号）中的要求，重点区域禁止建设生产和使用高VOCs含量的溶剂型涂料、油墨、胶粘剂等项目，本项目全部采用</w:t>
            </w:r>
            <w:r>
              <w:rPr>
                <w:rFonts w:hint="eastAsia"/>
                <w:lang w:eastAsia="zh-CN"/>
              </w:rPr>
              <w:t>高固体份</w:t>
            </w:r>
            <w:r>
              <w:rPr>
                <w:rFonts w:hint="eastAsia"/>
              </w:rPr>
              <w:t>环境友好型涂料，且非甲烷总烃废气均进行了收集处理，因此均满足相关文件要求。要求企业后续进一步加强管理，严格按照规章制度及相关标准文件进行安全生产。</w:t>
            </w:r>
          </w:p>
          <w:p>
            <w:pPr>
              <w:pStyle w:val="5"/>
            </w:pPr>
            <w:r>
              <w:t>9.3排污许可证管理制度</w:t>
            </w:r>
          </w:p>
          <w:p>
            <w:pPr>
              <w:ind w:firstLine="480"/>
            </w:pPr>
            <w:r>
              <w:t>为贯彻落实《控制污染物排放许可制实施方案》（国办发[2016]81号）的要求，实现环评制度与排污许可制度的有机衔接，通过全国建设项目环评审批文件辅助生成系统的建设，强化环评制度的有效性，实现污染源管理上的全面对接和管理要求的一贯制，环境保护部于2018年01月10日发布了《排污许可管理办法》（部令第48号），根据《排污许可管理办法》（部令第48号）的有关规定，排污单位应当依法持有排污许可证，并按照排污许可证的规定排放污染物，因此企业应当在启动生产设施或者发生实际排污之前申请</w:t>
            </w:r>
            <w:r>
              <w:rPr>
                <w:rFonts w:hint="eastAsia"/>
              </w:rPr>
              <w:t>取得</w:t>
            </w:r>
            <w:r>
              <w:t>排污许可证。</w:t>
            </w:r>
          </w:p>
          <w:p>
            <w:pPr>
              <w:ind w:firstLine="480"/>
            </w:pPr>
            <w:r>
              <w:t>根据生态环境部2019年12月20日发布的《固定污染源排污许可分类管理名录》（2019年版）（部令第11号），本</w:t>
            </w:r>
            <w:r>
              <w:rPr>
                <w:szCs w:val="22"/>
              </w:rPr>
              <w:t>项目主要</w:t>
            </w:r>
            <w:r>
              <w:rPr>
                <w:rFonts w:hint="eastAsia"/>
                <w:szCs w:val="22"/>
              </w:rPr>
              <w:t>从事精密配件、后倾离心风机的生产</w:t>
            </w:r>
            <w:r>
              <w:rPr>
                <w:szCs w:val="22"/>
              </w:rPr>
              <w:t>，</w:t>
            </w:r>
            <w:r>
              <w:rPr>
                <w:rFonts w:hint="eastAsia"/>
              </w:rPr>
              <w:t>属于国民经济行业分类中“</w:t>
            </w:r>
            <w:r>
              <w:rPr>
                <w:rFonts w:hint="eastAsia"/>
                <w:szCs w:val="24"/>
              </w:rPr>
              <w:t>C346 烘炉、风机、包装等设备制造</w:t>
            </w:r>
            <w:r>
              <w:rPr>
                <w:rFonts w:hint="eastAsia"/>
              </w:rPr>
              <w:t>”</w:t>
            </w:r>
            <w:r>
              <w:rPr>
                <w:szCs w:val="22"/>
              </w:rPr>
              <w:t>，因此本项目污染源排污许可类别判别具体见表9-</w:t>
            </w:r>
            <w:r>
              <w:rPr>
                <w:rFonts w:hint="eastAsia"/>
                <w:szCs w:val="22"/>
              </w:rPr>
              <w:t>9</w:t>
            </w:r>
            <w:r>
              <w:rPr>
                <w:szCs w:val="22"/>
              </w:rPr>
              <w:t>。</w:t>
            </w:r>
          </w:p>
          <w:p>
            <w:pPr>
              <w:pStyle w:val="46"/>
            </w:pPr>
            <w:r>
              <w:t>表9-</w:t>
            </w:r>
            <w:r>
              <w:rPr>
                <w:rFonts w:hint="eastAsia"/>
              </w:rPr>
              <w:t xml:space="preserve">9 </w:t>
            </w:r>
            <w:r>
              <w:t xml:space="preserve"> 本项目污染源排污许可类别判别表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2441"/>
              <w:gridCol w:w="1198"/>
              <w:gridCol w:w="2359"/>
              <w:gridCol w:w="1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 w:type="pct"/>
                  <w:vAlign w:val="center"/>
                </w:tcPr>
                <w:p>
                  <w:pPr>
                    <w:pStyle w:val="46"/>
                  </w:pPr>
                  <w:r>
                    <w:t>序号</w:t>
                  </w:r>
                </w:p>
              </w:tc>
              <w:tc>
                <w:tcPr>
                  <w:tcW w:w="1400" w:type="pct"/>
                  <w:vAlign w:val="center"/>
                </w:tcPr>
                <w:p>
                  <w:pPr>
                    <w:pStyle w:val="46"/>
                  </w:pPr>
                  <w:r>
                    <w:t>行业类别</w:t>
                  </w:r>
                </w:p>
              </w:tc>
              <w:tc>
                <w:tcPr>
                  <w:tcW w:w="687" w:type="pct"/>
                  <w:vAlign w:val="center"/>
                </w:tcPr>
                <w:p>
                  <w:pPr>
                    <w:pStyle w:val="46"/>
                  </w:pPr>
                  <w:r>
                    <w:t>重点管理</w:t>
                  </w:r>
                </w:p>
              </w:tc>
              <w:tc>
                <w:tcPr>
                  <w:tcW w:w="1353" w:type="pct"/>
                  <w:vAlign w:val="center"/>
                </w:tcPr>
                <w:p>
                  <w:pPr>
                    <w:pStyle w:val="46"/>
                  </w:pPr>
                  <w:r>
                    <w:t>简化管理</w:t>
                  </w:r>
                </w:p>
              </w:tc>
              <w:tc>
                <w:tcPr>
                  <w:tcW w:w="1142" w:type="pct"/>
                  <w:vAlign w:val="center"/>
                </w:tcPr>
                <w:p>
                  <w:pPr>
                    <w:pStyle w:val="46"/>
                  </w:pPr>
                  <w:r>
                    <w:t>登记管理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vAlign w:val="center"/>
                </w:tcPr>
                <w:p>
                  <w:pPr>
                    <w:pStyle w:val="46"/>
                    <w:jc w:val="both"/>
                  </w:pPr>
                  <w:r>
                    <w:rPr>
                      <w:rFonts w:hint="eastAsia"/>
                    </w:rPr>
                    <w:t>二十九、通用设备制造业 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 w:type="pct"/>
                  <w:vAlign w:val="center"/>
                </w:tcPr>
                <w:p>
                  <w:pPr>
                    <w:pStyle w:val="47"/>
                    <w:rPr>
                      <w:szCs w:val="21"/>
                    </w:rPr>
                  </w:pPr>
                  <w:r>
                    <w:rPr>
                      <w:rFonts w:hint="eastAsia"/>
                      <w:szCs w:val="21"/>
                    </w:rPr>
                    <w:t>83</w:t>
                  </w:r>
                </w:p>
              </w:tc>
              <w:tc>
                <w:tcPr>
                  <w:tcW w:w="1400" w:type="pct"/>
                  <w:vAlign w:val="center"/>
                </w:tcPr>
                <w:p>
                  <w:pPr>
                    <w:pStyle w:val="47"/>
                    <w:rPr>
                      <w:szCs w:val="21"/>
                    </w:rPr>
                  </w:pPr>
                  <w:r>
                    <w:rPr>
                      <w:rFonts w:hint="eastAsia"/>
                      <w:szCs w:val="21"/>
                    </w:rPr>
                    <w:t>锅炉及原动设备制造341，金属加工机械制造 342，物料搬运设备制造343，泵、阀门、压缩机及类似机械制造 344，轴承、齿轮和传动部件制造345，烘炉、风机、包装等设备制造346，文化、办公用机械制造 347，通用零部件制造 348，其他通用设备制造业 349</w:t>
                  </w:r>
                </w:p>
              </w:tc>
              <w:tc>
                <w:tcPr>
                  <w:tcW w:w="687" w:type="pct"/>
                  <w:vAlign w:val="center"/>
                </w:tcPr>
                <w:p>
                  <w:pPr>
                    <w:pStyle w:val="47"/>
                    <w:rPr>
                      <w:szCs w:val="21"/>
                    </w:rPr>
                  </w:pPr>
                  <w:r>
                    <w:rPr>
                      <w:szCs w:val="21"/>
                    </w:rPr>
                    <w:t>涉及通用工序重点管理的</w:t>
                  </w:r>
                </w:p>
              </w:tc>
              <w:tc>
                <w:tcPr>
                  <w:tcW w:w="1353" w:type="pct"/>
                  <w:vAlign w:val="center"/>
                </w:tcPr>
                <w:p>
                  <w:pPr>
                    <w:pStyle w:val="47"/>
                    <w:rPr>
                      <w:szCs w:val="21"/>
                    </w:rPr>
                  </w:pPr>
                  <w:r>
                    <w:rPr>
                      <w:szCs w:val="21"/>
                    </w:rPr>
                    <w:t>涉及通用工序简化管理的</w:t>
                  </w:r>
                </w:p>
              </w:tc>
              <w:tc>
                <w:tcPr>
                  <w:tcW w:w="1142" w:type="pct"/>
                  <w:vAlign w:val="center"/>
                </w:tcPr>
                <w:p>
                  <w:pPr>
                    <w:pStyle w:val="47"/>
                    <w:rPr>
                      <w:szCs w:val="21"/>
                    </w:rPr>
                  </w:pPr>
                  <w:r>
                    <w:rPr>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vAlign w:val="center"/>
                </w:tcPr>
                <w:p>
                  <w:pPr>
                    <w:pStyle w:val="46"/>
                    <w:jc w:val="both"/>
                  </w:pPr>
                  <w:r>
                    <w:t>五十一、通用工序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 w:type="pct"/>
                  <w:vAlign w:val="center"/>
                </w:tcPr>
                <w:p>
                  <w:pPr>
                    <w:pStyle w:val="47"/>
                    <w:rPr>
                      <w:szCs w:val="21"/>
                    </w:rPr>
                  </w:pPr>
                  <w:r>
                    <w:rPr>
                      <w:szCs w:val="21"/>
                    </w:rPr>
                    <w:t>109</w:t>
                  </w:r>
                </w:p>
              </w:tc>
              <w:tc>
                <w:tcPr>
                  <w:tcW w:w="1400" w:type="pct"/>
                  <w:vAlign w:val="center"/>
                </w:tcPr>
                <w:p>
                  <w:pPr>
                    <w:pStyle w:val="47"/>
                    <w:rPr>
                      <w:szCs w:val="21"/>
                    </w:rPr>
                  </w:pPr>
                  <w:r>
                    <w:rPr>
                      <w:szCs w:val="21"/>
                    </w:rPr>
                    <w:t>锅炉</w:t>
                  </w:r>
                </w:p>
              </w:tc>
              <w:tc>
                <w:tcPr>
                  <w:tcW w:w="687" w:type="pct"/>
                  <w:vAlign w:val="center"/>
                </w:tcPr>
                <w:p>
                  <w:pPr>
                    <w:pStyle w:val="47"/>
                    <w:rPr>
                      <w:szCs w:val="21"/>
                    </w:rPr>
                  </w:pPr>
                  <w:r>
                    <w:rPr>
                      <w:szCs w:val="21"/>
                    </w:rPr>
                    <w:t>纳入重点排污单位名录的</w:t>
                  </w:r>
                </w:p>
              </w:tc>
              <w:tc>
                <w:tcPr>
                  <w:tcW w:w="1353" w:type="pct"/>
                  <w:vAlign w:val="center"/>
                </w:tcPr>
                <w:p>
                  <w:pPr>
                    <w:pStyle w:val="47"/>
                    <w:jc w:val="left"/>
                    <w:rPr>
                      <w:szCs w:val="21"/>
                    </w:rPr>
                  </w:pPr>
                  <w:r>
                    <w:rPr>
                      <w:szCs w:val="21"/>
                    </w:rPr>
                    <w:t>除纳入重点排污单位名录的，单台或者合计出力 20 吨/小时（14 兆瓦）及以上的锅炉（不含电热锅炉）</w:t>
                  </w:r>
                </w:p>
              </w:tc>
              <w:tc>
                <w:tcPr>
                  <w:tcW w:w="1142" w:type="pct"/>
                  <w:vAlign w:val="center"/>
                </w:tcPr>
                <w:p>
                  <w:pPr>
                    <w:pStyle w:val="47"/>
                    <w:jc w:val="left"/>
                    <w:rPr>
                      <w:szCs w:val="21"/>
                    </w:rPr>
                  </w:pPr>
                  <w:r>
                    <w:rPr>
                      <w:szCs w:val="21"/>
                    </w:rPr>
                    <w:t>除纳入重点排污单位名录的，单台且合计出力 20 吨/小时（14 兆瓦）以下的锅炉（不含电热锅炉）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16" w:type="pct"/>
                  <w:vAlign w:val="center"/>
                </w:tcPr>
                <w:p>
                  <w:pPr>
                    <w:pStyle w:val="47"/>
                    <w:rPr>
                      <w:szCs w:val="21"/>
                    </w:rPr>
                  </w:pPr>
                  <w:r>
                    <w:rPr>
                      <w:szCs w:val="21"/>
                    </w:rPr>
                    <w:t>110</w:t>
                  </w:r>
                </w:p>
              </w:tc>
              <w:tc>
                <w:tcPr>
                  <w:tcW w:w="1400" w:type="pct"/>
                  <w:vAlign w:val="center"/>
                </w:tcPr>
                <w:p>
                  <w:pPr>
                    <w:pStyle w:val="47"/>
                    <w:rPr>
                      <w:szCs w:val="21"/>
                    </w:rPr>
                  </w:pPr>
                  <w:r>
                    <w:rPr>
                      <w:szCs w:val="21"/>
                    </w:rPr>
                    <w:t>工业炉窑</w:t>
                  </w:r>
                </w:p>
              </w:tc>
              <w:tc>
                <w:tcPr>
                  <w:tcW w:w="687" w:type="pct"/>
                  <w:vAlign w:val="center"/>
                </w:tcPr>
                <w:p>
                  <w:pPr>
                    <w:pStyle w:val="47"/>
                    <w:rPr>
                      <w:szCs w:val="21"/>
                    </w:rPr>
                  </w:pPr>
                  <w:r>
                    <w:rPr>
                      <w:szCs w:val="21"/>
                    </w:rPr>
                    <w:t>纳入重点排污单位名录的</w:t>
                  </w:r>
                </w:p>
              </w:tc>
              <w:tc>
                <w:tcPr>
                  <w:tcW w:w="1353" w:type="pct"/>
                  <w:vAlign w:val="center"/>
                </w:tcPr>
                <w:p>
                  <w:pPr>
                    <w:pStyle w:val="47"/>
                    <w:jc w:val="left"/>
                    <w:rPr>
                      <w:szCs w:val="21"/>
                    </w:rPr>
                  </w:pPr>
                  <w:r>
                    <w:rPr>
                      <w:szCs w:val="21"/>
                    </w:rPr>
                    <w:t>除纳入重点排污单位名录的，除以天然气或者电为能源的加热炉、热处理炉、干燥炉（窑）以外的其他工业炉窑</w:t>
                  </w:r>
                </w:p>
              </w:tc>
              <w:tc>
                <w:tcPr>
                  <w:tcW w:w="1142" w:type="pct"/>
                  <w:vAlign w:val="center"/>
                </w:tcPr>
                <w:p>
                  <w:pPr>
                    <w:pStyle w:val="47"/>
                    <w:jc w:val="left"/>
                    <w:rPr>
                      <w:szCs w:val="21"/>
                    </w:rPr>
                  </w:pPr>
                  <w:r>
                    <w:rPr>
                      <w:szCs w:val="21"/>
                    </w:rPr>
                    <w:t>除纳入重点排污单位名录的，以天然气或者电为能源的加热炉、热处理炉或者干燥炉（窑）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 w:type="pct"/>
                  <w:vAlign w:val="center"/>
                </w:tcPr>
                <w:p>
                  <w:pPr>
                    <w:pStyle w:val="47"/>
                    <w:rPr>
                      <w:szCs w:val="21"/>
                    </w:rPr>
                  </w:pPr>
                  <w:r>
                    <w:rPr>
                      <w:szCs w:val="21"/>
                    </w:rPr>
                    <w:t>111</w:t>
                  </w:r>
                </w:p>
              </w:tc>
              <w:tc>
                <w:tcPr>
                  <w:tcW w:w="1400" w:type="pct"/>
                  <w:vAlign w:val="center"/>
                </w:tcPr>
                <w:p>
                  <w:pPr>
                    <w:pStyle w:val="47"/>
                    <w:rPr>
                      <w:szCs w:val="21"/>
                    </w:rPr>
                  </w:pPr>
                  <w:r>
                    <w:rPr>
                      <w:szCs w:val="21"/>
                    </w:rPr>
                    <w:t>表面处理</w:t>
                  </w:r>
                </w:p>
              </w:tc>
              <w:tc>
                <w:tcPr>
                  <w:tcW w:w="687" w:type="pct"/>
                  <w:vAlign w:val="center"/>
                </w:tcPr>
                <w:p>
                  <w:pPr>
                    <w:pStyle w:val="47"/>
                    <w:rPr>
                      <w:szCs w:val="21"/>
                    </w:rPr>
                  </w:pPr>
                  <w:r>
                    <w:rPr>
                      <w:szCs w:val="21"/>
                    </w:rPr>
                    <w:t>纳入重点排污单位名录的</w:t>
                  </w:r>
                </w:p>
              </w:tc>
              <w:tc>
                <w:tcPr>
                  <w:tcW w:w="1353" w:type="pct"/>
                  <w:vAlign w:val="center"/>
                </w:tcPr>
                <w:p>
                  <w:pPr>
                    <w:pStyle w:val="47"/>
                    <w:jc w:val="left"/>
                    <w:rPr>
                      <w:szCs w:val="21"/>
                    </w:rPr>
                  </w:pPr>
                  <w:r>
                    <w:rPr>
                      <w:szCs w:val="21"/>
                    </w:rPr>
                    <w:t>除纳入重点排污单位名录的，有电镀工序、酸洗、抛光（电解抛光和化学抛光）、热浸镀（溶剂法）、淬火或者钝化等工序的、年使用 10 吨及以上有机溶剂的</w:t>
                  </w:r>
                </w:p>
              </w:tc>
              <w:tc>
                <w:tcPr>
                  <w:tcW w:w="1142" w:type="pct"/>
                  <w:vAlign w:val="center"/>
                </w:tcPr>
                <w:p>
                  <w:pPr>
                    <w:pStyle w:val="47"/>
                    <w:rPr>
                      <w:szCs w:val="21"/>
                    </w:rPr>
                  </w:pPr>
                  <w:r>
                    <w:rPr>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 w:type="pct"/>
                  <w:vAlign w:val="center"/>
                </w:tcPr>
                <w:p>
                  <w:pPr>
                    <w:pStyle w:val="47"/>
                    <w:rPr>
                      <w:szCs w:val="21"/>
                    </w:rPr>
                  </w:pPr>
                  <w:r>
                    <w:rPr>
                      <w:szCs w:val="21"/>
                    </w:rPr>
                    <w:t>112</w:t>
                  </w:r>
                </w:p>
              </w:tc>
              <w:tc>
                <w:tcPr>
                  <w:tcW w:w="1400" w:type="pct"/>
                  <w:vAlign w:val="center"/>
                </w:tcPr>
                <w:p>
                  <w:pPr>
                    <w:pStyle w:val="47"/>
                    <w:rPr>
                      <w:szCs w:val="21"/>
                    </w:rPr>
                  </w:pPr>
                  <w:r>
                    <w:rPr>
                      <w:szCs w:val="21"/>
                    </w:rPr>
                    <w:t>水处理</w:t>
                  </w:r>
                </w:p>
              </w:tc>
              <w:tc>
                <w:tcPr>
                  <w:tcW w:w="687" w:type="pct"/>
                  <w:vAlign w:val="center"/>
                </w:tcPr>
                <w:p>
                  <w:pPr>
                    <w:pStyle w:val="47"/>
                    <w:rPr>
                      <w:szCs w:val="21"/>
                    </w:rPr>
                  </w:pPr>
                  <w:r>
                    <w:rPr>
                      <w:szCs w:val="21"/>
                    </w:rPr>
                    <w:t>纳入重点排污单位名录的</w:t>
                  </w:r>
                </w:p>
              </w:tc>
              <w:tc>
                <w:tcPr>
                  <w:tcW w:w="1353" w:type="pct"/>
                  <w:vAlign w:val="center"/>
                </w:tcPr>
                <w:p>
                  <w:pPr>
                    <w:pStyle w:val="47"/>
                    <w:jc w:val="left"/>
                    <w:rPr>
                      <w:szCs w:val="21"/>
                    </w:rPr>
                  </w:pPr>
                  <w:r>
                    <w:rPr>
                      <w:szCs w:val="21"/>
                    </w:rPr>
                    <w:t>除纳入重点排污单位名录的，日处理能力 2 万吨及以上的水处理设施</w:t>
                  </w:r>
                </w:p>
              </w:tc>
              <w:tc>
                <w:tcPr>
                  <w:tcW w:w="1142" w:type="pct"/>
                  <w:vAlign w:val="center"/>
                </w:tcPr>
                <w:p>
                  <w:pPr>
                    <w:pStyle w:val="47"/>
                    <w:jc w:val="left"/>
                    <w:rPr>
                      <w:szCs w:val="21"/>
                    </w:rPr>
                  </w:pPr>
                  <w:r>
                    <w:rPr>
                      <w:szCs w:val="21"/>
                    </w:rPr>
                    <w:t>除纳入重点排污单位名录的，日处理能力 500 吨及以上 2 万吨以下的水处理设施</w:t>
                  </w:r>
                </w:p>
              </w:tc>
            </w:tr>
          </w:tbl>
          <w:p>
            <w:pPr>
              <w:ind w:firstLine="480"/>
            </w:pPr>
            <w:r>
              <w:t>本项目不涉及锅炉、工业炉窑、表面处理、水处理相关内容，因此不涉及通用工序中重点管理和简化管理的相关内容，根据《固定污染源排污许可分类管理名录》（2019年版），本项目污染源排污许可类别为登记管理，</w:t>
            </w:r>
            <w:r>
              <w:rPr>
                <w:rFonts w:hint="eastAsia"/>
              </w:rPr>
              <w:t>企业在</w:t>
            </w:r>
            <w:r>
              <w:rPr>
                <w:bCs/>
              </w:rPr>
              <w:t>启动生产设施或者发生实际排污之前</w:t>
            </w:r>
            <w:r>
              <w:rPr>
                <w:rFonts w:hint="eastAsia"/>
                <w:bCs/>
              </w:rPr>
              <w:t>填报排污登记表。</w:t>
            </w:r>
          </w:p>
          <w:p>
            <w:pPr>
              <w:pStyle w:val="5"/>
              <w:rPr>
                <w:kern w:val="2"/>
              </w:rPr>
            </w:pPr>
            <w:r>
              <w:rPr>
                <w:kern w:val="2"/>
              </w:rPr>
              <w:t>9.4环保建议与要求</w:t>
            </w:r>
            <w:bookmarkEnd w:id="194"/>
            <w:bookmarkEnd w:id="195"/>
          </w:p>
          <w:p>
            <w:pPr>
              <w:ind w:firstLine="480"/>
            </w:pPr>
            <w:r>
              <w:t>为保护环境，减少“三废”污染物对项目厂址周围环境的影响，本环评报告提出以下建议和要求：</w:t>
            </w:r>
          </w:p>
          <w:p>
            <w:pPr>
              <w:ind w:firstLine="480"/>
            </w:pPr>
            <w:r>
              <w:t>1、企业应认真落实环境影响评价中提到的污染防治措施，使项目污染物达标排放。</w:t>
            </w:r>
          </w:p>
          <w:p>
            <w:pPr>
              <w:ind w:firstLine="480"/>
            </w:pPr>
            <w:r>
              <w:t>2、应进行合理布局，采用国家推荐的节能产品或同类产品设备中效率较高者，积极推行清洁生产，做好清污分流，提高能源利用率。</w:t>
            </w:r>
          </w:p>
          <w:p>
            <w:pPr>
              <w:ind w:firstLine="480"/>
            </w:pPr>
            <w:r>
              <w:t>3、加强污染治理设施的运行管理，建立技术档案，定期检查、维修，使其长期处于最佳运行状态，杜绝污染物事故排放。</w:t>
            </w:r>
          </w:p>
          <w:p>
            <w:pPr>
              <w:ind w:firstLine="480"/>
            </w:pPr>
            <w:r>
              <w:t>4、建立健全环保责任制，加强对职工的环境保护意识教育，形成人人重视环境保护的生产气氛，使公司建成经济效益显著和环境优美的现代化企业。</w:t>
            </w:r>
          </w:p>
          <w:p>
            <w:pPr>
              <w:ind w:firstLine="480"/>
            </w:pPr>
            <w:r>
              <w:t>5、关心并积极听取可能受项目环境影响的附近的居民和附近单位的工作人员的反映，定期向当地环保部门汇报项目环境保护工作的情况，同时接受当地环境保护部门的监督和管理。</w:t>
            </w:r>
          </w:p>
          <w:p>
            <w:pPr>
              <w:pStyle w:val="5"/>
              <w:rPr>
                <w:kern w:val="2"/>
              </w:rPr>
            </w:pPr>
            <w:bookmarkStart w:id="196" w:name="_Toc29388610"/>
            <w:bookmarkStart w:id="197" w:name="_Toc29380659"/>
            <w:r>
              <w:rPr>
                <w:kern w:val="2"/>
              </w:rPr>
              <w:t>9.5环评总结论</w:t>
            </w:r>
            <w:bookmarkEnd w:id="196"/>
            <w:bookmarkEnd w:id="197"/>
          </w:p>
          <w:p>
            <w:pPr>
              <w:ind w:firstLine="480"/>
              <w:rPr>
                <w:szCs w:val="24"/>
              </w:rPr>
            </w:pPr>
            <w:r>
              <w:t>综上所述，嘉兴鸿博机电有限公司年产30000件精密配件、15000套后倾离心风机项目符合产业政策要求，具有较好的</w:t>
            </w:r>
            <w:r>
              <w:rPr>
                <w:szCs w:val="22"/>
              </w:rPr>
              <w:t>经济效益。符合项目</w:t>
            </w:r>
            <w:r>
              <w:rPr>
                <w:rFonts w:hint="eastAsia"/>
                <w:szCs w:val="22"/>
              </w:rPr>
              <w:t>所属环境管控单元生态环境准入清单中的各项</w:t>
            </w:r>
            <w:r>
              <w:rPr>
                <w:szCs w:val="22"/>
              </w:rPr>
              <w:t>要求，排放污染物</w:t>
            </w:r>
            <w:r>
              <w:t>符合国家和浙江省规定的污染物排放标准和主要污染物排放总量控</w:t>
            </w:r>
            <w:r>
              <w:rPr>
                <w:rFonts w:hint="eastAsia"/>
                <w:szCs w:val="22"/>
              </w:rPr>
              <w:t>制指标，符合“三线一单”控制要求。项目营运期会产生一定的污染物，经评价分析，若采用严格的科学管理和环保治理手段，可控制环境污染，对周边环境影响不大。建设单位在建设过程中须认真落实环评提出的各项环保措施，严格执行“三同时”要求，可进一步降低对环境的影响程度。在上述基础上，本项目运行现状对周边环境的影响较小</w:t>
            </w:r>
            <w:r>
              <w:rPr>
                <w:rFonts w:hint="eastAsia"/>
                <w:szCs w:val="24"/>
              </w:rPr>
              <w:t>。</w:t>
            </w:r>
          </w:p>
          <w:p>
            <w:pPr>
              <w:pStyle w:val="122"/>
              <w:spacing w:line="360" w:lineRule="auto"/>
              <w:ind w:firstLine="480" w:firstLineChars="200"/>
              <w:jc w:val="both"/>
              <w:rPr>
                <w:sz w:val="24"/>
                <w:szCs w:val="24"/>
              </w:rPr>
            </w:pPr>
            <w:r>
              <w:rPr>
                <w:sz w:val="24"/>
                <w:szCs w:val="24"/>
              </w:rPr>
              <w:t>综上所述，从环保角度而言，项目的实施是可行的。</w:t>
            </w:r>
          </w:p>
          <w:p>
            <w:pPr>
              <w:pStyle w:val="122"/>
              <w:spacing w:line="360" w:lineRule="auto"/>
              <w:ind w:firstLine="480" w:firstLineChars="200"/>
              <w:jc w:val="both"/>
              <w:rPr>
                <w:sz w:val="24"/>
                <w:szCs w:val="24"/>
              </w:rPr>
            </w:pPr>
          </w:p>
          <w:p>
            <w:pPr>
              <w:pStyle w:val="122"/>
              <w:spacing w:line="360" w:lineRule="auto"/>
              <w:ind w:firstLine="480" w:firstLineChars="200"/>
              <w:jc w:val="both"/>
              <w:rPr>
                <w:sz w:val="24"/>
                <w:szCs w:val="24"/>
              </w:rPr>
            </w:pPr>
          </w:p>
        </w:tc>
      </w:tr>
    </w:tbl>
    <w:p>
      <w:pPr>
        <w:adjustRightInd w:val="0"/>
        <w:snapToGrid w:val="0"/>
        <w:spacing w:line="480" w:lineRule="auto"/>
        <w:ind w:firstLine="601" w:firstLineChars="0"/>
        <w:rPr>
          <w:szCs w:val="24"/>
        </w:rPr>
      </w:pPr>
    </w:p>
    <w:sectPr>
      <w:footerReference r:id="rId18" w:type="default"/>
      <w:pgSz w:w="11906" w:h="16838"/>
      <w:pgMar w:top="1474" w:right="1588" w:bottom="1418" w:left="1588" w:header="851" w:footer="907" w:gutter="0"/>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Bold">
    <w:altName w:val="Times New Roman"/>
    <w:panose1 w:val="00000000000000000000"/>
    <w:charset w:val="00"/>
    <w:family w:val="roman"/>
    <w:pitch w:val="default"/>
    <w:sig w:usb0="00000000" w:usb1="00000000" w:usb2="00000000" w:usb3="00000000" w:csb0="00040001" w:csb1="00000000"/>
  </w:font>
  <w:font w:name="TimesNewRoman">
    <w:altName w:val="Times New Roman"/>
    <w:panose1 w:val="00000000000000000000"/>
    <w:charset w:val="00"/>
    <w:family w:val="roman"/>
    <w:pitch w:val="default"/>
    <w:sig w:usb0="00000000" w:usb1="00000000" w:usb2="00000000" w:usb3="00000000" w:csb0="00040001" w:csb1="00000000"/>
  </w:font>
  <w:font w:name="TimesNewRomanPS-BoldMT">
    <w:altName w:val="Times New Roman"/>
    <w:panose1 w:val="00000000000000000000"/>
    <w:charset w:val="00"/>
    <w:family w:val="roman"/>
    <w:pitch w:val="default"/>
    <w:sig w:usb0="00000000" w:usb1="00000000" w:usb2="00000000" w:usb3="00000000" w:csb0="00040001" w:csb1="00000000"/>
  </w:font>
  <w:font w:name="汉鼎简书宋">
    <w:altName w:val="宋体"/>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Garamond">
    <w:panose1 w:val="02020404030301010803"/>
    <w:charset w:val="00"/>
    <w:family w:val="roman"/>
    <w:pitch w:val="default"/>
    <w:sig w:usb0="00000287" w:usb1="00000000" w:usb2="00000000" w:usb3="00000000" w:csb0="0000009F" w:csb1="DFD7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0" w:firstLineChars="0"/>
    </w:pPr>
    <w:r>
      <w:rPr>
        <w:rFonts w:hint="eastAsia"/>
      </w:rPr>
      <w:t>浙江环耀环境建设有限公司</w:t>
    </w:r>
    <w:r>
      <w:t xml:space="preserve">                                                </w:t>
    </w:r>
    <w:r>
      <w:rPr>
        <w:rFonts w:hint="eastAsia"/>
      </w:rPr>
      <w:t>杭州市拱墅区上塘路</w:t>
    </w:r>
    <w:r>
      <w:t>329</w:t>
    </w:r>
    <w:r>
      <w:rPr>
        <w:rFonts w:hint="eastAsia"/>
      </w:rPr>
      <w:t>号</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6913" w:wrap="around" w:vAnchor="text" w:hAnchor="page" w:x="4994" w:y="38"/>
      <w:tabs>
        <w:tab w:val="center" w:pos="4153"/>
        <w:tab w:val="right" w:pos="8306"/>
      </w:tabs>
      <w:snapToGrid w:val="0"/>
      <w:spacing w:line="240" w:lineRule="auto"/>
      <w:ind w:firstLine="0" w:firstLineChars="0"/>
      <w:jc w:val="center"/>
      <w:textAlignment w:val="auto"/>
      <w:rPr>
        <w:sz w:val="18"/>
        <w:szCs w:val="18"/>
      </w:rPr>
    </w:pPr>
    <w:r>
      <w:rPr>
        <w:sz w:val="18"/>
        <w:szCs w:val="18"/>
      </w:rPr>
      <w:fldChar w:fldCharType="begin"/>
    </w:r>
    <w:r>
      <w:rPr>
        <w:sz w:val="18"/>
        <w:szCs w:val="18"/>
      </w:rPr>
      <w:instrText xml:space="preserve">PAGE  </w:instrText>
    </w:r>
    <w:r>
      <w:rPr>
        <w:sz w:val="18"/>
        <w:szCs w:val="18"/>
      </w:rPr>
      <w:fldChar w:fldCharType="separate"/>
    </w:r>
    <w:r>
      <w:rPr>
        <w:sz w:val="18"/>
        <w:szCs w:val="18"/>
      </w:rPr>
      <w:t>59</w:t>
    </w:r>
    <w:r>
      <w:rPr>
        <w:sz w:val="18"/>
        <w:szCs w:val="18"/>
      </w:rPr>
      <w:fldChar w:fldCharType="end"/>
    </w:r>
  </w:p>
  <w:p>
    <w:pPr>
      <w:pStyle w:val="24"/>
      <w:ind w:firstLine="0" w:firstLineChars="0"/>
    </w:pPr>
    <w:r>
      <w:rPr>
        <w:rFonts w:hint="eastAsia"/>
      </w:rPr>
      <w:t xml:space="preserve">浙江环耀环境建设有限公司 </w:t>
    </w:r>
    <w:r>
      <w:t xml:space="preserve">                                                                                                    </w:t>
    </w:r>
    <w:r>
      <w:rPr>
        <w:rFonts w:hint="eastAsia"/>
      </w:rPr>
      <w:t>杭州市拱墅区上塘路</w:t>
    </w:r>
    <w:r>
      <w:t>329号</w:t>
    </w:r>
  </w:p>
  <w:p>
    <w:pPr>
      <w:pStyle w:val="24"/>
      <w:ind w:firstLine="0" w:firstLineChars="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4358" w:wrap="around" w:vAnchor="text" w:hAnchor="page" w:x="3765" w:y="7"/>
      <w:tabs>
        <w:tab w:val="center" w:pos="4153"/>
        <w:tab w:val="right" w:pos="8306"/>
      </w:tabs>
      <w:snapToGrid w:val="0"/>
      <w:spacing w:line="240" w:lineRule="auto"/>
      <w:ind w:firstLine="0" w:firstLineChars="0"/>
      <w:jc w:val="center"/>
      <w:textAlignment w:val="auto"/>
      <w:rPr>
        <w:sz w:val="18"/>
        <w:szCs w:val="18"/>
      </w:rPr>
    </w:pPr>
    <w:r>
      <w:rPr>
        <w:sz w:val="18"/>
        <w:szCs w:val="18"/>
      </w:rPr>
      <w:fldChar w:fldCharType="begin"/>
    </w:r>
    <w:r>
      <w:rPr>
        <w:sz w:val="18"/>
        <w:szCs w:val="18"/>
      </w:rPr>
      <w:instrText xml:space="preserve">PAGE  </w:instrText>
    </w:r>
    <w:r>
      <w:rPr>
        <w:sz w:val="18"/>
        <w:szCs w:val="18"/>
      </w:rPr>
      <w:fldChar w:fldCharType="separate"/>
    </w:r>
    <w:r>
      <w:rPr>
        <w:sz w:val="18"/>
        <w:szCs w:val="18"/>
      </w:rPr>
      <w:t>136</w:t>
    </w:r>
    <w:r>
      <w:rPr>
        <w:sz w:val="18"/>
        <w:szCs w:val="18"/>
      </w:rPr>
      <w:fldChar w:fldCharType="end"/>
    </w:r>
  </w:p>
  <w:p>
    <w:pPr>
      <w:tabs>
        <w:tab w:val="center" w:pos="4153"/>
        <w:tab w:val="right" w:pos="8306"/>
      </w:tabs>
      <w:snapToGrid w:val="0"/>
      <w:ind w:firstLine="0" w:firstLineChars="0"/>
      <w:jc w:val="left"/>
      <w:textAlignment w:val="auto"/>
      <w:rPr>
        <w:sz w:val="18"/>
        <w:szCs w:val="18"/>
      </w:rPr>
    </w:pPr>
    <w:r>
      <w:rPr>
        <w:rFonts w:hint="eastAsia"/>
        <w:sz w:val="18"/>
        <w:szCs w:val="18"/>
      </w:rPr>
      <w:t>浙江环耀环境建设有限公司</w:t>
    </w:r>
    <w:r>
      <w:rPr>
        <w:sz w:val="18"/>
        <w:szCs w:val="18"/>
      </w:rPr>
      <w:t xml:space="preserve">                                                </w:t>
    </w:r>
    <w:r>
      <w:rPr>
        <w:rFonts w:hint="eastAsia"/>
        <w:sz w:val="18"/>
        <w:szCs w:val="18"/>
      </w:rPr>
      <w:t>杭州市拱墅区上塘路</w:t>
    </w:r>
    <w:r>
      <w:rPr>
        <w:sz w:val="18"/>
        <w:szCs w:val="18"/>
      </w:rPr>
      <w:t>329</w:t>
    </w:r>
    <w:r>
      <w:rPr>
        <w:rFonts w:hint="eastAsia"/>
        <w:sz w:val="18"/>
        <w:szCs w:val="18"/>
      </w:rPr>
      <w:t>号</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4063" w:wrap="around" w:vAnchor="text" w:hAnchor="page" w:x="3948" w:y="1"/>
      <w:tabs>
        <w:tab w:val="center" w:pos="4153"/>
        <w:tab w:val="right" w:pos="8306"/>
      </w:tabs>
      <w:snapToGrid w:val="0"/>
      <w:spacing w:line="240" w:lineRule="auto"/>
      <w:ind w:firstLine="0" w:firstLineChars="0"/>
      <w:jc w:val="center"/>
      <w:textAlignment w:val="auto"/>
      <w:rPr>
        <w:sz w:val="18"/>
        <w:szCs w:val="18"/>
      </w:rPr>
    </w:pPr>
    <w:r>
      <w:rPr>
        <w:sz w:val="18"/>
        <w:szCs w:val="18"/>
      </w:rPr>
      <w:fldChar w:fldCharType="begin"/>
    </w:r>
    <w:r>
      <w:rPr>
        <w:sz w:val="18"/>
        <w:szCs w:val="18"/>
      </w:rPr>
      <w:instrText xml:space="preserve">PAGE  </w:instrText>
    </w:r>
    <w:r>
      <w:rPr>
        <w:sz w:val="18"/>
        <w:szCs w:val="18"/>
      </w:rPr>
      <w:fldChar w:fldCharType="separate"/>
    </w:r>
    <w:r>
      <w:rPr>
        <w:sz w:val="18"/>
        <w:szCs w:val="18"/>
      </w:rPr>
      <w:t>I</w:t>
    </w:r>
    <w:r>
      <w:rPr>
        <w:sz w:val="18"/>
        <w:szCs w:val="18"/>
      </w:rPr>
      <w:fldChar w:fldCharType="end"/>
    </w:r>
  </w:p>
  <w:p>
    <w:pPr>
      <w:pStyle w:val="24"/>
      <w:ind w:firstLine="0" w:firstLineChars="0"/>
    </w:pPr>
    <w:r>
      <w:rPr>
        <w:rFonts w:hint="eastAsia"/>
      </w:rPr>
      <w:t>浙江环耀环境建设有限公司</w:t>
    </w:r>
    <w:r>
      <w:t xml:space="preserve">                                                </w:t>
    </w:r>
    <w:r>
      <w:rPr>
        <w:rFonts w:hint="eastAsia"/>
      </w:rPr>
      <w:t>杭州市拱墅区上塘路</w:t>
    </w:r>
    <w:r>
      <w:t>329</w:t>
    </w:r>
    <w:r>
      <w:rPr>
        <w:rFonts w:hint="eastAsia"/>
      </w:rPr>
      <w:t>号</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4190" w:wrap="around" w:vAnchor="text" w:hAnchor="page" w:x="3751" w:y="36"/>
      <w:tabs>
        <w:tab w:val="center" w:pos="4153"/>
        <w:tab w:val="right" w:pos="8306"/>
      </w:tabs>
      <w:snapToGrid w:val="0"/>
      <w:spacing w:line="240" w:lineRule="auto"/>
      <w:ind w:firstLine="0" w:firstLineChars="0"/>
      <w:jc w:val="center"/>
      <w:textAlignment w:val="auto"/>
      <w:rPr>
        <w:sz w:val="18"/>
        <w:szCs w:val="18"/>
      </w:rPr>
    </w:pPr>
    <w:r>
      <w:rPr>
        <w:sz w:val="18"/>
        <w:szCs w:val="18"/>
      </w:rPr>
      <w:fldChar w:fldCharType="begin"/>
    </w:r>
    <w:r>
      <w:rPr>
        <w:sz w:val="18"/>
        <w:szCs w:val="18"/>
      </w:rPr>
      <w:instrText xml:space="preserve">PAGE  </w:instrText>
    </w:r>
    <w:r>
      <w:rPr>
        <w:sz w:val="18"/>
        <w:szCs w:val="18"/>
      </w:rPr>
      <w:fldChar w:fldCharType="separate"/>
    </w:r>
    <w:r>
      <w:rPr>
        <w:sz w:val="18"/>
        <w:szCs w:val="18"/>
      </w:rPr>
      <w:t>14</w:t>
    </w:r>
    <w:r>
      <w:rPr>
        <w:sz w:val="18"/>
        <w:szCs w:val="18"/>
      </w:rPr>
      <w:fldChar w:fldCharType="end"/>
    </w:r>
  </w:p>
  <w:p>
    <w:pPr>
      <w:tabs>
        <w:tab w:val="center" w:pos="4153"/>
        <w:tab w:val="right" w:pos="8306"/>
      </w:tabs>
      <w:snapToGrid w:val="0"/>
      <w:ind w:firstLine="0" w:firstLineChars="0"/>
      <w:jc w:val="left"/>
      <w:textAlignment w:val="auto"/>
      <w:rPr>
        <w:sz w:val="18"/>
        <w:szCs w:val="18"/>
      </w:rPr>
    </w:pPr>
    <w:r>
      <w:rPr>
        <w:rFonts w:hint="eastAsia"/>
        <w:sz w:val="18"/>
        <w:szCs w:val="18"/>
      </w:rPr>
      <w:t>浙江环耀环境建设有限公司</w:t>
    </w:r>
    <w:r>
      <w:rPr>
        <w:sz w:val="18"/>
        <w:szCs w:val="18"/>
      </w:rPr>
      <w:t xml:space="preserve">                                                </w:t>
    </w:r>
    <w:r>
      <w:rPr>
        <w:rFonts w:hint="eastAsia"/>
        <w:sz w:val="18"/>
        <w:szCs w:val="18"/>
      </w:rPr>
      <w:t>杭州市拱墅区上塘路</w:t>
    </w:r>
    <w:r>
      <w:rPr>
        <w:sz w:val="18"/>
        <w:szCs w:val="18"/>
      </w:rPr>
      <w:t>329</w:t>
    </w:r>
    <w:r>
      <w:rPr>
        <w:rFonts w:hint="eastAsia"/>
        <w:sz w:val="18"/>
        <w:szCs w:val="18"/>
      </w:rPr>
      <w:t>号</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4190" w:wrap="around" w:vAnchor="text" w:hAnchor="page" w:x="3751" w:y="36"/>
      <w:tabs>
        <w:tab w:val="center" w:pos="4153"/>
        <w:tab w:val="right" w:pos="8306"/>
      </w:tabs>
      <w:snapToGrid w:val="0"/>
      <w:spacing w:line="240" w:lineRule="auto"/>
      <w:ind w:firstLine="0" w:firstLineChars="0"/>
      <w:jc w:val="center"/>
      <w:textAlignment w:val="auto"/>
      <w:rPr>
        <w:sz w:val="18"/>
        <w:szCs w:val="18"/>
      </w:rPr>
    </w:pPr>
    <w:r>
      <w:rPr>
        <w:sz w:val="18"/>
        <w:szCs w:val="18"/>
      </w:rPr>
      <w:fldChar w:fldCharType="begin"/>
    </w:r>
    <w:r>
      <w:rPr>
        <w:sz w:val="18"/>
        <w:szCs w:val="18"/>
      </w:rPr>
      <w:instrText xml:space="preserve">PAGE  </w:instrText>
    </w:r>
    <w:r>
      <w:rPr>
        <w:sz w:val="18"/>
        <w:szCs w:val="18"/>
      </w:rPr>
      <w:fldChar w:fldCharType="separate"/>
    </w:r>
    <w:r>
      <w:rPr>
        <w:sz w:val="18"/>
        <w:szCs w:val="18"/>
      </w:rPr>
      <w:t>25</w:t>
    </w:r>
    <w:r>
      <w:rPr>
        <w:sz w:val="18"/>
        <w:szCs w:val="18"/>
      </w:rPr>
      <w:fldChar w:fldCharType="end"/>
    </w:r>
  </w:p>
  <w:p>
    <w:pPr>
      <w:tabs>
        <w:tab w:val="center" w:pos="4153"/>
        <w:tab w:val="right" w:pos="8306"/>
      </w:tabs>
      <w:snapToGrid w:val="0"/>
      <w:ind w:left="720" w:hanging="720" w:hangingChars="400"/>
      <w:jc w:val="left"/>
      <w:textAlignment w:val="auto"/>
      <w:rPr>
        <w:sz w:val="18"/>
        <w:szCs w:val="18"/>
      </w:rPr>
    </w:pPr>
    <w:r>
      <w:rPr>
        <w:rFonts w:hint="eastAsia"/>
        <w:sz w:val="18"/>
        <w:szCs w:val="18"/>
      </w:rPr>
      <w:t>浙江环耀环境建设有限公司</w:t>
    </w:r>
    <w:r>
      <w:rPr>
        <w:sz w:val="18"/>
        <w:szCs w:val="18"/>
      </w:rPr>
      <w:t xml:space="preserve">                                </w:t>
    </w:r>
    <w:r>
      <w:rPr>
        <w:rFonts w:hint="eastAsia"/>
        <w:sz w:val="18"/>
        <w:szCs w:val="18"/>
      </w:rPr>
      <w:t xml:space="preserve">                 杭州市拱墅区上塘路</w:t>
    </w:r>
    <w:r>
      <w:rPr>
        <w:sz w:val="18"/>
        <w:szCs w:val="18"/>
      </w:rPr>
      <w:t>329</w:t>
    </w:r>
    <w:r>
      <w:rPr>
        <w:rFonts w:hint="eastAsia"/>
        <w:sz w:val="18"/>
        <w:szCs w:val="18"/>
      </w:rPr>
      <w:t>号</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9456" w:wrap="around" w:vAnchor="text" w:hAnchor="page" w:x="3733" w:y="19"/>
      <w:tabs>
        <w:tab w:val="center" w:pos="4153"/>
        <w:tab w:val="right" w:pos="8306"/>
      </w:tabs>
      <w:snapToGrid w:val="0"/>
      <w:spacing w:line="240" w:lineRule="auto"/>
      <w:ind w:firstLine="0" w:firstLineChars="0"/>
      <w:jc w:val="center"/>
      <w:textAlignment w:val="auto"/>
      <w:rPr>
        <w:sz w:val="18"/>
        <w:szCs w:val="18"/>
      </w:rPr>
    </w:pPr>
    <w:r>
      <w:rPr>
        <w:sz w:val="18"/>
        <w:szCs w:val="18"/>
      </w:rPr>
      <w:fldChar w:fldCharType="begin"/>
    </w:r>
    <w:r>
      <w:rPr>
        <w:sz w:val="18"/>
        <w:szCs w:val="18"/>
      </w:rPr>
      <w:instrText xml:space="preserve">PAGE  </w:instrText>
    </w:r>
    <w:r>
      <w:rPr>
        <w:sz w:val="18"/>
        <w:szCs w:val="18"/>
      </w:rPr>
      <w:fldChar w:fldCharType="separate"/>
    </w:r>
    <w:r>
      <w:rPr>
        <w:sz w:val="18"/>
        <w:szCs w:val="18"/>
      </w:rPr>
      <w:t>30</w:t>
    </w:r>
    <w:r>
      <w:rPr>
        <w:sz w:val="18"/>
        <w:szCs w:val="18"/>
      </w:rPr>
      <w:fldChar w:fldCharType="end"/>
    </w:r>
  </w:p>
  <w:p>
    <w:pPr>
      <w:tabs>
        <w:tab w:val="center" w:pos="4153"/>
        <w:tab w:val="right" w:pos="8306"/>
      </w:tabs>
      <w:snapToGrid w:val="0"/>
      <w:ind w:left="720" w:hanging="720" w:hangingChars="400"/>
      <w:jc w:val="left"/>
      <w:textAlignment w:val="auto"/>
      <w:rPr>
        <w:sz w:val="18"/>
        <w:szCs w:val="18"/>
      </w:rPr>
    </w:pPr>
    <w:r>
      <w:rPr>
        <w:rFonts w:hint="eastAsia"/>
        <w:sz w:val="18"/>
        <w:szCs w:val="18"/>
      </w:rPr>
      <w:t>浙江环耀环境建设有限公司</w:t>
    </w:r>
    <w:r>
      <w:rPr>
        <w:sz w:val="18"/>
        <w:szCs w:val="18"/>
      </w:rPr>
      <w:t xml:space="preserve">                                               </w:t>
    </w:r>
    <w:r>
      <w:rPr>
        <w:rFonts w:hint="eastAsia"/>
        <w:sz w:val="18"/>
        <w:szCs w:val="18"/>
      </w:rPr>
      <w:t xml:space="preserve">                                                            杭州市拱墅区上塘路</w:t>
    </w:r>
    <w:r>
      <w:rPr>
        <w:sz w:val="18"/>
        <w:szCs w:val="18"/>
      </w:rPr>
      <w:t>329</w:t>
    </w:r>
    <w:r>
      <w:rPr>
        <w:rFonts w:hint="eastAsia"/>
        <w:sz w:val="18"/>
        <w:szCs w:val="18"/>
      </w:rPr>
      <w:t>号</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5206" w:wrap="around" w:vAnchor="text" w:hAnchor="page" w:x="3733" w:y="19"/>
      <w:tabs>
        <w:tab w:val="center" w:pos="4153"/>
        <w:tab w:val="right" w:pos="8306"/>
      </w:tabs>
      <w:snapToGrid w:val="0"/>
      <w:spacing w:line="240" w:lineRule="auto"/>
      <w:ind w:firstLine="0" w:firstLineChars="0"/>
      <w:jc w:val="center"/>
      <w:textAlignment w:val="auto"/>
      <w:rPr>
        <w:sz w:val="18"/>
        <w:szCs w:val="18"/>
      </w:rPr>
    </w:pPr>
    <w:r>
      <w:rPr>
        <w:sz w:val="18"/>
        <w:szCs w:val="18"/>
      </w:rPr>
      <w:fldChar w:fldCharType="begin"/>
    </w:r>
    <w:r>
      <w:rPr>
        <w:sz w:val="18"/>
        <w:szCs w:val="18"/>
      </w:rPr>
      <w:instrText xml:space="preserve">PAGE  </w:instrText>
    </w:r>
    <w:r>
      <w:rPr>
        <w:sz w:val="18"/>
        <w:szCs w:val="18"/>
      </w:rPr>
      <w:fldChar w:fldCharType="separate"/>
    </w:r>
    <w:r>
      <w:rPr>
        <w:sz w:val="18"/>
        <w:szCs w:val="18"/>
      </w:rPr>
      <w:t>35</w:t>
    </w:r>
    <w:r>
      <w:rPr>
        <w:sz w:val="18"/>
        <w:szCs w:val="18"/>
      </w:rPr>
      <w:fldChar w:fldCharType="end"/>
    </w:r>
  </w:p>
  <w:p>
    <w:pPr>
      <w:tabs>
        <w:tab w:val="center" w:pos="4153"/>
        <w:tab w:val="right" w:pos="8306"/>
      </w:tabs>
      <w:snapToGrid w:val="0"/>
      <w:ind w:left="720" w:hanging="720" w:hangingChars="400"/>
      <w:jc w:val="left"/>
      <w:textAlignment w:val="auto"/>
      <w:rPr>
        <w:sz w:val="18"/>
        <w:szCs w:val="18"/>
      </w:rPr>
    </w:pPr>
    <w:r>
      <w:rPr>
        <w:rFonts w:hint="eastAsia"/>
        <w:sz w:val="18"/>
        <w:szCs w:val="18"/>
      </w:rPr>
      <w:t>浙江环耀环境建设有限公司</w:t>
    </w:r>
    <w:r>
      <w:rPr>
        <w:sz w:val="18"/>
        <w:szCs w:val="18"/>
      </w:rPr>
      <w:t xml:space="preserve">                                               </w:t>
    </w:r>
    <w:r>
      <w:rPr>
        <w:rFonts w:hint="eastAsia"/>
        <w:sz w:val="18"/>
        <w:szCs w:val="18"/>
      </w:rPr>
      <w:t xml:space="preserve"> 杭州市拱墅区上塘路</w:t>
    </w:r>
    <w:r>
      <w:rPr>
        <w:sz w:val="18"/>
        <w:szCs w:val="18"/>
      </w:rPr>
      <w:t>329</w:t>
    </w:r>
    <w:r>
      <w:rPr>
        <w:rFonts w:hint="eastAsia"/>
        <w:sz w:val="18"/>
        <w:szCs w:val="18"/>
      </w:rPr>
      <w:t>号</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0" w:firstLineChars="0"/>
    </w:pPr>
    <w:r>
      <w:t>嘉兴鸿博机电有限公司年产30000件精密配件、15000套后倾离心风机项目环境影响报告表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0" w:firstLineChars="0"/>
    </w:pPr>
    <w:r>
      <w:rPr>
        <w:rFonts w:hint="eastAsia"/>
      </w:rPr>
      <w:t>嘉兴鸿博机电有限公司年产30000件精密配件、15000套后倾离心风机项目</w:t>
    </w:r>
    <w:r>
      <w:t>环境影响报告表</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5D8BF"/>
    <w:multiLevelType w:val="singleLevel"/>
    <w:tmpl w:val="0BA5D8BF"/>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ocumentProtection w:enforcement="0"/>
  <w:defaultTabStop w:val="420"/>
  <w:drawingGridHorizontalSpacing w:val="120"/>
  <w:drawingGridVerticalSpacing w:val="163"/>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728"/>
    <w:rsid w:val="000015CB"/>
    <w:rsid w:val="00001F2E"/>
    <w:rsid w:val="000022F2"/>
    <w:rsid w:val="00003302"/>
    <w:rsid w:val="00003518"/>
    <w:rsid w:val="00003A0F"/>
    <w:rsid w:val="000040C0"/>
    <w:rsid w:val="0000739A"/>
    <w:rsid w:val="00007C21"/>
    <w:rsid w:val="00010194"/>
    <w:rsid w:val="000106F0"/>
    <w:rsid w:val="000113EB"/>
    <w:rsid w:val="0001146D"/>
    <w:rsid w:val="0001215D"/>
    <w:rsid w:val="00012F07"/>
    <w:rsid w:val="000146DB"/>
    <w:rsid w:val="00026DE1"/>
    <w:rsid w:val="00027101"/>
    <w:rsid w:val="00031D12"/>
    <w:rsid w:val="00033BEF"/>
    <w:rsid w:val="000345DF"/>
    <w:rsid w:val="0003679B"/>
    <w:rsid w:val="00037011"/>
    <w:rsid w:val="00037013"/>
    <w:rsid w:val="000413A0"/>
    <w:rsid w:val="0004141C"/>
    <w:rsid w:val="00041C74"/>
    <w:rsid w:val="00042062"/>
    <w:rsid w:val="00044364"/>
    <w:rsid w:val="00044FB5"/>
    <w:rsid w:val="0004554A"/>
    <w:rsid w:val="00045E4C"/>
    <w:rsid w:val="00050486"/>
    <w:rsid w:val="00050616"/>
    <w:rsid w:val="0005083E"/>
    <w:rsid w:val="00050C4F"/>
    <w:rsid w:val="0005151D"/>
    <w:rsid w:val="0005295D"/>
    <w:rsid w:val="00053A32"/>
    <w:rsid w:val="000574FC"/>
    <w:rsid w:val="00057597"/>
    <w:rsid w:val="000577EA"/>
    <w:rsid w:val="0006220B"/>
    <w:rsid w:val="000650D0"/>
    <w:rsid w:val="00066AE3"/>
    <w:rsid w:val="0006739A"/>
    <w:rsid w:val="00067AFD"/>
    <w:rsid w:val="00070DC1"/>
    <w:rsid w:val="00072AE3"/>
    <w:rsid w:val="00073DFA"/>
    <w:rsid w:val="00073E39"/>
    <w:rsid w:val="000756DD"/>
    <w:rsid w:val="00076454"/>
    <w:rsid w:val="0008082D"/>
    <w:rsid w:val="00081494"/>
    <w:rsid w:val="00082258"/>
    <w:rsid w:val="00086FB7"/>
    <w:rsid w:val="0009033D"/>
    <w:rsid w:val="00091671"/>
    <w:rsid w:val="000928DC"/>
    <w:rsid w:val="00092F00"/>
    <w:rsid w:val="000955E6"/>
    <w:rsid w:val="0009687C"/>
    <w:rsid w:val="000A0AE9"/>
    <w:rsid w:val="000A1197"/>
    <w:rsid w:val="000A3457"/>
    <w:rsid w:val="000A4C19"/>
    <w:rsid w:val="000A6537"/>
    <w:rsid w:val="000A79E7"/>
    <w:rsid w:val="000A7FBA"/>
    <w:rsid w:val="000B00A3"/>
    <w:rsid w:val="000B0DFC"/>
    <w:rsid w:val="000B263B"/>
    <w:rsid w:val="000B2C81"/>
    <w:rsid w:val="000B6B32"/>
    <w:rsid w:val="000C0092"/>
    <w:rsid w:val="000C1C05"/>
    <w:rsid w:val="000C3535"/>
    <w:rsid w:val="000C424A"/>
    <w:rsid w:val="000C612E"/>
    <w:rsid w:val="000C6EE5"/>
    <w:rsid w:val="000D0C7D"/>
    <w:rsid w:val="000D121A"/>
    <w:rsid w:val="000D23C5"/>
    <w:rsid w:val="000D2B13"/>
    <w:rsid w:val="000D2E15"/>
    <w:rsid w:val="000D56EF"/>
    <w:rsid w:val="000D5A64"/>
    <w:rsid w:val="000D70D2"/>
    <w:rsid w:val="000E2BD4"/>
    <w:rsid w:val="000E2F4D"/>
    <w:rsid w:val="000E52E2"/>
    <w:rsid w:val="000F0FD7"/>
    <w:rsid w:val="000F1695"/>
    <w:rsid w:val="000F2563"/>
    <w:rsid w:val="000F45B7"/>
    <w:rsid w:val="000F4D09"/>
    <w:rsid w:val="000F4F2A"/>
    <w:rsid w:val="000F5A19"/>
    <w:rsid w:val="000F5CF0"/>
    <w:rsid w:val="000F61CD"/>
    <w:rsid w:val="000F64B2"/>
    <w:rsid w:val="000F7667"/>
    <w:rsid w:val="00101A7D"/>
    <w:rsid w:val="00102140"/>
    <w:rsid w:val="001031CB"/>
    <w:rsid w:val="00103F0F"/>
    <w:rsid w:val="00104748"/>
    <w:rsid w:val="00104F25"/>
    <w:rsid w:val="00105026"/>
    <w:rsid w:val="00105062"/>
    <w:rsid w:val="00105514"/>
    <w:rsid w:val="00105A65"/>
    <w:rsid w:val="001060EF"/>
    <w:rsid w:val="00107CBC"/>
    <w:rsid w:val="00111A6E"/>
    <w:rsid w:val="00111E5A"/>
    <w:rsid w:val="00113F26"/>
    <w:rsid w:val="00114A83"/>
    <w:rsid w:val="00115314"/>
    <w:rsid w:val="0011599D"/>
    <w:rsid w:val="00115E88"/>
    <w:rsid w:val="001165FD"/>
    <w:rsid w:val="00116E93"/>
    <w:rsid w:val="001171D3"/>
    <w:rsid w:val="00117E33"/>
    <w:rsid w:val="00120D63"/>
    <w:rsid w:val="00121A79"/>
    <w:rsid w:val="00121C7C"/>
    <w:rsid w:val="00122DE5"/>
    <w:rsid w:val="001237B5"/>
    <w:rsid w:val="0012475E"/>
    <w:rsid w:val="00127903"/>
    <w:rsid w:val="0013080F"/>
    <w:rsid w:val="001320D0"/>
    <w:rsid w:val="001334B7"/>
    <w:rsid w:val="00133835"/>
    <w:rsid w:val="00133C23"/>
    <w:rsid w:val="00134355"/>
    <w:rsid w:val="00134503"/>
    <w:rsid w:val="00134568"/>
    <w:rsid w:val="00134D64"/>
    <w:rsid w:val="00134ED3"/>
    <w:rsid w:val="00136A28"/>
    <w:rsid w:val="0013722A"/>
    <w:rsid w:val="001373BC"/>
    <w:rsid w:val="00142AB8"/>
    <w:rsid w:val="0014361D"/>
    <w:rsid w:val="00143ACD"/>
    <w:rsid w:val="001442C8"/>
    <w:rsid w:val="00144C79"/>
    <w:rsid w:val="00144DD3"/>
    <w:rsid w:val="00145132"/>
    <w:rsid w:val="001462B9"/>
    <w:rsid w:val="0014791E"/>
    <w:rsid w:val="00150509"/>
    <w:rsid w:val="00150A6A"/>
    <w:rsid w:val="00150EB9"/>
    <w:rsid w:val="00150F38"/>
    <w:rsid w:val="00151C48"/>
    <w:rsid w:val="0015352B"/>
    <w:rsid w:val="00153AA7"/>
    <w:rsid w:val="00156D05"/>
    <w:rsid w:val="00160E18"/>
    <w:rsid w:val="001611EF"/>
    <w:rsid w:val="00161EB9"/>
    <w:rsid w:val="00162BCC"/>
    <w:rsid w:val="00166007"/>
    <w:rsid w:val="00167013"/>
    <w:rsid w:val="001674BB"/>
    <w:rsid w:val="001708E1"/>
    <w:rsid w:val="00170DB4"/>
    <w:rsid w:val="00172A27"/>
    <w:rsid w:val="0017387D"/>
    <w:rsid w:val="00176BED"/>
    <w:rsid w:val="001772C4"/>
    <w:rsid w:val="00177785"/>
    <w:rsid w:val="001813A5"/>
    <w:rsid w:val="00181AEB"/>
    <w:rsid w:val="00181C7E"/>
    <w:rsid w:val="001829AA"/>
    <w:rsid w:val="00182FCD"/>
    <w:rsid w:val="00185A65"/>
    <w:rsid w:val="00186178"/>
    <w:rsid w:val="00186291"/>
    <w:rsid w:val="001869A5"/>
    <w:rsid w:val="00187A99"/>
    <w:rsid w:val="00187BB1"/>
    <w:rsid w:val="00190149"/>
    <w:rsid w:val="00190838"/>
    <w:rsid w:val="00190D3A"/>
    <w:rsid w:val="0019250D"/>
    <w:rsid w:val="00192C1C"/>
    <w:rsid w:val="00192DA0"/>
    <w:rsid w:val="001932F9"/>
    <w:rsid w:val="001935CE"/>
    <w:rsid w:val="00193B9E"/>
    <w:rsid w:val="0019425B"/>
    <w:rsid w:val="0019559B"/>
    <w:rsid w:val="00196229"/>
    <w:rsid w:val="0019708E"/>
    <w:rsid w:val="001972E0"/>
    <w:rsid w:val="00197A58"/>
    <w:rsid w:val="001A4332"/>
    <w:rsid w:val="001A521D"/>
    <w:rsid w:val="001B0101"/>
    <w:rsid w:val="001B0358"/>
    <w:rsid w:val="001B1116"/>
    <w:rsid w:val="001B2591"/>
    <w:rsid w:val="001B3B4D"/>
    <w:rsid w:val="001B3F2A"/>
    <w:rsid w:val="001B4424"/>
    <w:rsid w:val="001B5D12"/>
    <w:rsid w:val="001B6C7C"/>
    <w:rsid w:val="001B749B"/>
    <w:rsid w:val="001B74F8"/>
    <w:rsid w:val="001B7C07"/>
    <w:rsid w:val="001B7FAF"/>
    <w:rsid w:val="001C035C"/>
    <w:rsid w:val="001C2C76"/>
    <w:rsid w:val="001C3CF5"/>
    <w:rsid w:val="001C3E97"/>
    <w:rsid w:val="001C474C"/>
    <w:rsid w:val="001C4ED3"/>
    <w:rsid w:val="001C6EF3"/>
    <w:rsid w:val="001C72E8"/>
    <w:rsid w:val="001C7A87"/>
    <w:rsid w:val="001C7CA4"/>
    <w:rsid w:val="001D004A"/>
    <w:rsid w:val="001D062C"/>
    <w:rsid w:val="001D2D8B"/>
    <w:rsid w:val="001D4405"/>
    <w:rsid w:val="001D7921"/>
    <w:rsid w:val="001D7947"/>
    <w:rsid w:val="001E0981"/>
    <w:rsid w:val="001E1556"/>
    <w:rsid w:val="001E1576"/>
    <w:rsid w:val="001E1D44"/>
    <w:rsid w:val="001E2F07"/>
    <w:rsid w:val="001E353D"/>
    <w:rsid w:val="001E524C"/>
    <w:rsid w:val="001E563D"/>
    <w:rsid w:val="001E586C"/>
    <w:rsid w:val="001E5A62"/>
    <w:rsid w:val="001E5EFC"/>
    <w:rsid w:val="001E65DF"/>
    <w:rsid w:val="001E78FA"/>
    <w:rsid w:val="001F15C2"/>
    <w:rsid w:val="001F1DB1"/>
    <w:rsid w:val="001F2DF3"/>
    <w:rsid w:val="001F2E84"/>
    <w:rsid w:val="001F4307"/>
    <w:rsid w:val="001F4E18"/>
    <w:rsid w:val="001F64B5"/>
    <w:rsid w:val="001F6838"/>
    <w:rsid w:val="002000C7"/>
    <w:rsid w:val="002002D6"/>
    <w:rsid w:val="002007EA"/>
    <w:rsid w:val="002019F8"/>
    <w:rsid w:val="00203BB0"/>
    <w:rsid w:val="00203CFB"/>
    <w:rsid w:val="00204414"/>
    <w:rsid w:val="00204D38"/>
    <w:rsid w:val="00206CBD"/>
    <w:rsid w:val="00207127"/>
    <w:rsid w:val="002071F4"/>
    <w:rsid w:val="00210C3D"/>
    <w:rsid w:val="00211A46"/>
    <w:rsid w:val="00214025"/>
    <w:rsid w:val="002144B3"/>
    <w:rsid w:val="0021481C"/>
    <w:rsid w:val="00214988"/>
    <w:rsid w:val="00214EF3"/>
    <w:rsid w:val="00215B70"/>
    <w:rsid w:val="00217735"/>
    <w:rsid w:val="00220505"/>
    <w:rsid w:val="00221FFB"/>
    <w:rsid w:val="00222FE9"/>
    <w:rsid w:val="00223BCE"/>
    <w:rsid w:val="00224256"/>
    <w:rsid w:val="00224B32"/>
    <w:rsid w:val="0022640C"/>
    <w:rsid w:val="0022754F"/>
    <w:rsid w:val="00227C3F"/>
    <w:rsid w:val="002302E4"/>
    <w:rsid w:val="0023081F"/>
    <w:rsid w:val="00230FE0"/>
    <w:rsid w:val="00231405"/>
    <w:rsid w:val="0023341B"/>
    <w:rsid w:val="00233EA5"/>
    <w:rsid w:val="00235A1B"/>
    <w:rsid w:val="00237930"/>
    <w:rsid w:val="00241385"/>
    <w:rsid w:val="0024416A"/>
    <w:rsid w:val="0024428A"/>
    <w:rsid w:val="0024608B"/>
    <w:rsid w:val="00247959"/>
    <w:rsid w:val="0025180C"/>
    <w:rsid w:val="00254074"/>
    <w:rsid w:val="00255B0D"/>
    <w:rsid w:val="00255F26"/>
    <w:rsid w:val="0025654C"/>
    <w:rsid w:val="00256F34"/>
    <w:rsid w:val="00256F4C"/>
    <w:rsid w:val="00257E20"/>
    <w:rsid w:val="002604B1"/>
    <w:rsid w:val="00261433"/>
    <w:rsid w:val="00262692"/>
    <w:rsid w:val="00264CFB"/>
    <w:rsid w:val="00270185"/>
    <w:rsid w:val="00270215"/>
    <w:rsid w:val="00270C94"/>
    <w:rsid w:val="002716B1"/>
    <w:rsid w:val="002762EF"/>
    <w:rsid w:val="002810DD"/>
    <w:rsid w:val="0028135D"/>
    <w:rsid w:val="00282002"/>
    <w:rsid w:val="002826B4"/>
    <w:rsid w:val="002827E9"/>
    <w:rsid w:val="00284355"/>
    <w:rsid w:val="00284723"/>
    <w:rsid w:val="00284872"/>
    <w:rsid w:val="00285273"/>
    <w:rsid w:val="00290B84"/>
    <w:rsid w:val="002917B2"/>
    <w:rsid w:val="002946F8"/>
    <w:rsid w:val="00294F29"/>
    <w:rsid w:val="00295379"/>
    <w:rsid w:val="002A0508"/>
    <w:rsid w:val="002A1766"/>
    <w:rsid w:val="002A1C15"/>
    <w:rsid w:val="002A2527"/>
    <w:rsid w:val="002A2D08"/>
    <w:rsid w:val="002A4E1E"/>
    <w:rsid w:val="002A5287"/>
    <w:rsid w:val="002A6E2F"/>
    <w:rsid w:val="002A729C"/>
    <w:rsid w:val="002A7C0A"/>
    <w:rsid w:val="002B064B"/>
    <w:rsid w:val="002B0850"/>
    <w:rsid w:val="002B3A01"/>
    <w:rsid w:val="002B3EF8"/>
    <w:rsid w:val="002B74EE"/>
    <w:rsid w:val="002B78EE"/>
    <w:rsid w:val="002B7D85"/>
    <w:rsid w:val="002C0649"/>
    <w:rsid w:val="002C0B00"/>
    <w:rsid w:val="002C1446"/>
    <w:rsid w:val="002C1F84"/>
    <w:rsid w:val="002C2221"/>
    <w:rsid w:val="002C22E5"/>
    <w:rsid w:val="002C25F7"/>
    <w:rsid w:val="002C26BC"/>
    <w:rsid w:val="002C34BB"/>
    <w:rsid w:val="002C36FE"/>
    <w:rsid w:val="002C3C55"/>
    <w:rsid w:val="002C44F0"/>
    <w:rsid w:val="002C5EF3"/>
    <w:rsid w:val="002C5F31"/>
    <w:rsid w:val="002D0DA4"/>
    <w:rsid w:val="002D11E5"/>
    <w:rsid w:val="002D1884"/>
    <w:rsid w:val="002D57D6"/>
    <w:rsid w:val="002D65EC"/>
    <w:rsid w:val="002D7AF6"/>
    <w:rsid w:val="002E1AD0"/>
    <w:rsid w:val="002E3740"/>
    <w:rsid w:val="002E37B7"/>
    <w:rsid w:val="002E39E2"/>
    <w:rsid w:val="002E5A3E"/>
    <w:rsid w:val="002E5C81"/>
    <w:rsid w:val="002E70BD"/>
    <w:rsid w:val="002F2062"/>
    <w:rsid w:val="002F33BF"/>
    <w:rsid w:val="002F3450"/>
    <w:rsid w:val="002F4AD5"/>
    <w:rsid w:val="002F4F49"/>
    <w:rsid w:val="002F5907"/>
    <w:rsid w:val="002F5ED7"/>
    <w:rsid w:val="002F68D2"/>
    <w:rsid w:val="002F6C10"/>
    <w:rsid w:val="002F6E8E"/>
    <w:rsid w:val="002F7AAD"/>
    <w:rsid w:val="002F7FA4"/>
    <w:rsid w:val="00301A99"/>
    <w:rsid w:val="00302A78"/>
    <w:rsid w:val="00302E76"/>
    <w:rsid w:val="003034F4"/>
    <w:rsid w:val="00305D44"/>
    <w:rsid w:val="00306314"/>
    <w:rsid w:val="00306B66"/>
    <w:rsid w:val="00312308"/>
    <w:rsid w:val="003130E0"/>
    <w:rsid w:val="00313117"/>
    <w:rsid w:val="003136E1"/>
    <w:rsid w:val="0031440D"/>
    <w:rsid w:val="00315B60"/>
    <w:rsid w:val="0032110C"/>
    <w:rsid w:val="00322FB7"/>
    <w:rsid w:val="00323D8A"/>
    <w:rsid w:val="00325391"/>
    <w:rsid w:val="00326E92"/>
    <w:rsid w:val="0032725B"/>
    <w:rsid w:val="003302EE"/>
    <w:rsid w:val="00330A20"/>
    <w:rsid w:val="003321EC"/>
    <w:rsid w:val="0033262D"/>
    <w:rsid w:val="003330F1"/>
    <w:rsid w:val="0033512D"/>
    <w:rsid w:val="00336A1A"/>
    <w:rsid w:val="00340183"/>
    <w:rsid w:val="0034157C"/>
    <w:rsid w:val="003426AC"/>
    <w:rsid w:val="003429A4"/>
    <w:rsid w:val="00342E4D"/>
    <w:rsid w:val="00343C7D"/>
    <w:rsid w:val="0034407E"/>
    <w:rsid w:val="0034654C"/>
    <w:rsid w:val="00346D22"/>
    <w:rsid w:val="00350910"/>
    <w:rsid w:val="003517C0"/>
    <w:rsid w:val="003518CB"/>
    <w:rsid w:val="00351B27"/>
    <w:rsid w:val="00353A93"/>
    <w:rsid w:val="003551BB"/>
    <w:rsid w:val="0035798D"/>
    <w:rsid w:val="00361A6A"/>
    <w:rsid w:val="0036234D"/>
    <w:rsid w:val="003656DB"/>
    <w:rsid w:val="00365ABF"/>
    <w:rsid w:val="003671F8"/>
    <w:rsid w:val="00367454"/>
    <w:rsid w:val="00370EDA"/>
    <w:rsid w:val="003711BC"/>
    <w:rsid w:val="00371503"/>
    <w:rsid w:val="00372904"/>
    <w:rsid w:val="00372EF3"/>
    <w:rsid w:val="00373597"/>
    <w:rsid w:val="00373A9E"/>
    <w:rsid w:val="00377C7A"/>
    <w:rsid w:val="00382CAE"/>
    <w:rsid w:val="003831F0"/>
    <w:rsid w:val="00383DA6"/>
    <w:rsid w:val="00383FE4"/>
    <w:rsid w:val="00384B20"/>
    <w:rsid w:val="00385764"/>
    <w:rsid w:val="003861A2"/>
    <w:rsid w:val="00387ECE"/>
    <w:rsid w:val="003909BA"/>
    <w:rsid w:val="00391602"/>
    <w:rsid w:val="0039194B"/>
    <w:rsid w:val="00393EDA"/>
    <w:rsid w:val="00394595"/>
    <w:rsid w:val="00394785"/>
    <w:rsid w:val="00396739"/>
    <w:rsid w:val="003977D2"/>
    <w:rsid w:val="003A27D1"/>
    <w:rsid w:val="003A44FF"/>
    <w:rsid w:val="003A5FFF"/>
    <w:rsid w:val="003B0604"/>
    <w:rsid w:val="003B08AF"/>
    <w:rsid w:val="003B0975"/>
    <w:rsid w:val="003B18A7"/>
    <w:rsid w:val="003B27C9"/>
    <w:rsid w:val="003B2BF2"/>
    <w:rsid w:val="003B3F26"/>
    <w:rsid w:val="003B46DE"/>
    <w:rsid w:val="003B5C43"/>
    <w:rsid w:val="003B7AAA"/>
    <w:rsid w:val="003C1AFE"/>
    <w:rsid w:val="003C227D"/>
    <w:rsid w:val="003C2A87"/>
    <w:rsid w:val="003C3DC4"/>
    <w:rsid w:val="003C6B08"/>
    <w:rsid w:val="003C70FA"/>
    <w:rsid w:val="003D1DD3"/>
    <w:rsid w:val="003D37C9"/>
    <w:rsid w:val="003D3D3F"/>
    <w:rsid w:val="003D4A9B"/>
    <w:rsid w:val="003D5D3E"/>
    <w:rsid w:val="003D6437"/>
    <w:rsid w:val="003D743C"/>
    <w:rsid w:val="003E123F"/>
    <w:rsid w:val="003E292D"/>
    <w:rsid w:val="003E2B07"/>
    <w:rsid w:val="003E3D92"/>
    <w:rsid w:val="003E56B8"/>
    <w:rsid w:val="003E5B62"/>
    <w:rsid w:val="003E689D"/>
    <w:rsid w:val="003E6DC1"/>
    <w:rsid w:val="003E7A70"/>
    <w:rsid w:val="003E7B8E"/>
    <w:rsid w:val="003E7DA8"/>
    <w:rsid w:val="003F02C9"/>
    <w:rsid w:val="003F0812"/>
    <w:rsid w:val="003F0921"/>
    <w:rsid w:val="003F2382"/>
    <w:rsid w:val="003F3B09"/>
    <w:rsid w:val="003F4FE3"/>
    <w:rsid w:val="003F6DC0"/>
    <w:rsid w:val="004008F0"/>
    <w:rsid w:val="0040122D"/>
    <w:rsid w:val="00401AF4"/>
    <w:rsid w:val="004038AE"/>
    <w:rsid w:val="00403B4D"/>
    <w:rsid w:val="00404665"/>
    <w:rsid w:val="004047A1"/>
    <w:rsid w:val="00404BE4"/>
    <w:rsid w:val="004055EF"/>
    <w:rsid w:val="004076DF"/>
    <w:rsid w:val="0041245C"/>
    <w:rsid w:val="00413607"/>
    <w:rsid w:val="004137F6"/>
    <w:rsid w:val="00413F4B"/>
    <w:rsid w:val="0041428D"/>
    <w:rsid w:val="0041434B"/>
    <w:rsid w:val="00414397"/>
    <w:rsid w:val="00414B0F"/>
    <w:rsid w:val="00415137"/>
    <w:rsid w:val="004162D6"/>
    <w:rsid w:val="00416442"/>
    <w:rsid w:val="00416B6E"/>
    <w:rsid w:val="00417432"/>
    <w:rsid w:val="00421814"/>
    <w:rsid w:val="00422869"/>
    <w:rsid w:val="00422F5A"/>
    <w:rsid w:val="00426353"/>
    <w:rsid w:val="004267CD"/>
    <w:rsid w:val="00426D39"/>
    <w:rsid w:val="0042737C"/>
    <w:rsid w:val="0042786C"/>
    <w:rsid w:val="00427A29"/>
    <w:rsid w:val="00431123"/>
    <w:rsid w:val="00431209"/>
    <w:rsid w:val="0043226E"/>
    <w:rsid w:val="00432523"/>
    <w:rsid w:val="00433121"/>
    <w:rsid w:val="00434E00"/>
    <w:rsid w:val="0044130B"/>
    <w:rsid w:val="00441B41"/>
    <w:rsid w:val="00443522"/>
    <w:rsid w:val="0045006E"/>
    <w:rsid w:val="00450469"/>
    <w:rsid w:val="004522A2"/>
    <w:rsid w:val="00455250"/>
    <w:rsid w:val="0045767B"/>
    <w:rsid w:val="00460C70"/>
    <w:rsid w:val="00461460"/>
    <w:rsid w:val="0046252D"/>
    <w:rsid w:val="00462801"/>
    <w:rsid w:val="004639CB"/>
    <w:rsid w:val="00465418"/>
    <w:rsid w:val="00465C78"/>
    <w:rsid w:val="00466317"/>
    <w:rsid w:val="00470556"/>
    <w:rsid w:val="00471F1C"/>
    <w:rsid w:val="00473B86"/>
    <w:rsid w:val="004740D3"/>
    <w:rsid w:val="004741E3"/>
    <w:rsid w:val="00476D33"/>
    <w:rsid w:val="00476EE1"/>
    <w:rsid w:val="0048067D"/>
    <w:rsid w:val="004812BA"/>
    <w:rsid w:val="00481DB3"/>
    <w:rsid w:val="00482682"/>
    <w:rsid w:val="00484837"/>
    <w:rsid w:val="00484C03"/>
    <w:rsid w:val="00485B37"/>
    <w:rsid w:val="00485C6A"/>
    <w:rsid w:val="00487067"/>
    <w:rsid w:val="00490556"/>
    <w:rsid w:val="00491B15"/>
    <w:rsid w:val="00493984"/>
    <w:rsid w:val="0049587C"/>
    <w:rsid w:val="00495EAF"/>
    <w:rsid w:val="00496565"/>
    <w:rsid w:val="004A0FE7"/>
    <w:rsid w:val="004A2008"/>
    <w:rsid w:val="004A2CF3"/>
    <w:rsid w:val="004A38CE"/>
    <w:rsid w:val="004A3FA6"/>
    <w:rsid w:val="004A46C7"/>
    <w:rsid w:val="004A4B37"/>
    <w:rsid w:val="004A6534"/>
    <w:rsid w:val="004A7283"/>
    <w:rsid w:val="004B0A52"/>
    <w:rsid w:val="004B185D"/>
    <w:rsid w:val="004B1D84"/>
    <w:rsid w:val="004B345F"/>
    <w:rsid w:val="004B72A4"/>
    <w:rsid w:val="004B72F4"/>
    <w:rsid w:val="004B7783"/>
    <w:rsid w:val="004B77E5"/>
    <w:rsid w:val="004C049A"/>
    <w:rsid w:val="004C132A"/>
    <w:rsid w:val="004C59E8"/>
    <w:rsid w:val="004C5FB9"/>
    <w:rsid w:val="004C6C01"/>
    <w:rsid w:val="004C7364"/>
    <w:rsid w:val="004C73E3"/>
    <w:rsid w:val="004C76B8"/>
    <w:rsid w:val="004C7AFF"/>
    <w:rsid w:val="004C7CC2"/>
    <w:rsid w:val="004D2D96"/>
    <w:rsid w:val="004D5071"/>
    <w:rsid w:val="004D56D4"/>
    <w:rsid w:val="004D6A41"/>
    <w:rsid w:val="004D6D85"/>
    <w:rsid w:val="004D7B4D"/>
    <w:rsid w:val="004D7B6F"/>
    <w:rsid w:val="004D7BAA"/>
    <w:rsid w:val="004E29E4"/>
    <w:rsid w:val="004E3FA9"/>
    <w:rsid w:val="004E5713"/>
    <w:rsid w:val="004E649C"/>
    <w:rsid w:val="004E7C18"/>
    <w:rsid w:val="004F05A5"/>
    <w:rsid w:val="004F0ABF"/>
    <w:rsid w:val="004F1695"/>
    <w:rsid w:val="004F35F8"/>
    <w:rsid w:val="004F4228"/>
    <w:rsid w:val="004F4335"/>
    <w:rsid w:val="004F492A"/>
    <w:rsid w:val="004F4D0F"/>
    <w:rsid w:val="004F5454"/>
    <w:rsid w:val="004F5D6C"/>
    <w:rsid w:val="0050046E"/>
    <w:rsid w:val="00500FC4"/>
    <w:rsid w:val="00501131"/>
    <w:rsid w:val="00502801"/>
    <w:rsid w:val="00504F8B"/>
    <w:rsid w:val="0050504F"/>
    <w:rsid w:val="0050516B"/>
    <w:rsid w:val="005056D7"/>
    <w:rsid w:val="00505C02"/>
    <w:rsid w:val="00507D10"/>
    <w:rsid w:val="0051031E"/>
    <w:rsid w:val="00510485"/>
    <w:rsid w:val="00510E2D"/>
    <w:rsid w:val="0051116F"/>
    <w:rsid w:val="00513C61"/>
    <w:rsid w:val="00514292"/>
    <w:rsid w:val="00517AD4"/>
    <w:rsid w:val="005219DE"/>
    <w:rsid w:val="00522A59"/>
    <w:rsid w:val="00523BDD"/>
    <w:rsid w:val="0052419C"/>
    <w:rsid w:val="00524AEA"/>
    <w:rsid w:val="00525DCE"/>
    <w:rsid w:val="0052653E"/>
    <w:rsid w:val="0053008B"/>
    <w:rsid w:val="00530DF9"/>
    <w:rsid w:val="005317BF"/>
    <w:rsid w:val="00532B98"/>
    <w:rsid w:val="0053499D"/>
    <w:rsid w:val="00534DE8"/>
    <w:rsid w:val="0053626B"/>
    <w:rsid w:val="005362A1"/>
    <w:rsid w:val="00536A24"/>
    <w:rsid w:val="005379C4"/>
    <w:rsid w:val="005409EB"/>
    <w:rsid w:val="005435F6"/>
    <w:rsid w:val="00544329"/>
    <w:rsid w:val="00544867"/>
    <w:rsid w:val="00547AA3"/>
    <w:rsid w:val="00547F5A"/>
    <w:rsid w:val="00550CD4"/>
    <w:rsid w:val="00551263"/>
    <w:rsid w:val="0055191D"/>
    <w:rsid w:val="005523FB"/>
    <w:rsid w:val="005524BE"/>
    <w:rsid w:val="00552901"/>
    <w:rsid w:val="005566F4"/>
    <w:rsid w:val="00556DDE"/>
    <w:rsid w:val="00557BB1"/>
    <w:rsid w:val="00560A1F"/>
    <w:rsid w:val="00560DD7"/>
    <w:rsid w:val="0056311C"/>
    <w:rsid w:val="0056349E"/>
    <w:rsid w:val="00564253"/>
    <w:rsid w:val="00564B68"/>
    <w:rsid w:val="00565B0C"/>
    <w:rsid w:val="0056797F"/>
    <w:rsid w:val="00571219"/>
    <w:rsid w:val="005721E7"/>
    <w:rsid w:val="0057352E"/>
    <w:rsid w:val="00573DDA"/>
    <w:rsid w:val="005771AC"/>
    <w:rsid w:val="0057752D"/>
    <w:rsid w:val="0057763D"/>
    <w:rsid w:val="005800A7"/>
    <w:rsid w:val="005811D8"/>
    <w:rsid w:val="005819C2"/>
    <w:rsid w:val="0058227C"/>
    <w:rsid w:val="00584647"/>
    <w:rsid w:val="005870D6"/>
    <w:rsid w:val="00592EC4"/>
    <w:rsid w:val="005933E2"/>
    <w:rsid w:val="00593819"/>
    <w:rsid w:val="005946BE"/>
    <w:rsid w:val="00595E06"/>
    <w:rsid w:val="00597359"/>
    <w:rsid w:val="005A066E"/>
    <w:rsid w:val="005A1D77"/>
    <w:rsid w:val="005A2654"/>
    <w:rsid w:val="005A2F53"/>
    <w:rsid w:val="005A2FED"/>
    <w:rsid w:val="005A3206"/>
    <w:rsid w:val="005A3836"/>
    <w:rsid w:val="005A3A4F"/>
    <w:rsid w:val="005A3FFF"/>
    <w:rsid w:val="005A4620"/>
    <w:rsid w:val="005A5539"/>
    <w:rsid w:val="005A5D51"/>
    <w:rsid w:val="005A6301"/>
    <w:rsid w:val="005A7996"/>
    <w:rsid w:val="005A7E5D"/>
    <w:rsid w:val="005B0C03"/>
    <w:rsid w:val="005B2240"/>
    <w:rsid w:val="005B2A5E"/>
    <w:rsid w:val="005B2D1D"/>
    <w:rsid w:val="005B324E"/>
    <w:rsid w:val="005B3F81"/>
    <w:rsid w:val="005B42BF"/>
    <w:rsid w:val="005B5E75"/>
    <w:rsid w:val="005B7118"/>
    <w:rsid w:val="005C1C6A"/>
    <w:rsid w:val="005C2839"/>
    <w:rsid w:val="005C2C39"/>
    <w:rsid w:val="005C3ABC"/>
    <w:rsid w:val="005C46AA"/>
    <w:rsid w:val="005C495B"/>
    <w:rsid w:val="005C4A11"/>
    <w:rsid w:val="005C52E9"/>
    <w:rsid w:val="005C6DE2"/>
    <w:rsid w:val="005D0489"/>
    <w:rsid w:val="005D1194"/>
    <w:rsid w:val="005D2052"/>
    <w:rsid w:val="005D2145"/>
    <w:rsid w:val="005D32DE"/>
    <w:rsid w:val="005D61AE"/>
    <w:rsid w:val="005D6939"/>
    <w:rsid w:val="005D6CE2"/>
    <w:rsid w:val="005D71C4"/>
    <w:rsid w:val="005D721C"/>
    <w:rsid w:val="005D73D9"/>
    <w:rsid w:val="005E2015"/>
    <w:rsid w:val="005E23B1"/>
    <w:rsid w:val="005E4DFD"/>
    <w:rsid w:val="005E7EAA"/>
    <w:rsid w:val="005F1827"/>
    <w:rsid w:val="005F1B00"/>
    <w:rsid w:val="005F1B5B"/>
    <w:rsid w:val="005F3006"/>
    <w:rsid w:val="005F3D77"/>
    <w:rsid w:val="005F6E56"/>
    <w:rsid w:val="005F7108"/>
    <w:rsid w:val="005F7AAA"/>
    <w:rsid w:val="0060185B"/>
    <w:rsid w:val="0060190E"/>
    <w:rsid w:val="00601BA5"/>
    <w:rsid w:val="00601BAE"/>
    <w:rsid w:val="00601FB8"/>
    <w:rsid w:val="0060211F"/>
    <w:rsid w:val="006030A0"/>
    <w:rsid w:val="0060322B"/>
    <w:rsid w:val="0060385D"/>
    <w:rsid w:val="00603B9C"/>
    <w:rsid w:val="00603FE3"/>
    <w:rsid w:val="00606214"/>
    <w:rsid w:val="00610410"/>
    <w:rsid w:val="00610A1A"/>
    <w:rsid w:val="00611407"/>
    <w:rsid w:val="00611C1B"/>
    <w:rsid w:val="00613BDC"/>
    <w:rsid w:val="00613CE0"/>
    <w:rsid w:val="006146BF"/>
    <w:rsid w:val="006149D1"/>
    <w:rsid w:val="00615D23"/>
    <w:rsid w:val="006162E5"/>
    <w:rsid w:val="00620190"/>
    <w:rsid w:val="006208E8"/>
    <w:rsid w:val="00620A80"/>
    <w:rsid w:val="00620BDA"/>
    <w:rsid w:val="00621CFF"/>
    <w:rsid w:val="00621F2F"/>
    <w:rsid w:val="00622462"/>
    <w:rsid w:val="00623F2A"/>
    <w:rsid w:val="006264B1"/>
    <w:rsid w:val="00626FCA"/>
    <w:rsid w:val="00627F20"/>
    <w:rsid w:val="00630180"/>
    <w:rsid w:val="006317CE"/>
    <w:rsid w:val="006322AF"/>
    <w:rsid w:val="00633CA0"/>
    <w:rsid w:val="00634A7C"/>
    <w:rsid w:val="00637E67"/>
    <w:rsid w:val="006400D6"/>
    <w:rsid w:val="00640B7F"/>
    <w:rsid w:val="0064273F"/>
    <w:rsid w:val="0064384E"/>
    <w:rsid w:val="00643EF3"/>
    <w:rsid w:val="006445FB"/>
    <w:rsid w:val="00644B45"/>
    <w:rsid w:val="00644BE5"/>
    <w:rsid w:val="0064534D"/>
    <w:rsid w:val="006462E9"/>
    <w:rsid w:val="00646969"/>
    <w:rsid w:val="00647B58"/>
    <w:rsid w:val="00647BB9"/>
    <w:rsid w:val="00650584"/>
    <w:rsid w:val="006509E9"/>
    <w:rsid w:val="00651E97"/>
    <w:rsid w:val="00652FAC"/>
    <w:rsid w:val="0065317B"/>
    <w:rsid w:val="0065355A"/>
    <w:rsid w:val="00653A2D"/>
    <w:rsid w:val="006575C0"/>
    <w:rsid w:val="006575D9"/>
    <w:rsid w:val="006641B3"/>
    <w:rsid w:val="00664E28"/>
    <w:rsid w:val="00665495"/>
    <w:rsid w:val="00666370"/>
    <w:rsid w:val="006664BA"/>
    <w:rsid w:val="006667CB"/>
    <w:rsid w:val="00666A67"/>
    <w:rsid w:val="00670136"/>
    <w:rsid w:val="006704D9"/>
    <w:rsid w:val="0067245B"/>
    <w:rsid w:val="00672FBA"/>
    <w:rsid w:val="006736F1"/>
    <w:rsid w:val="00674392"/>
    <w:rsid w:val="00675C85"/>
    <w:rsid w:val="0067618B"/>
    <w:rsid w:val="00676451"/>
    <w:rsid w:val="00677D83"/>
    <w:rsid w:val="00680141"/>
    <w:rsid w:val="006821F2"/>
    <w:rsid w:val="006823A3"/>
    <w:rsid w:val="00683153"/>
    <w:rsid w:val="00683B6F"/>
    <w:rsid w:val="006840AB"/>
    <w:rsid w:val="0068439E"/>
    <w:rsid w:val="0068494C"/>
    <w:rsid w:val="0068576B"/>
    <w:rsid w:val="00686A15"/>
    <w:rsid w:val="00687916"/>
    <w:rsid w:val="00687C3A"/>
    <w:rsid w:val="00690A9A"/>
    <w:rsid w:val="0069191A"/>
    <w:rsid w:val="0069211F"/>
    <w:rsid w:val="00694835"/>
    <w:rsid w:val="006948B9"/>
    <w:rsid w:val="00696C05"/>
    <w:rsid w:val="006970AD"/>
    <w:rsid w:val="00697598"/>
    <w:rsid w:val="006A04FA"/>
    <w:rsid w:val="006A184A"/>
    <w:rsid w:val="006A23BB"/>
    <w:rsid w:val="006A28D7"/>
    <w:rsid w:val="006A3221"/>
    <w:rsid w:val="006A337F"/>
    <w:rsid w:val="006A4362"/>
    <w:rsid w:val="006A436A"/>
    <w:rsid w:val="006A455D"/>
    <w:rsid w:val="006A512A"/>
    <w:rsid w:val="006A551E"/>
    <w:rsid w:val="006A58EF"/>
    <w:rsid w:val="006A615D"/>
    <w:rsid w:val="006B0026"/>
    <w:rsid w:val="006B1AD7"/>
    <w:rsid w:val="006B1FE6"/>
    <w:rsid w:val="006B2309"/>
    <w:rsid w:val="006B3750"/>
    <w:rsid w:val="006B437D"/>
    <w:rsid w:val="006B4824"/>
    <w:rsid w:val="006C10EC"/>
    <w:rsid w:val="006C19D9"/>
    <w:rsid w:val="006C1F9F"/>
    <w:rsid w:val="006C2FA4"/>
    <w:rsid w:val="006C627E"/>
    <w:rsid w:val="006C7B3D"/>
    <w:rsid w:val="006D20D0"/>
    <w:rsid w:val="006D2782"/>
    <w:rsid w:val="006D36FF"/>
    <w:rsid w:val="006D3DC1"/>
    <w:rsid w:val="006D4C00"/>
    <w:rsid w:val="006D6E9F"/>
    <w:rsid w:val="006E0A36"/>
    <w:rsid w:val="006E1138"/>
    <w:rsid w:val="006E2BBB"/>
    <w:rsid w:val="006E36B5"/>
    <w:rsid w:val="006E65F2"/>
    <w:rsid w:val="006F099D"/>
    <w:rsid w:val="006F16B0"/>
    <w:rsid w:val="006F16F2"/>
    <w:rsid w:val="006F2F4B"/>
    <w:rsid w:val="007010F6"/>
    <w:rsid w:val="00702544"/>
    <w:rsid w:val="00703149"/>
    <w:rsid w:val="00703CB0"/>
    <w:rsid w:val="00703CDA"/>
    <w:rsid w:val="00703E5B"/>
    <w:rsid w:val="0070744A"/>
    <w:rsid w:val="00707860"/>
    <w:rsid w:val="00707A49"/>
    <w:rsid w:val="00707F5A"/>
    <w:rsid w:val="0071159B"/>
    <w:rsid w:val="00712994"/>
    <w:rsid w:val="0071336F"/>
    <w:rsid w:val="00716253"/>
    <w:rsid w:val="00717092"/>
    <w:rsid w:val="007172B1"/>
    <w:rsid w:val="007176C0"/>
    <w:rsid w:val="00717BE8"/>
    <w:rsid w:val="007210F6"/>
    <w:rsid w:val="00721D51"/>
    <w:rsid w:val="007241AC"/>
    <w:rsid w:val="00724323"/>
    <w:rsid w:val="00724744"/>
    <w:rsid w:val="00725FC0"/>
    <w:rsid w:val="007274A4"/>
    <w:rsid w:val="00730A98"/>
    <w:rsid w:val="00732DB9"/>
    <w:rsid w:val="0073479E"/>
    <w:rsid w:val="00736367"/>
    <w:rsid w:val="00736F0F"/>
    <w:rsid w:val="007408DC"/>
    <w:rsid w:val="00741A99"/>
    <w:rsid w:val="00741F45"/>
    <w:rsid w:val="0074350B"/>
    <w:rsid w:val="00744373"/>
    <w:rsid w:val="00744A30"/>
    <w:rsid w:val="00744C82"/>
    <w:rsid w:val="00744E6A"/>
    <w:rsid w:val="00744FED"/>
    <w:rsid w:val="007455B6"/>
    <w:rsid w:val="00745CCA"/>
    <w:rsid w:val="00746977"/>
    <w:rsid w:val="0074702A"/>
    <w:rsid w:val="0074782A"/>
    <w:rsid w:val="00747B18"/>
    <w:rsid w:val="00747C74"/>
    <w:rsid w:val="00747D52"/>
    <w:rsid w:val="007530DF"/>
    <w:rsid w:val="00753E5C"/>
    <w:rsid w:val="007550B0"/>
    <w:rsid w:val="00755C67"/>
    <w:rsid w:val="00755EA1"/>
    <w:rsid w:val="00755EAB"/>
    <w:rsid w:val="00756348"/>
    <w:rsid w:val="00761830"/>
    <w:rsid w:val="0076201F"/>
    <w:rsid w:val="00762B37"/>
    <w:rsid w:val="0076331F"/>
    <w:rsid w:val="00763C8B"/>
    <w:rsid w:val="00764CB6"/>
    <w:rsid w:val="0076582D"/>
    <w:rsid w:val="00765F1D"/>
    <w:rsid w:val="00766669"/>
    <w:rsid w:val="00767B2C"/>
    <w:rsid w:val="007714D9"/>
    <w:rsid w:val="007722CA"/>
    <w:rsid w:val="00772DB3"/>
    <w:rsid w:val="00774995"/>
    <w:rsid w:val="00776184"/>
    <w:rsid w:val="007775C5"/>
    <w:rsid w:val="007809CC"/>
    <w:rsid w:val="00781C60"/>
    <w:rsid w:val="00783948"/>
    <w:rsid w:val="00783D64"/>
    <w:rsid w:val="00786001"/>
    <w:rsid w:val="00787989"/>
    <w:rsid w:val="00787D6C"/>
    <w:rsid w:val="007905BD"/>
    <w:rsid w:val="00790A69"/>
    <w:rsid w:val="007916CD"/>
    <w:rsid w:val="007927EE"/>
    <w:rsid w:val="00793571"/>
    <w:rsid w:val="00795072"/>
    <w:rsid w:val="0079684F"/>
    <w:rsid w:val="00796852"/>
    <w:rsid w:val="007977A1"/>
    <w:rsid w:val="007A0810"/>
    <w:rsid w:val="007A1BC8"/>
    <w:rsid w:val="007A2BB2"/>
    <w:rsid w:val="007A2C46"/>
    <w:rsid w:val="007A2DE1"/>
    <w:rsid w:val="007A4264"/>
    <w:rsid w:val="007A55F2"/>
    <w:rsid w:val="007A5856"/>
    <w:rsid w:val="007A6094"/>
    <w:rsid w:val="007A6114"/>
    <w:rsid w:val="007A6460"/>
    <w:rsid w:val="007A7120"/>
    <w:rsid w:val="007B0256"/>
    <w:rsid w:val="007B0BF9"/>
    <w:rsid w:val="007B1DEA"/>
    <w:rsid w:val="007B4C15"/>
    <w:rsid w:val="007B4D43"/>
    <w:rsid w:val="007B5131"/>
    <w:rsid w:val="007B61C1"/>
    <w:rsid w:val="007B6AA0"/>
    <w:rsid w:val="007B7659"/>
    <w:rsid w:val="007C0843"/>
    <w:rsid w:val="007C1BC8"/>
    <w:rsid w:val="007C27A5"/>
    <w:rsid w:val="007C3B9B"/>
    <w:rsid w:val="007C4170"/>
    <w:rsid w:val="007C5B16"/>
    <w:rsid w:val="007C6EC1"/>
    <w:rsid w:val="007C7DC8"/>
    <w:rsid w:val="007D1ED4"/>
    <w:rsid w:val="007D2565"/>
    <w:rsid w:val="007D2C82"/>
    <w:rsid w:val="007D36A2"/>
    <w:rsid w:val="007D4572"/>
    <w:rsid w:val="007D45F0"/>
    <w:rsid w:val="007D5424"/>
    <w:rsid w:val="007D7453"/>
    <w:rsid w:val="007D7B8A"/>
    <w:rsid w:val="007E0B8D"/>
    <w:rsid w:val="007E1288"/>
    <w:rsid w:val="007E227C"/>
    <w:rsid w:val="007E2DD8"/>
    <w:rsid w:val="007E32FC"/>
    <w:rsid w:val="007E4087"/>
    <w:rsid w:val="007E53E6"/>
    <w:rsid w:val="007E6D54"/>
    <w:rsid w:val="007E707C"/>
    <w:rsid w:val="007F0B70"/>
    <w:rsid w:val="007F117D"/>
    <w:rsid w:val="007F127D"/>
    <w:rsid w:val="007F28A8"/>
    <w:rsid w:val="007F2D91"/>
    <w:rsid w:val="007F523B"/>
    <w:rsid w:val="007F57FE"/>
    <w:rsid w:val="007F5F7A"/>
    <w:rsid w:val="007F6174"/>
    <w:rsid w:val="008005D4"/>
    <w:rsid w:val="00801874"/>
    <w:rsid w:val="00802921"/>
    <w:rsid w:val="00803312"/>
    <w:rsid w:val="00803D28"/>
    <w:rsid w:val="0080428E"/>
    <w:rsid w:val="00804E1A"/>
    <w:rsid w:val="00805982"/>
    <w:rsid w:val="00806D26"/>
    <w:rsid w:val="00807978"/>
    <w:rsid w:val="00811452"/>
    <w:rsid w:val="00811DED"/>
    <w:rsid w:val="00813C7F"/>
    <w:rsid w:val="008160D7"/>
    <w:rsid w:val="008173C5"/>
    <w:rsid w:val="00820691"/>
    <w:rsid w:val="00821166"/>
    <w:rsid w:val="00822052"/>
    <w:rsid w:val="00823159"/>
    <w:rsid w:val="00823324"/>
    <w:rsid w:val="0082351F"/>
    <w:rsid w:val="008244B7"/>
    <w:rsid w:val="00825612"/>
    <w:rsid w:val="008258CF"/>
    <w:rsid w:val="0082601D"/>
    <w:rsid w:val="00826772"/>
    <w:rsid w:val="00827C75"/>
    <w:rsid w:val="00827F26"/>
    <w:rsid w:val="00830905"/>
    <w:rsid w:val="00830A86"/>
    <w:rsid w:val="00830AA6"/>
    <w:rsid w:val="0083206A"/>
    <w:rsid w:val="00834C9E"/>
    <w:rsid w:val="00836826"/>
    <w:rsid w:val="008416D3"/>
    <w:rsid w:val="00843ED4"/>
    <w:rsid w:val="0084737D"/>
    <w:rsid w:val="00850CD7"/>
    <w:rsid w:val="00850D90"/>
    <w:rsid w:val="00851E66"/>
    <w:rsid w:val="00852356"/>
    <w:rsid w:val="008553AF"/>
    <w:rsid w:val="00856435"/>
    <w:rsid w:val="00857A9F"/>
    <w:rsid w:val="00857AB4"/>
    <w:rsid w:val="008618C4"/>
    <w:rsid w:val="00862504"/>
    <w:rsid w:val="00862C66"/>
    <w:rsid w:val="00864E6A"/>
    <w:rsid w:val="00864F24"/>
    <w:rsid w:val="00866F40"/>
    <w:rsid w:val="008701BD"/>
    <w:rsid w:val="00870AF0"/>
    <w:rsid w:val="00871457"/>
    <w:rsid w:val="00872D43"/>
    <w:rsid w:val="008732CB"/>
    <w:rsid w:val="00874A7C"/>
    <w:rsid w:val="008761C7"/>
    <w:rsid w:val="00876D28"/>
    <w:rsid w:val="00877BE9"/>
    <w:rsid w:val="0088050C"/>
    <w:rsid w:val="0088476C"/>
    <w:rsid w:val="00884A32"/>
    <w:rsid w:val="00885097"/>
    <w:rsid w:val="008859F8"/>
    <w:rsid w:val="008861AB"/>
    <w:rsid w:val="00891DFF"/>
    <w:rsid w:val="0089297F"/>
    <w:rsid w:val="008931AD"/>
    <w:rsid w:val="00894762"/>
    <w:rsid w:val="00895525"/>
    <w:rsid w:val="008A14A9"/>
    <w:rsid w:val="008A183A"/>
    <w:rsid w:val="008A3A67"/>
    <w:rsid w:val="008A3FD1"/>
    <w:rsid w:val="008A60E2"/>
    <w:rsid w:val="008A72EB"/>
    <w:rsid w:val="008A7D7E"/>
    <w:rsid w:val="008B15BF"/>
    <w:rsid w:val="008B15CE"/>
    <w:rsid w:val="008B1B02"/>
    <w:rsid w:val="008B2D77"/>
    <w:rsid w:val="008B30E0"/>
    <w:rsid w:val="008B32DF"/>
    <w:rsid w:val="008B49DC"/>
    <w:rsid w:val="008B4C12"/>
    <w:rsid w:val="008B51E3"/>
    <w:rsid w:val="008B56A5"/>
    <w:rsid w:val="008C1794"/>
    <w:rsid w:val="008C1823"/>
    <w:rsid w:val="008C28B7"/>
    <w:rsid w:val="008C30C4"/>
    <w:rsid w:val="008C3815"/>
    <w:rsid w:val="008C496D"/>
    <w:rsid w:val="008C5DD0"/>
    <w:rsid w:val="008C7DFD"/>
    <w:rsid w:val="008D0A18"/>
    <w:rsid w:val="008D0C50"/>
    <w:rsid w:val="008D1135"/>
    <w:rsid w:val="008D14BE"/>
    <w:rsid w:val="008D15A1"/>
    <w:rsid w:val="008D1F1D"/>
    <w:rsid w:val="008D2705"/>
    <w:rsid w:val="008D28A8"/>
    <w:rsid w:val="008D5EF9"/>
    <w:rsid w:val="008D620B"/>
    <w:rsid w:val="008E25FB"/>
    <w:rsid w:val="008E3E73"/>
    <w:rsid w:val="008E3EC1"/>
    <w:rsid w:val="008E5255"/>
    <w:rsid w:val="008E5528"/>
    <w:rsid w:val="008E606C"/>
    <w:rsid w:val="008F187D"/>
    <w:rsid w:val="008F403F"/>
    <w:rsid w:val="008F451C"/>
    <w:rsid w:val="008F5399"/>
    <w:rsid w:val="008F6724"/>
    <w:rsid w:val="008F7D6E"/>
    <w:rsid w:val="00900283"/>
    <w:rsid w:val="0090483A"/>
    <w:rsid w:val="00904B93"/>
    <w:rsid w:val="00906E3D"/>
    <w:rsid w:val="00907086"/>
    <w:rsid w:val="009078B2"/>
    <w:rsid w:val="00910567"/>
    <w:rsid w:val="009107FB"/>
    <w:rsid w:val="00912C45"/>
    <w:rsid w:val="00913B95"/>
    <w:rsid w:val="0091502F"/>
    <w:rsid w:val="0091555D"/>
    <w:rsid w:val="00917EE8"/>
    <w:rsid w:val="00923EAC"/>
    <w:rsid w:val="00924F05"/>
    <w:rsid w:val="0092592C"/>
    <w:rsid w:val="009265C4"/>
    <w:rsid w:val="009319DC"/>
    <w:rsid w:val="00931D75"/>
    <w:rsid w:val="00931DA5"/>
    <w:rsid w:val="00932C33"/>
    <w:rsid w:val="00933651"/>
    <w:rsid w:val="0093402F"/>
    <w:rsid w:val="00934716"/>
    <w:rsid w:val="009367E3"/>
    <w:rsid w:val="0094296F"/>
    <w:rsid w:val="00943809"/>
    <w:rsid w:val="00943AFC"/>
    <w:rsid w:val="00945A5A"/>
    <w:rsid w:val="00945D39"/>
    <w:rsid w:val="00946F1C"/>
    <w:rsid w:val="00947A98"/>
    <w:rsid w:val="00954F86"/>
    <w:rsid w:val="0095535A"/>
    <w:rsid w:val="00957079"/>
    <w:rsid w:val="009577D6"/>
    <w:rsid w:val="0096049B"/>
    <w:rsid w:val="0096071F"/>
    <w:rsid w:val="00960C09"/>
    <w:rsid w:val="009619C0"/>
    <w:rsid w:val="009622CC"/>
    <w:rsid w:val="009629F6"/>
    <w:rsid w:val="009644B1"/>
    <w:rsid w:val="009668B8"/>
    <w:rsid w:val="009668C1"/>
    <w:rsid w:val="00966C82"/>
    <w:rsid w:val="009708C6"/>
    <w:rsid w:val="009710E7"/>
    <w:rsid w:val="0097251B"/>
    <w:rsid w:val="009731AC"/>
    <w:rsid w:val="00973EA3"/>
    <w:rsid w:val="009747E3"/>
    <w:rsid w:val="00974917"/>
    <w:rsid w:val="0097697B"/>
    <w:rsid w:val="009803B0"/>
    <w:rsid w:val="009817AE"/>
    <w:rsid w:val="00984290"/>
    <w:rsid w:val="0098729B"/>
    <w:rsid w:val="009872EA"/>
    <w:rsid w:val="00987442"/>
    <w:rsid w:val="0098750C"/>
    <w:rsid w:val="00987F35"/>
    <w:rsid w:val="009904C1"/>
    <w:rsid w:val="0099077D"/>
    <w:rsid w:val="00991641"/>
    <w:rsid w:val="00991F5B"/>
    <w:rsid w:val="009935E3"/>
    <w:rsid w:val="00994007"/>
    <w:rsid w:val="00994D58"/>
    <w:rsid w:val="00997977"/>
    <w:rsid w:val="009979D2"/>
    <w:rsid w:val="009A0796"/>
    <w:rsid w:val="009A086D"/>
    <w:rsid w:val="009A0EC2"/>
    <w:rsid w:val="009A17E2"/>
    <w:rsid w:val="009A1B97"/>
    <w:rsid w:val="009A1DE5"/>
    <w:rsid w:val="009A3FFE"/>
    <w:rsid w:val="009A45C5"/>
    <w:rsid w:val="009A518F"/>
    <w:rsid w:val="009A59F4"/>
    <w:rsid w:val="009A5E9D"/>
    <w:rsid w:val="009A637A"/>
    <w:rsid w:val="009A657A"/>
    <w:rsid w:val="009A660A"/>
    <w:rsid w:val="009A6E7F"/>
    <w:rsid w:val="009A7593"/>
    <w:rsid w:val="009B09AD"/>
    <w:rsid w:val="009B270E"/>
    <w:rsid w:val="009B3D0C"/>
    <w:rsid w:val="009B4B84"/>
    <w:rsid w:val="009B5F19"/>
    <w:rsid w:val="009B684D"/>
    <w:rsid w:val="009B70B5"/>
    <w:rsid w:val="009C016B"/>
    <w:rsid w:val="009C1C84"/>
    <w:rsid w:val="009C4602"/>
    <w:rsid w:val="009C4F81"/>
    <w:rsid w:val="009C58B6"/>
    <w:rsid w:val="009C5FBA"/>
    <w:rsid w:val="009C6FE5"/>
    <w:rsid w:val="009D0014"/>
    <w:rsid w:val="009D0BDA"/>
    <w:rsid w:val="009D1BA5"/>
    <w:rsid w:val="009D34BA"/>
    <w:rsid w:val="009D3D18"/>
    <w:rsid w:val="009D46F4"/>
    <w:rsid w:val="009D4B42"/>
    <w:rsid w:val="009D4B8B"/>
    <w:rsid w:val="009D54C1"/>
    <w:rsid w:val="009D574B"/>
    <w:rsid w:val="009D6A0D"/>
    <w:rsid w:val="009D6B99"/>
    <w:rsid w:val="009D793F"/>
    <w:rsid w:val="009D799B"/>
    <w:rsid w:val="009E065B"/>
    <w:rsid w:val="009E076C"/>
    <w:rsid w:val="009E2121"/>
    <w:rsid w:val="009E3A33"/>
    <w:rsid w:val="009E6B3B"/>
    <w:rsid w:val="009F1CE2"/>
    <w:rsid w:val="009F2912"/>
    <w:rsid w:val="009F56B4"/>
    <w:rsid w:val="009F62FE"/>
    <w:rsid w:val="009F6D84"/>
    <w:rsid w:val="009F712C"/>
    <w:rsid w:val="009F7668"/>
    <w:rsid w:val="00A0175C"/>
    <w:rsid w:val="00A0203E"/>
    <w:rsid w:val="00A02474"/>
    <w:rsid w:val="00A0353B"/>
    <w:rsid w:val="00A03ADC"/>
    <w:rsid w:val="00A03EEF"/>
    <w:rsid w:val="00A0452C"/>
    <w:rsid w:val="00A046BB"/>
    <w:rsid w:val="00A0500C"/>
    <w:rsid w:val="00A050DF"/>
    <w:rsid w:val="00A059B4"/>
    <w:rsid w:val="00A10879"/>
    <w:rsid w:val="00A11215"/>
    <w:rsid w:val="00A14EF2"/>
    <w:rsid w:val="00A15067"/>
    <w:rsid w:val="00A205E1"/>
    <w:rsid w:val="00A210E1"/>
    <w:rsid w:val="00A21130"/>
    <w:rsid w:val="00A21568"/>
    <w:rsid w:val="00A216BA"/>
    <w:rsid w:val="00A22462"/>
    <w:rsid w:val="00A22F5D"/>
    <w:rsid w:val="00A23089"/>
    <w:rsid w:val="00A230F7"/>
    <w:rsid w:val="00A2338B"/>
    <w:rsid w:val="00A23A97"/>
    <w:rsid w:val="00A23DF7"/>
    <w:rsid w:val="00A24425"/>
    <w:rsid w:val="00A24557"/>
    <w:rsid w:val="00A26326"/>
    <w:rsid w:val="00A269D5"/>
    <w:rsid w:val="00A35D57"/>
    <w:rsid w:val="00A35D7A"/>
    <w:rsid w:val="00A36569"/>
    <w:rsid w:val="00A379AE"/>
    <w:rsid w:val="00A4147D"/>
    <w:rsid w:val="00A423FF"/>
    <w:rsid w:val="00A437C7"/>
    <w:rsid w:val="00A45E4D"/>
    <w:rsid w:val="00A461B2"/>
    <w:rsid w:val="00A47254"/>
    <w:rsid w:val="00A47E07"/>
    <w:rsid w:val="00A503CA"/>
    <w:rsid w:val="00A50821"/>
    <w:rsid w:val="00A51228"/>
    <w:rsid w:val="00A51BA5"/>
    <w:rsid w:val="00A52224"/>
    <w:rsid w:val="00A5257C"/>
    <w:rsid w:val="00A52667"/>
    <w:rsid w:val="00A5355C"/>
    <w:rsid w:val="00A53F0D"/>
    <w:rsid w:val="00A55066"/>
    <w:rsid w:val="00A567EC"/>
    <w:rsid w:val="00A576CC"/>
    <w:rsid w:val="00A57958"/>
    <w:rsid w:val="00A603D6"/>
    <w:rsid w:val="00A60C3C"/>
    <w:rsid w:val="00A622DE"/>
    <w:rsid w:val="00A62ECD"/>
    <w:rsid w:val="00A6452A"/>
    <w:rsid w:val="00A64EA2"/>
    <w:rsid w:val="00A660D8"/>
    <w:rsid w:val="00A672FF"/>
    <w:rsid w:val="00A70A9D"/>
    <w:rsid w:val="00A712DD"/>
    <w:rsid w:val="00A714BD"/>
    <w:rsid w:val="00A71536"/>
    <w:rsid w:val="00A71554"/>
    <w:rsid w:val="00A72635"/>
    <w:rsid w:val="00A73BFB"/>
    <w:rsid w:val="00A73DFA"/>
    <w:rsid w:val="00A75DFF"/>
    <w:rsid w:val="00A762C7"/>
    <w:rsid w:val="00A77012"/>
    <w:rsid w:val="00A77230"/>
    <w:rsid w:val="00A77EDC"/>
    <w:rsid w:val="00A80B6E"/>
    <w:rsid w:val="00A81591"/>
    <w:rsid w:val="00A82176"/>
    <w:rsid w:val="00A822BC"/>
    <w:rsid w:val="00A83382"/>
    <w:rsid w:val="00A83FAC"/>
    <w:rsid w:val="00A84274"/>
    <w:rsid w:val="00A85066"/>
    <w:rsid w:val="00A863BA"/>
    <w:rsid w:val="00A91795"/>
    <w:rsid w:val="00A922B7"/>
    <w:rsid w:val="00A935DA"/>
    <w:rsid w:val="00A94210"/>
    <w:rsid w:val="00AA05F9"/>
    <w:rsid w:val="00AA2C85"/>
    <w:rsid w:val="00AA3D18"/>
    <w:rsid w:val="00AA42D1"/>
    <w:rsid w:val="00AB0086"/>
    <w:rsid w:val="00AB0B4E"/>
    <w:rsid w:val="00AB111F"/>
    <w:rsid w:val="00AB44B1"/>
    <w:rsid w:val="00AB4DB2"/>
    <w:rsid w:val="00AB4E3C"/>
    <w:rsid w:val="00AB51F0"/>
    <w:rsid w:val="00AB5590"/>
    <w:rsid w:val="00AB55F4"/>
    <w:rsid w:val="00AB74D7"/>
    <w:rsid w:val="00AC082D"/>
    <w:rsid w:val="00AC1F4F"/>
    <w:rsid w:val="00AC2C65"/>
    <w:rsid w:val="00AC5510"/>
    <w:rsid w:val="00AC5522"/>
    <w:rsid w:val="00AC758A"/>
    <w:rsid w:val="00AC7DEF"/>
    <w:rsid w:val="00AD182A"/>
    <w:rsid w:val="00AD1E01"/>
    <w:rsid w:val="00AD2C4B"/>
    <w:rsid w:val="00AD3305"/>
    <w:rsid w:val="00AD463E"/>
    <w:rsid w:val="00AD5018"/>
    <w:rsid w:val="00AD595F"/>
    <w:rsid w:val="00AD63C6"/>
    <w:rsid w:val="00AD707D"/>
    <w:rsid w:val="00AE0C25"/>
    <w:rsid w:val="00AE259F"/>
    <w:rsid w:val="00AE36DF"/>
    <w:rsid w:val="00AE3E66"/>
    <w:rsid w:val="00AE46AC"/>
    <w:rsid w:val="00AE4983"/>
    <w:rsid w:val="00AE5889"/>
    <w:rsid w:val="00AE607A"/>
    <w:rsid w:val="00AE7E80"/>
    <w:rsid w:val="00AE7F61"/>
    <w:rsid w:val="00AF1487"/>
    <w:rsid w:val="00AF1A57"/>
    <w:rsid w:val="00AF28B3"/>
    <w:rsid w:val="00AF2D53"/>
    <w:rsid w:val="00AF4AD4"/>
    <w:rsid w:val="00AF542F"/>
    <w:rsid w:val="00AF68DE"/>
    <w:rsid w:val="00AF74F7"/>
    <w:rsid w:val="00AF7D88"/>
    <w:rsid w:val="00B00A48"/>
    <w:rsid w:val="00B02871"/>
    <w:rsid w:val="00B0310F"/>
    <w:rsid w:val="00B032DC"/>
    <w:rsid w:val="00B03395"/>
    <w:rsid w:val="00B03914"/>
    <w:rsid w:val="00B04C7B"/>
    <w:rsid w:val="00B0526C"/>
    <w:rsid w:val="00B05CEE"/>
    <w:rsid w:val="00B1151A"/>
    <w:rsid w:val="00B121D2"/>
    <w:rsid w:val="00B125D3"/>
    <w:rsid w:val="00B14163"/>
    <w:rsid w:val="00B166CC"/>
    <w:rsid w:val="00B17B89"/>
    <w:rsid w:val="00B20084"/>
    <w:rsid w:val="00B2143E"/>
    <w:rsid w:val="00B22E40"/>
    <w:rsid w:val="00B23EF0"/>
    <w:rsid w:val="00B25530"/>
    <w:rsid w:val="00B25D40"/>
    <w:rsid w:val="00B26B66"/>
    <w:rsid w:val="00B27C33"/>
    <w:rsid w:val="00B3080D"/>
    <w:rsid w:val="00B32008"/>
    <w:rsid w:val="00B33AD9"/>
    <w:rsid w:val="00B34ED0"/>
    <w:rsid w:val="00B35410"/>
    <w:rsid w:val="00B356B6"/>
    <w:rsid w:val="00B35FDC"/>
    <w:rsid w:val="00B36631"/>
    <w:rsid w:val="00B4030D"/>
    <w:rsid w:val="00B409FD"/>
    <w:rsid w:val="00B40AD3"/>
    <w:rsid w:val="00B412DC"/>
    <w:rsid w:val="00B42715"/>
    <w:rsid w:val="00B431D2"/>
    <w:rsid w:val="00B43774"/>
    <w:rsid w:val="00B439C3"/>
    <w:rsid w:val="00B4423E"/>
    <w:rsid w:val="00B444D2"/>
    <w:rsid w:val="00B45773"/>
    <w:rsid w:val="00B47532"/>
    <w:rsid w:val="00B51269"/>
    <w:rsid w:val="00B51540"/>
    <w:rsid w:val="00B51E97"/>
    <w:rsid w:val="00B53F75"/>
    <w:rsid w:val="00B5425A"/>
    <w:rsid w:val="00B55068"/>
    <w:rsid w:val="00B55A52"/>
    <w:rsid w:val="00B56CDE"/>
    <w:rsid w:val="00B56FAA"/>
    <w:rsid w:val="00B57FC4"/>
    <w:rsid w:val="00B61583"/>
    <w:rsid w:val="00B6189E"/>
    <w:rsid w:val="00B63A36"/>
    <w:rsid w:val="00B64430"/>
    <w:rsid w:val="00B659B2"/>
    <w:rsid w:val="00B66E05"/>
    <w:rsid w:val="00B6734B"/>
    <w:rsid w:val="00B67A25"/>
    <w:rsid w:val="00B73054"/>
    <w:rsid w:val="00B76A5B"/>
    <w:rsid w:val="00B77B89"/>
    <w:rsid w:val="00B82433"/>
    <w:rsid w:val="00B82CCB"/>
    <w:rsid w:val="00B841CC"/>
    <w:rsid w:val="00B841EC"/>
    <w:rsid w:val="00B8472F"/>
    <w:rsid w:val="00B85B65"/>
    <w:rsid w:val="00B861B4"/>
    <w:rsid w:val="00B868B2"/>
    <w:rsid w:val="00B90069"/>
    <w:rsid w:val="00B90AB8"/>
    <w:rsid w:val="00B92926"/>
    <w:rsid w:val="00B94216"/>
    <w:rsid w:val="00B9476C"/>
    <w:rsid w:val="00B948C5"/>
    <w:rsid w:val="00B95477"/>
    <w:rsid w:val="00B95BAD"/>
    <w:rsid w:val="00B96AE3"/>
    <w:rsid w:val="00B977CD"/>
    <w:rsid w:val="00B97A55"/>
    <w:rsid w:val="00BA08D8"/>
    <w:rsid w:val="00BA08F0"/>
    <w:rsid w:val="00BA4941"/>
    <w:rsid w:val="00BA4CEC"/>
    <w:rsid w:val="00BA52F0"/>
    <w:rsid w:val="00BA742E"/>
    <w:rsid w:val="00BB076C"/>
    <w:rsid w:val="00BB11DD"/>
    <w:rsid w:val="00BB1325"/>
    <w:rsid w:val="00BB23C2"/>
    <w:rsid w:val="00BB36F0"/>
    <w:rsid w:val="00BB4956"/>
    <w:rsid w:val="00BB5DFE"/>
    <w:rsid w:val="00BB7E8A"/>
    <w:rsid w:val="00BC09B2"/>
    <w:rsid w:val="00BC3822"/>
    <w:rsid w:val="00BC446E"/>
    <w:rsid w:val="00BC7C31"/>
    <w:rsid w:val="00BC7CC0"/>
    <w:rsid w:val="00BC7CEF"/>
    <w:rsid w:val="00BD01A3"/>
    <w:rsid w:val="00BD2357"/>
    <w:rsid w:val="00BD2802"/>
    <w:rsid w:val="00BD319A"/>
    <w:rsid w:val="00BD572C"/>
    <w:rsid w:val="00BD5F76"/>
    <w:rsid w:val="00BD72F0"/>
    <w:rsid w:val="00BD73FD"/>
    <w:rsid w:val="00BD7EC5"/>
    <w:rsid w:val="00BE1138"/>
    <w:rsid w:val="00BE1F09"/>
    <w:rsid w:val="00BE3F40"/>
    <w:rsid w:val="00BE61E5"/>
    <w:rsid w:val="00BE69D0"/>
    <w:rsid w:val="00BF1B62"/>
    <w:rsid w:val="00BF210C"/>
    <w:rsid w:val="00BF26C6"/>
    <w:rsid w:val="00BF2EA0"/>
    <w:rsid w:val="00BF2FBE"/>
    <w:rsid w:val="00BF319C"/>
    <w:rsid w:val="00BF351F"/>
    <w:rsid w:val="00BF38BA"/>
    <w:rsid w:val="00BF4698"/>
    <w:rsid w:val="00BF50F3"/>
    <w:rsid w:val="00BF7A8D"/>
    <w:rsid w:val="00C00A45"/>
    <w:rsid w:val="00C01729"/>
    <w:rsid w:val="00C02BFB"/>
    <w:rsid w:val="00C02F3C"/>
    <w:rsid w:val="00C03EF1"/>
    <w:rsid w:val="00C04AAB"/>
    <w:rsid w:val="00C04F7C"/>
    <w:rsid w:val="00C05131"/>
    <w:rsid w:val="00C05A19"/>
    <w:rsid w:val="00C0713F"/>
    <w:rsid w:val="00C112AE"/>
    <w:rsid w:val="00C112D8"/>
    <w:rsid w:val="00C11FB3"/>
    <w:rsid w:val="00C12B01"/>
    <w:rsid w:val="00C13279"/>
    <w:rsid w:val="00C147D5"/>
    <w:rsid w:val="00C15D25"/>
    <w:rsid w:val="00C17866"/>
    <w:rsid w:val="00C17A33"/>
    <w:rsid w:val="00C220A9"/>
    <w:rsid w:val="00C24584"/>
    <w:rsid w:val="00C2726E"/>
    <w:rsid w:val="00C31711"/>
    <w:rsid w:val="00C32599"/>
    <w:rsid w:val="00C32F30"/>
    <w:rsid w:val="00C3454E"/>
    <w:rsid w:val="00C34602"/>
    <w:rsid w:val="00C3474B"/>
    <w:rsid w:val="00C35A1A"/>
    <w:rsid w:val="00C35AE5"/>
    <w:rsid w:val="00C35B9E"/>
    <w:rsid w:val="00C36A59"/>
    <w:rsid w:val="00C370BC"/>
    <w:rsid w:val="00C3717E"/>
    <w:rsid w:val="00C37EB9"/>
    <w:rsid w:val="00C412F6"/>
    <w:rsid w:val="00C44EBE"/>
    <w:rsid w:val="00C458ED"/>
    <w:rsid w:val="00C46750"/>
    <w:rsid w:val="00C46E9D"/>
    <w:rsid w:val="00C4797A"/>
    <w:rsid w:val="00C502E1"/>
    <w:rsid w:val="00C5368A"/>
    <w:rsid w:val="00C53F61"/>
    <w:rsid w:val="00C54E9F"/>
    <w:rsid w:val="00C55C2A"/>
    <w:rsid w:val="00C55F65"/>
    <w:rsid w:val="00C5700F"/>
    <w:rsid w:val="00C57689"/>
    <w:rsid w:val="00C613F6"/>
    <w:rsid w:val="00C6357A"/>
    <w:rsid w:val="00C65C00"/>
    <w:rsid w:val="00C65C3D"/>
    <w:rsid w:val="00C65EE7"/>
    <w:rsid w:val="00C6622C"/>
    <w:rsid w:val="00C67865"/>
    <w:rsid w:val="00C713A2"/>
    <w:rsid w:val="00C73298"/>
    <w:rsid w:val="00C73BA2"/>
    <w:rsid w:val="00C74C29"/>
    <w:rsid w:val="00C75C71"/>
    <w:rsid w:val="00C75EF7"/>
    <w:rsid w:val="00C765C2"/>
    <w:rsid w:val="00C77A41"/>
    <w:rsid w:val="00C8040C"/>
    <w:rsid w:val="00C80673"/>
    <w:rsid w:val="00C835B1"/>
    <w:rsid w:val="00C83FAA"/>
    <w:rsid w:val="00C85514"/>
    <w:rsid w:val="00C86238"/>
    <w:rsid w:val="00C86EBE"/>
    <w:rsid w:val="00C90659"/>
    <w:rsid w:val="00C94594"/>
    <w:rsid w:val="00C947E4"/>
    <w:rsid w:val="00C979B2"/>
    <w:rsid w:val="00C97BE8"/>
    <w:rsid w:val="00CA046E"/>
    <w:rsid w:val="00CA39A7"/>
    <w:rsid w:val="00CA40CF"/>
    <w:rsid w:val="00CA4DCA"/>
    <w:rsid w:val="00CA7468"/>
    <w:rsid w:val="00CB2EFB"/>
    <w:rsid w:val="00CB3B1F"/>
    <w:rsid w:val="00CB4486"/>
    <w:rsid w:val="00CC2043"/>
    <w:rsid w:val="00CC2533"/>
    <w:rsid w:val="00CC370A"/>
    <w:rsid w:val="00CC4F56"/>
    <w:rsid w:val="00CC524B"/>
    <w:rsid w:val="00CC55DF"/>
    <w:rsid w:val="00CC5F92"/>
    <w:rsid w:val="00CC69F5"/>
    <w:rsid w:val="00CC6A90"/>
    <w:rsid w:val="00CC7156"/>
    <w:rsid w:val="00CC771F"/>
    <w:rsid w:val="00CD065F"/>
    <w:rsid w:val="00CD08FA"/>
    <w:rsid w:val="00CD0EEA"/>
    <w:rsid w:val="00CD101D"/>
    <w:rsid w:val="00CD1B4B"/>
    <w:rsid w:val="00CD21EA"/>
    <w:rsid w:val="00CD33A6"/>
    <w:rsid w:val="00CD47ED"/>
    <w:rsid w:val="00CD4A21"/>
    <w:rsid w:val="00CD5519"/>
    <w:rsid w:val="00CD55CB"/>
    <w:rsid w:val="00CD5A29"/>
    <w:rsid w:val="00CD7026"/>
    <w:rsid w:val="00CE00F0"/>
    <w:rsid w:val="00CE11F5"/>
    <w:rsid w:val="00CE198E"/>
    <w:rsid w:val="00CE2C3D"/>
    <w:rsid w:val="00CE45EA"/>
    <w:rsid w:val="00CE6128"/>
    <w:rsid w:val="00CE7DB6"/>
    <w:rsid w:val="00CF1C00"/>
    <w:rsid w:val="00CF4CF3"/>
    <w:rsid w:val="00CF4F3F"/>
    <w:rsid w:val="00CF5D1B"/>
    <w:rsid w:val="00CF62EE"/>
    <w:rsid w:val="00CF66F9"/>
    <w:rsid w:val="00CF78C2"/>
    <w:rsid w:val="00CF7DD7"/>
    <w:rsid w:val="00CF7DDF"/>
    <w:rsid w:val="00D00371"/>
    <w:rsid w:val="00D01346"/>
    <w:rsid w:val="00D01C02"/>
    <w:rsid w:val="00D03FC6"/>
    <w:rsid w:val="00D06D60"/>
    <w:rsid w:val="00D0711F"/>
    <w:rsid w:val="00D07B43"/>
    <w:rsid w:val="00D07D7C"/>
    <w:rsid w:val="00D10653"/>
    <w:rsid w:val="00D11F10"/>
    <w:rsid w:val="00D12EBD"/>
    <w:rsid w:val="00D12EC3"/>
    <w:rsid w:val="00D13D2E"/>
    <w:rsid w:val="00D1432D"/>
    <w:rsid w:val="00D144C3"/>
    <w:rsid w:val="00D15E84"/>
    <w:rsid w:val="00D166C1"/>
    <w:rsid w:val="00D20273"/>
    <w:rsid w:val="00D21C09"/>
    <w:rsid w:val="00D21FB1"/>
    <w:rsid w:val="00D24B2A"/>
    <w:rsid w:val="00D24F9B"/>
    <w:rsid w:val="00D25827"/>
    <w:rsid w:val="00D262BE"/>
    <w:rsid w:val="00D268CB"/>
    <w:rsid w:val="00D276F9"/>
    <w:rsid w:val="00D27878"/>
    <w:rsid w:val="00D30358"/>
    <w:rsid w:val="00D31257"/>
    <w:rsid w:val="00D31644"/>
    <w:rsid w:val="00D31DAB"/>
    <w:rsid w:val="00D33EB4"/>
    <w:rsid w:val="00D34DDD"/>
    <w:rsid w:val="00D3570A"/>
    <w:rsid w:val="00D35E63"/>
    <w:rsid w:val="00D37913"/>
    <w:rsid w:val="00D400D2"/>
    <w:rsid w:val="00D420B3"/>
    <w:rsid w:val="00D422B5"/>
    <w:rsid w:val="00D4393E"/>
    <w:rsid w:val="00D43D20"/>
    <w:rsid w:val="00D45D1D"/>
    <w:rsid w:val="00D46A4E"/>
    <w:rsid w:val="00D46BB2"/>
    <w:rsid w:val="00D51723"/>
    <w:rsid w:val="00D51B82"/>
    <w:rsid w:val="00D52071"/>
    <w:rsid w:val="00D523CF"/>
    <w:rsid w:val="00D52BD2"/>
    <w:rsid w:val="00D53CA9"/>
    <w:rsid w:val="00D5432E"/>
    <w:rsid w:val="00D5521F"/>
    <w:rsid w:val="00D561B5"/>
    <w:rsid w:val="00D561E7"/>
    <w:rsid w:val="00D644D1"/>
    <w:rsid w:val="00D64D82"/>
    <w:rsid w:val="00D64DDC"/>
    <w:rsid w:val="00D65E1F"/>
    <w:rsid w:val="00D72AE9"/>
    <w:rsid w:val="00D72F67"/>
    <w:rsid w:val="00D75B5C"/>
    <w:rsid w:val="00D806CF"/>
    <w:rsid w:val="00D814A3"/>
    <w:rsid w:val="00D819F1"/>
    <w:rsid w:val="00D8453E"/>
    <w:rsid w:val="00D84791"/>
    <w:rsid w:val="00D8567F"/>
    <w:rsid w:val="00D907DC"/>
    <w:rsid w:val="00D92785"/>
    <w:rsid w:val="00D93278"/>
    <w:rsid w:val="00D936CC"/>
    <w:rsid w:val="00D93817"/>
    <w:rsid w:val="00D951FA"/>
    <w:rsid w:val="00D95BE0"/>
    <w:rsid w:val="00D96732"/>
    <w:rsid w:val="00D97696"/>
    <w:rsid w:val="00DA077B"/>
    <w:rsid w:val="00DA089C"/>
    <w:rsid w:val="00DA1773"/>
    <w:rsid w:val="00DA1F90"/>
    <w:rsid w:val="00DA2B29"/>
    <w:rsid w:val="00DA42FF"/>
    <w:rsid w:val="00DA465B"/>
    <w:rsid w:val="00DA5DFF"/>
    <w:rsid w:val="00DA7B35"/>
    <w:rsid w:val="00DA7CDB"/>
    <w:rsid w:val="00DB02A3"/>
    <w:rsid w:val="00DB02AD"/>
    <w:rsid w:val="00DB13FD"/>
    <w:rsid w:val="00DB15B4"/>
    <w:rsid w:val="00DB1B22"/>
    <w:rsid w:val="00DB1F7A"/>
    <w:rsid w:val="00DB2F02"/>
    <w:rsid w:val="00DB3F70"/>
    <w:rsid w:val="00DB572E"/>
    <w:rsid w:val="00DB6665"/>
    <w:rsid w:val="00DC13CC"/>
    <w:rsid w:val="00DC259C"/>
    <w:rsid w:val="00DC38E4"/>
    <w:rsid w:val="00DC3AE2"/>
    <w:rsid w:val="00DC5319"/>
    <w:rsid w:val="00DC5851"/>
    <w:rsid w:val="00DC62E6"/>
    <w:rsid w:val="00DC7555"/>
    <w:rsid w:val="00DD20EE"/>
    <w:rsid w:val="00DD210C"/>
    <w:rsid w:val="00DD25D6"/>
    <w:rsid w:val="00DD265D"/>
    <w:rsid w:val="00DD2667"/>
    <w:rsid w:val="00DD46EA"/>
    <w:rsid w:val="00DD5785"/>
    <w:rsid w:val="00DD5D93"/>
    <w:rsid w:val="00DD6B8C"/>
    <w:rsid w:val="00DD7450"/>
    <w:rsid w:val="00DE0155"/>
    <w:rsid w:val="00DE2351"/>
    <w:rsid w:val="00DE24D3"/>
    <w:rsid w:val="00DE34AB"/>
    <w:rsid w:val="00DE5C0D"/>
    <w:rsid w:val="00DE671D"/>
    <w:rsid w:val="00DE6ECB"/>
    <w:rsid w:val="00DE745F"/>
    <w:rsid w:val="00DE75BC"/>
    <w:rsid w:val="00DF13A6"/>
    <w:rsid w:val="00DF1F42"/>
    <w:rsid w:val="00DF20F4"/>
    <w:rsid w:val="00DF295B"/>
    <w:rsid w:val="00DF3151"/>
    <w:rsid w:val="00DF3C2E"/>
    <w:rsid w:val="00DF4589"/>
    <w:rsid w:val="00DF6BCD"/>
    <w:rsid w:val="00DF71F5"/>
    <w:rsid w:val="00DF7344"/>
    <w:rsid w:val="00E00487"/>
    <w:rsid w:val="00E00A7B"/>
    <w:rsid w:val="00E00BF7"/>
    <w:rsid w:val="00E033D1"/>
    <w:rsid w:val="00E044D7"/>
    <w:rsid w:val="00E04DB0"/>
    <w:rsid w:val="00E05ED9"/>
    <w:rsid w:val="00E06FF6"/>
    <w:rsid w:val="00E07E56"/>
    <w:rsid w:val="00E103E8"/>
    <w:rsid w:val="00E10EB1"/>
    <w:rsid w:val="00E115A4"/>
    <w:rsid w:val="00E11C7C"/>
    <w:rsid w:val="00E14ECA"/>
    <w:rsid w:val="00E17B4A"/>
    <w:rsid w:val="00E20243"/>
    <w:rsid w:val="00E21D1F"/>
    <w:rsid w:val="00E22BD2"/>
    <w:rsid w:val="00E232A2"/>
    <w:rsid w:val="00E24379"/>
    <w:rsid w:val="00E25B42"/>
    <w:rsid w:val="00E27C05"/>
    <w:rsid w:val="00E3112C"/>
    <w:rsid w:val="00E31194"/>
    <w:rsid w:val="00E35127"/>
    <w:rsid w:val="00E36A30"/>
    <w:rsid w:val="00E37093"/>
    <w:rsid w:val="00E4092C"/>
    <w:rsid w:val="00E424F6"/>
    <w:rsid w:val="00E42753"/>
    <w:rsid w:val="00E42F52"/>
    <w:rsid w:val="00E444DD"/>
    <w:rsid w:val="00E44B65"/>
    <w:rsid w:val="00E44E2B"/>
    <w:rsid w:val="00E45483"/>
    <w:rsid w:val="00E469E8"/>
    <w:rsid w:val="00E46FFC"/>
    <w:rsid w:val="00E475F1"/>
    <w:rsid w:val="00E4763F"/>
    <w:rsid w:val="00E50276"/>
    <w:rsid w:val="00E50EE1"/>
    <w:rsid w:val="00E512E7"/>
    <w:rsid w:val="00E52F52"/>
    <w:rsid w:val="00E52FC7"/>
    <w:rsid w:val="00E53408"/>
    <w:rsid w:val="00E54A0C"/>
    <w:rsid w:val="00E55CE5"/>
    <w:rsid w:val="00E601F6"/>
    <w:rsid w:val="00E627D5"/>
    <w:rsid w:val="00E63953"/>
    <w:rsid w:val="00E64604"/>
    <w:rsid w:val="00E6665E"/>
    <w:rsid w:val="00E67846"/>
    <w:rsid w:val="00E67E43"/>
    <w:rsid w:val="00E70102"/>
    <w:rsid w:val="00E70347"/>
    <w:rsid w:val="00E710A8"/>
    <w:rsid w:val="00E71950"/>
    <w:rsid w:val="00E71A4C"/>
    <w:rsid w:val="00E722C0"/>
    <w:rsid w:val="00E76157"/>
    <w:rsid w:val="00E80D71"/>
    <w:rsid w:val="00E835AF"/>
    <w:rsid w:val="00E8543F"/>
    <w:rsid w:val="00E85447"/>
    <w:rsid w:val="00E85F9F"/>
    <w:rsid w:val="00E8636C"/>
    <w:rsid w:val="00E91130"/>
    <w:rsid w:val="00E91F13"/>
    <w:rsid w:val="00E9230C"/>
    <w:rsid w:val="00E92ABB"/>
    <w:rsid w:val="00E9305A"/>
    <w:rsid w:val="00E93934"/>
    <w:rsid w:val="00E97A72"/>
    <w:rsid w:val="00E97D3A"/>
    <w:rsid w:val="00EA047C"/>
    <w:rsid w:val="00EA1403"/>
    <w:rsid w:val="00EA151C"/>
    <w:rsid w:val="00EA1DBB"/>
    <w:rsid w:val="00EA2851"/>
    <w:rsid w:val="00EA5318"/>
    <w:rsid w:val="00EA5B9E"/>
    <w:rsid w:val="00EB02A2"/>
    <w:rsid w:val="00EB0967"/>
    <w:rsid w:val="00EB2341"/>
    <w:rsid w:val="00EB2564"/>
    <w:rsid w:val="00EB44CB"/>
    <w:rsid w:val="00EB4819"/>
    <w:rsid w:val="00EB484B"/>
    <w:rsid w:val="00EB58C4"/>
    <w:rsid w:val="00EB673A"/>
    <w:rsid w:val="00EB702F"/>
    <w:rsid w:val="00EB75E7"/>
    <w:rsid w:val="00EB772D"/>
    <w:rsid w:val="00EB774F"/>
    <w:rsid w:val="00EB7B6B"/>
    <w:rsid w:val="00EC0D22"/>
    <w:rsid w:val="00EC293C"/>
    <w:rsid w:val="00EC435D"/>
    <w:rsid w:val="00EC4570"/>
    <w:rsid w:val="00EC58CF"/>
    <w:rsid w:val="00EC5B49"/>
    <w:rsid w:val="00EC7475"/>
    <w:rsid w:val="00ED50E6"/>
    <w:rsid w:val="00ED5480"/>
    <w:rsid w:val="00ED5D0B"/>
    <w:rsid w:val="00ED5E09"/>
    <w:rsid w:val="00ED6EF6"/>
    <w:rsid w:val="00ED7416"/>
    <w:rsid w:val="00EE00E1"/>
    <w:rsid w:val="00EE0B77"/>
    <w:rsid w:val="00EE1B55"/>
    <w:rsid w:val="00EE2878"/>
    <w:rsid w:val="00EE2EFB"/>
    <w:rsid w:val="00EE69CA"/>
    <w:rsid w:val="00EE7B11"/>
    <w:rsid w:val="00EF1BDA"/>
    <w:rsid w:val="00EF1BDB"/>
    <w:rsid w:val="00EF20C3"/>
    <w:rsid w:val="00EF29F3"/>
    <w:rsid w:val="00EF3870"/>
    <w:rsid w:val="00EF5111"/>
    <w:rsid w:val="00EF5E9C"/>
    <w:rsid w:val="00EF6CFB"/>
    <w:rsid w:val="00EF6DCD"/>
    <w:rsid w:val="00EF76E5"/>
    <w:rsid w:val="00F00809"/>
    <w:rsid w:val="00F009E4"/>
    <w:rsid w:val="00F01295"/>
    <w:rsid w:val="00F02F0D"/>
    <w:rsid w:val="00F04FC8"/>
    <w:rsid w:val="00F07C98"/>
    <w:rsid w:val="00F11A23"/>
    <w:rsid w:val="00F126B3"/>
    <w:rsid w:val="00F12FDD"/>
    <w:rsid w:val="00F131AB"/>
    <w:rsid w:val="00F140CF"/>
    <w:rsid w:val="00F15CBE"/>
    <w:rsid w:val="00F16796"/>
    <w:rsid w:val="00F17892"/>
    <w:rsid w:val="00F202FE"/>
    <w:rsid w:val="00F20F03"/>
    <w:rsid w:val="00F22730"/>
    <w:rsid w:val="00F23533"/>
    <w:rsid w:val="00F24448"/>
    <w:rsid w:val="00F24FCE"/>
    <w:rsid w:val="00F25EA6"/>
    <w:rsid w:val="00F2671E"/>
    <w:rsid w:val="00F3005B"/>
    <w:rsid w:val="00F300D9"/>
    <w:rsid w:val="00F30819"/>
    <w:rsid w:val="00F30B54"/>
    <w:rsid w:val="00F31E3E"/>
    <w:rsid w:val="00F32D30"/>
    <w:rsid w:val="00F34DF7"/>
    <w:rsid w:val="00F36271"/>
    <w:rsid w:val="00F36449"/>
    <w:rsid w:val="00F40581"/>
    <w:rsid w:val="00F414DF"/>
    <w:rsid w:val="00F41938"/>
    <w:rsid w:val="00F41D4A"/>
    <w:rsid w:val="00F428A4"/>
    <w:rsid w:val="00F45984"/>
    <w:rsid w:val="00F45F59"/>
    <w:rsid w:val="00F5093E"/>
    <w:rsid w:val="00F50CCC"/>
    <w:rsid w:val="00F50E4A"/>
    <w:rsid w:val="00F52520"/>
    <w:rsid w:val="00F52784"/>
    <w:rsid w:val="00F53E0B"/>
    <w:rsid w:val="00F55734"/>
    <w:rsid w:val="00F55C58"/>
    <w:rsid w:val="00F56436"/>
    <w:rsid w:val="00F572EC"/>
    <w:rsid w:val="00F611EB"/>
    <w:rsid w:val="00F62C69"/>
    <w:rsid w:val="00F67BF0"/>
    <w:rsid w:val="00F70873"/>
    <w:rsid w:val="00F70FE2"/>
    <w:rsid w:val="00F713BA"/>
    <w:rsid w:val="00F7223B"/>
    <w:rsid w:val="00F72D88"/>
    <w:rsid w:val="00F74638"/>
    <w:rsid w:val="00F74EA3"/>
    <w:rsid w:val="00F77290"/>
    <w:rsid w:val="00F8138E"/>
    <w:rsid w:val="00F8148C"/>
    <w:rsid w:val="00F8210B"/>
    <w:rsid w:val="00F82762"/>
    <w:rsid w:val="00F835C1"/>
    <w:rsid w:val="00F84B50"/>
    <w:rsid w:val="00F85597"/>
    <w:rsid w:val="00F859FF"/>
    <w:rsid w:val="00F8754A"/>
    <w:rsid w:val="00F90494"/>
    <w:rsid w:val="00F9165C"/>
    <w:rsid w:val="00F91698"/>
    <w:rsid w:val="00F924EB"/>
    <w:rsid w:val="00F92CA1"/>
    <w:rsid w:val="00F9360B"/>
    <w:rsid w:val="00F96373"/>
    <w:rsid w:val="00F96A18"/>
    <w:rsid w:val="00F9716B"/>
    <w:rsid w:val="00F97265"/>
    <w:rsid w:val="00FA12D5"/>
    <w:rsid w:val="00FA2118"/>
    <w:rsid w:val="00FA271B"/>
    <w:rsid w:val="00FA38A1"/>
    <w:rsid w:val="00FA3947"/>
    <w:rsid w:val="00FA5273"/>
    <w:rsid w:val="00FA6D38"/>
    <w:rsid w:val="00FB017D"/>
    <w:rsid w:val="00FB0BD4"/>
    <w:rsid w:val="00FB0CB0"/>
    <w:rsid w:val="00FB11EE"/>
    <w:rsid w:val="00FB146D"/>
    <w:rsid w:val="00FB213E"/>
    <w:rsid w:val="00FB2CCC"/>
    <w:rsid w:val="00FB2EB5"/>
    <w:rsid w:val="00FB39AE"/>
    <w:rsid w:val="00FB3CE0"/>
    <w:rsid w:val="00FB61B6"/>
    <w:rsid w:val="00FB71BD"/>
    <w:rsid w:val="00FC35CA"/>
    <w:rsid w:val="00FC3EAE"/>
    <w:rsid w:val="00FC4D98"/>
    <w:rsid w:val="00FC5738"/>
    <w:rsid w:val="00FC5CBB"/>
    <w:rsid w:val="00FC61EB"/>
    <w:rsid w:val="00FC70EF"/>
    <w:rsid w:val="00FD1DF5"/>
    <w:rsid w:val="00FD2473"/>
    <w:rsid w:val="00FD4C0D"/>
    <w:rsid w:val="00FD6776"/>
    <w:rsid w:val="00FE14C2"/>
    <w:rsid w:val="00FE3A5B"/>
    <w:rsid w:val="00FE3D95"/>
    <w:rsid w:val="00FE5237"/>
    <w:rsid w:val="00FE5FDC"/>
    <w:rsid w:val="00FE65A5"/>
    <w:rsid w:val="00FE7186"/>
    <w:rsid w:val="00FE7C94"/>
    <w:rsid w:val="00FF0512"/>
    <w:rsid w:val="00FF0ED2"/>
    <w:rsid w:val="00FF18D8"/>
    <w:rsid w:val="00FF1EA7"/>
    <w:rsid w:val="00FF2C9D"/>
    <w:rsid w:val="00FF4D3D"/>
    <w:rsid w:val="00FF5839"/>
    <w:rsid w:val="00FF5C54"/>
    <w:rsid w:val="00FF6191"/>
    <w:rsid w:val="00FF739D"/>
    <w:rsid w:val="00FF7851"/>
    <w:rsid w:val="010341C1"/>
    <w:rsid w:val="017A64CA"/>
    <w:rsid w:val="0188146F"/>
    <w:rsid w:val="01962787"/>
    <w:rsid w:val="022103C8"/>
    <w:rsid w:val="02615C65"/>
    <w:rsid w:val="02A25A55"/>
    <w:rsid w:val="03365265"/>
    <w:rsid w:val="03754DA9"/>
    <w:rsid w:val="041656E5"/>
    <w:rsid w:val="051C6545"/>
    <w:rsid w:val="059346C4"/>
    <w:rsid w:val="05A72143"/>
    <w:rsid w:val="061F6AE8"/>
    <w:rsid w:val="077327F9"/>
    <w:rsid w:val="07830248"/>
    <w:rsid w:val="07A46C85"/>
    <w:rsid w:val="07A51890"/>
    <w:rsid w:val="08D011C7"/>
    <w:rsid w:val="08FF68DB"/>
    <w:rsid w:val="09831013"/>
    <w:rsid w:val="09BC32D2"/>
    <w:rsid w:val="09D56286"/>
    <w:rsid w:val="09E673CD"/>
    <w:rsid w:val="09F92C16"/>
    <w:rsid w:val="0A034077"/>
    <w:rsid w:val="0A05056A"/>
    <w:rsid w:val="0A642136"/>
    <w:rsid w:val="0A744A02"/>
    <w:rsid w:val="0A973452"/>
    <w:rsid w:val="0B01169E"/>
    <w:rsid w:val="0B071083"/>
    <w:rsid w:val="0B216B50"/>
    <w:rsid w:val="0B7B01C9"/>
    <w:rsid w:val="0C614BB4"/>
    <w:rsid w:val="0CEF1F5D"/>
    <w:rsid w:val="0D9B5E3E"/>
    <w:rsid w:val="0E1B7DF8"/>
    <w:rsid w:val="0E6801B5"/>
    <w:rsid w:val="0E6F386D"/>
    <w:rsid w:val="0E723877"/>
    <w:rsid w:val="0E7D34B6"/>
    <w:rsid w:val="0ED635A4"/>
    <w:rsid w:val="0F3318E2"/>
    <w:rsid w:val="0F9F199C"/>
    <w:rsid w:val="0FF108FB"/>
    <w:rsid w:val="10B21AC9"/>
    <w:rsid w:val="11E455A0"/>
    <w:rsid w:val="12942E06"/>
    <w:rsid w:val="12D17543"/>
    <w:rsid w:val="132F282A"/>
    <w:rsid w:val="138C7272"/>
    <w:rsid w:val="13AA3EC3"/>
    <w:rsid w:val="13AF63B7"/>
    <w:rsid w:val="13B4711F"/>
    <w:rsid w:val="13C66452"/>
    <w:rsid w:val="13F20EA5"/>
    <w:rsid w:val="14992F02"/>
    <w:rsid w:val="14CE5E71"/>
    <w:rsid w:val="14D80BD9"/>
    <w:rsid w:val="14F06689"/>
    <w:rsid w:val="15643F0E"/>
    <w:rsid w:val="15CA3094"/>
    <w:rsid w:val="16014F21"/>
    <w:rsid w:val="163B638B"/>
    <w:rsid w:val="16730A8F"/>
    <w:rsid w:val="168516BC"/>
    <w:rsid w:val="16A36F70"/>
    <w:rsid w:val="16B944DE"/>
    <w:rsid w:val="17252B86"/>
    <w:rsid w:val="17672A76"/>
    <w:rsid w:val="17723CE3"/>
    <w:rsid w:val="17731085"/>
    <w:rsid w:val="177802ED"/>
    <w:rsid w:val="17862155"/>
    <w:rsid w:val="17A2099A"/>
    <w:rsid w:val="17AC64F7"/>
    <w:rsid w:val="17CA38F0"/>
    <w:rsid w:val="196B303D"/>
    <w:rsid w:val="19A90E9F"/>
    <w:rsid w:val="1A0E662E"/>
    <w:rsid w:val="1A363A8E"/>
    <w:rsid w:val="1A9F3C01"/>
    <w:rsid w:val="1AF240DA"/>
    <w:rsid w:val="1BAB5D48"/>
    <w:rsid w:val="1C131AC1"/>
    <w:rsid w:val="1C1D6A45"/>
    <w:rsid w:val="1C461019"/>
    <w:rsid w:val="1C963631"/>
    <w:rsid w:val="1CB47E65"/>
    <w:rsid w:val="1CDF6EA5"/>
    <w:rsid w:val="1CF31CC9"/>
    <w:rsid w:val="1D792790"/>
    <w:rsid w:val="1D88435D"/>
    <w:rsid w:val="1D9F707B"/>
    <w:rsid w:val="1DCE79DE"/>
    <w:rsid w:val="1E096FD6"/>
    <w:rsid w:val="1E125557"/>
    <w:rsid w:val="1E2F3E02"/>
    <w:rsid w:val="1E711686"/>
    <w:rsid w:val="1E8A7214"/>
    <w:rsid w:val="1EA369F1"/>
    <w:rsid w:val="1ECA7448"/>
    <w:rsid w:val="1ED63254"/>
    <w:rsid w:val="1EFC5786"/>
    <w:rsid w:val="1F203399"/>
    <w:rsid w:val="1F2F0324"/>
    <w:rsid w:val="1F6F3E40"/>
    <w:rsid w:val="1F703D2B"/>
    <w:rsid w:val="1F7F54AE"/>
    <w:rsid w:val="1FDE7224"/>
    <w:rsid w:val="20DA057A"/>
    <w:rsid w:val="211827A2"/>
    <w:rsid w:val="21CA579C"/>
    <w:rsid w:val="21D27242"/>
    <w:rsid w:val="220B414D"/>
    <w:rsid w:val="22224F12"/>
    <w:rsid w:val="22282D16"/>
    <w:rsid w:val="22E55E8B"/>
    <w:rsid w:val="233B2A37"/>
    <w:rsid w:val="234A271F"/>
    <w:rsid w:val="237A28D5"/>
    <w:rsid w:val="23E702CB"/>
    <w:rsid w:val="23FF2ECF"/>
    <w:rsid w:val="24252AB6"/>
    <w:rsid w:val="243F5A42"/>
    <w:rsid w:val="24474921"/>
    <w:rsid w:val="251260E4"/>
    <w:rsid w:val="251661ED"/>
    <w:rsid w:val="259E3C72"/>
    <w:rsid w:val="25BF47F1"/>
    <w:rsid w:val="262A5452"/>
    <w:rsid w:val="26712628"/>
    <w:rsid w:val="267E4D7C"/>
    <w:rsid w:val="26D420C3"/>
    <w:rsid w:val="26E841F5"/>
    <w:rsid w:val="27293913"/>
    <w:rsid w:val="27DE7051"/>
    <w:rsid w:val="27F80864"/>
    <w:rsid w:val="29715BBB"/>
    <w:rsid w:val="29D25122"/>
    <w:rsid w:val="29DB1A4B"/>
    <w:rsid w:val="29E441D8"/>
    <w:rsid w:val="2A5D26C8"/>
    <w:rsid w:val="2A6466C0"/>
    <w:rsid w:val="2AB74D30"/>
    <w:rsid w:val="2AEC574D"/>
    <w:rsid w:val="2B035866"/>
    <w:rsid w:val="2B082094"/>
    <w:rsid w:val="2B8F327E"/>
    <w:rsid w:val="2BBE7512"/>
    <w:rsid w:val="2C22405A"/>
    <w:rsid w:val="2C3947AF"/>
    <w:rsid w:val="2C454D79"/>
    <w:rsid w:val="2CAE3AEA"/>
    <w:rsid w:val="2CCC3E2D"/>
    <w:rsid w:val="2D87480E"/>
    <w:rsid w:val="2DBB1249"/>
    <w:rsid w:val="2E1A5E61"/>
    <w:rsid w:val="2E351B88"/>
    <w:rsid w:val="2E3E0136"/>
    <w:rsid w:val="2F1B4B06"/>
    <w:rsid w:val="2F312D50"/>
    <w:rsid w:val="2F446B99"/>
    <w:rsid w:val="2F50642E"/>
    <w:rsid w:val="300A6D33"/>
    <w:rsid w:val="304B3271"/>
    <w:rsid w:val="30FF65AD"/>
    <w:rsid w:val="3118459C"/>
    <w:rsid w:val="31215393"/>
    <w:rsid w:val="313C5027"/>
    <w:rsid w:val="318E7470"/>
    <w:rsid w:val="321334E6"/>
    <w:rsid w:val="321408C7"/>
    <w:rsid w:val="32EA26BC"/>
    <w:rsid w:val="331823FE"/>
    <w:rsid w:val="33940D9E"/>
    <w:rsid w:val="34F85B29"/>
    <w:rsid w:val="35034144"/>
    <w:rsid w:val="353B4C57"/>
    <w:rsid w:val="35546C90"/>
    <w:rsid w:val="35644C67"/>
    <w:rsid w:val="362078A5"/>
    <w:rsid w:val="363F3020"/>
    <w:rsid w:val="36DF227F"/>
    <w:rsid w:val="36FA4B43"/>
    <w:rsid w:val="37244FF6"/>
    <w:rsid w:val="37A36DB5"/>
    <w:rsid w:val="37D11E54"/>
    <w:rsid w:val="37D62846"/>
    <w:rsid w:val="38446045"/>
    <w:rsid w:val="38716E0C"/>
    <w:rsid w:val="39794060"/>
    <w:rsid w:val="39C62585"/>
    <w:rsid w:val="3A4B7E7E"/>
    <w:rsid w:val="3AA3056A"/>
    <w:rsid w:val="3AB70ACA"/>
    <w:rsid w:val="3AD45AE7"/>
    <w:rsid w:val="3AD94DA3"/>
    <w:rsid w:val="3AF36777"/>
    <w:rsid w:val="3B046E8C"/>
    <w:rsid w:val="3B2C5B1E"/>
    <w:rsid w:val="3B780C97"/>
    <w:rsid w:val="3B9872A6"/>
    <w:rsid w:val="3BC2206C"/>
    <w:rsid w:val="3C943B4D"/>
    <w:rsid w:val="3CA469BA"/>
    <w:rsid w:val="3CE505E2"/>
    <w:rsid w:val="3D28147A"/>
    <w:rsid w:val="3D6F60F0"/>
    <w:rsid w:val="3DDB0047"/>
    <w:rsid w:val="3E386D3E"/>
    <w:rsid w:val="3F395C6F"/>
    <w:rsid w:val="3F7439CA"/>
    <w:rsid w:val="3FB3009D"/>
    <w:rsid w:val="411F18AA"/>
    <w:rsid w:val="412B7EC8"/>
    <w:rsid w:val="41592D2E"/>
    <w:rsid w:val="41B30946"/>
    <w:rsid w:val="426B55C4"/>
    <w:rsid w:val="433B23D1"/>
    <w:rsid w:val="43BC1614"/>
    <w:rsid w:val="44C42DD8"/>
    <w:rsid w:val="44C83CE9"/>
    <w:rsid w:val="45F4696F"/>
    <w:rsid w:val="46293E77"/>
    <w:rsid w:val="46E56B88"/>
    <w:rsid w:val="4745302B"/>
    <w:rsid w:val="47C545BE"/>
    <w:rsid w:val="47CC3542"/>
    <w:rsid w:val="481A34F8"/>
    <w:rsid w:val="48BD4551"/>
    <w:rsid w:val="48FA7170"/>
    <w:rsid w:val="49280160"/>
    <w:rsid w:val="49410B47"/>
    <w:rsid w:val="496C198B"/>
    <w:rsid w:val="4AF50AA8"/>
    <w:rsid w:val="4B357949"/>
    <w:rsid w:val="4B8621BD"/>
    <w:rsid w:val="4B915133"/>
    <w:rsid w:val="4BA14931"/>
    <w:rsid w:val="4C1408F8"/>
    <w:rsid w:val="4C6F3DEF"/>
    <w:rsid w:val="4CB3372F"/>
    <w:rsid w:val="4CD4212F"/>
    <w:rsid w:val="4D1657DF"/>
    <w:rsid w:val="4D8A730F"/>
    <w:rsid w:val="4DB31709"/>
    <w:rsid w:val="4DE53A0E"/>
    <w:rsid w:val="4E5E00C9"/>
    <w:rsid w:val="4ED179B6"/>
    <w:rsid w:val="4F047706"/>
    <w:rsid w:val="4F051FA5"/>
    <w:rsid w:val="4F1D4EB5"/>
    <w:rsid w:val="4FB0750B"/>
    <w:rsid w:val="5077751F"/>
    <w:rsid w:val="50E83EB5"/>
    <w:rsid w:val="510C2402"/>
    <w:rsid w:val="511345BC"/>
    <w:rsid w:val="51891E06"/>
    <w:rsid w:val="51DE3625"/>
    <w:rsid w:val="527B45D2"/>
    <w:rsid w:val="52A677DC"/>
    <w:rsid w:val="52C443DE"/>
    <w:rsid w:val="52C831E8"/>
    <w:rsid w:val="52FC4631"/>
    <w:rsid w:val="531806B9"/>
    <w:rsid w:val="533239EC"/>
    <w:rsid w:val="53707CC4"/>
    <w:rsid w:val="542C70F7"/>
    <w:rsid w:val="544B3034"/>
    <w:rsid w:val="555B5F49"/>
    <w:rsid w:val="55745406"/>
    <w:rsid w:val="5577500D"/>
    <w:rsid w:val="557F6674"/>
    <w:rsid w:val="55822DA4"/>
    <w:rsid w:val="558B351A"/>
    <w:rsid w:val="56021598"/>
    <w:rsid w:val="56651061"/>
    <w:rsid w:val="57270CD8"/>
    <w:rsid w:val="575A7C2B"/>
    <w:rsid w:val="57913180"/>
    <w:rsid w:val="57925921"/>
    <w:rsid w:val="57CF3161"/>
    <w:rsid w:val="57E0406B"/>
    <w:rsid w:val="57F00623"/>
    <w:rsid w:val="58255E64"/>
    <w:rsid w:val="588702F7"/>
    <w:rsid w:val="58B97F38"/>
    <w:rsid w:val="58CE432A"/>
    <w:rsid w:val="58ED7F53"/>
    <w:rsid w:val="58EE7512"/>
    <w:rsid w:val="5982110D"/>
    <w:rsid w:val="59E81BA7"/>
    <w:rsid w:val="59F85391"/>
    <w:rsid w:val="5A1C2B3E"/>
    <w:rsid w:val="5AD2292A"/>
    <w:rsid w:val="5AFC03BF"/>
    <w:rsid w:val="5B317659"/>
    <w:rsid w:val="5B320512"/>
    <w:rsid w:val="5B9A15A7"/>
    <w:rsid w:val="5BB76073"/>
    <w:rsid w:val="5BED5E7A"/>
    <w:rsid w:val="5C1B6CF8"/>
    <w:rsid w:val="5C45032D"/>
    <w:rsid w:val="5CA863CA"/>
    <w:rsid w:val="5CB475EF"/>
    <w:rsid w:val="5D544F13"/>
    <w:rsid w:val="5D7B45EA"/>
    <w:rsid w:val="5DA9372F"/>
    <w:rsid w:val="5E1332C4"/>
    <w:rsid w:val="5E155CD4"/>
    <w:rsid w:val="5E3523C0"/>
    <w:rsid w:val="5E915885"/>
    <w:rsid w:val="5F6D4CED"/>
    <w:rsid w:val="5F752A97"/>
    <w:rsid w:val="60731CC9"/>
    <w:rsid w:val="60E960F7"/>
    <w:rsid w:val="610D0FA1"/>
    <w:rsid w:val="615C1580"/>
    <w:rsid w:val="617D0095"/>
    <w:rsid w:val="617F6F1C"/>
    <w:rsid w:val="61E760A9"/>
    <w:rsid w:val="620618E3"/>
    <w:rsid w:val="625130CB"/>
    <w:rsid w:val="62D91C01"/>
    <w:rsid w:val="64603148"/>
    <w:rsid w:val="64A51EE6"/>
    <w:rsid w:val="64C01A8E"/>
    <w:rsid w:val="64CD4B69"/>
    <w:rsid w:val="64E233BB"/>
    <w:rsid w:val="64F23B79"/>
    <w:rsid w:val="65204CEB"/>
    <w:rsid w:val="659E5907"/>
    <w:rsid w:val="65C30C10"/>
    <w:rsid w:val="6659629E"/>
    <w:rsid w:val="670647B7"/>
    <w:rsid w:val="6734689C"/>
    <w:rsid w:val="673620D3"/>
    <w:rsid w:val="676005FD"/>
    <w:rsid w:val="678C1683"/>
    <w:rsid w:val="67A50688"/>
    <w:rsid w:val="67D50D84"/>
    <w:rsid w:val="67ED7A2F"/>
    <w:rsid w:val="68396C03"/>
    <w:rsid w:val="688F06BD"/>
    <w:rsid w:val="689043C1"/>
    <w:rsid w:val="68AD3FF5"/>
    <w:rsid w:val="696E4000"/>
    <w:rsid w:val="69AA355D"/>
    <w:rsid w:val="69B40233"/>
    <w:rsid w:val="6A1010D8"/>
    <w:rsid w:val="6A146F7C"/>
    <w:rsid w:val="6A270180"/>
    <w:rsid w:val="6A9B2C28"/>
    <w:rsid w:val="6AB90624"/>
    <w:rsid w:val="6ABB475F"/>
    <w:rsid w:val="6B120342"/>
    <w:rsid w:val="6B215EDC"/>
    <w:rsid w:val="6B307A87"/>
    <w:rsid w:val="6C1F1FEB"/>
    <w:rsid w:val="6CE21B43"/>
    <w:rsid w:val="6D0D09FA"/>
    <w:rsid w:val="6D1F1F25"/>
    <w:rsid w:val="6D463C04"/>
    <w:rsid w:val="6D787BAA"/>
    <w:rsid w:val="6D9D5EA5"/>
    <w:rsid w:val="6DE8328B"/>
    <w:rsid w:val="6DF622A7"/>
    <w:rsid w:val="6E1A57BA"/>
    <w:rsid w:val="6E4A3801"/>
    <w:rsid w:val="6EB02FE9"/>
    <w:rsid w:val="6ECD5DDD"/>
    <w:rsid w:val="6F113C69"/>
    <w:rsid w:val="6F600B7E"/>
    <w:rsid w:val="6F734281"/>
    <w:rsid w:val="6FA54250"/>
    <w:rsid w:val="708C3469"/>
    <w:rsid w:val="70B80049"/>
    <w:rsid w:val="71044B6B"/>
    <w:rsid w:val="71131799"/>
    <w:rsid w:val="712D4A43"/>
    <w:rsid w:val="71A80984"/>
    <w:rsid w:val="71B06137"/>
    <w:rsid w:val="720F4020"/>
    <w:rsid w:val="72115264"/>
    <w:rsid w:val="72187CE7"/>
    <w:rsid w:val="721C1DA1"/>
    <w:rsid w:val="724D7636"/>
    <w:rsid w:val="731F1EED"/>
    <w:rsid w:val="74250A64"/>
    <w:rsid w:val="74C463D7"/>
    <w:rsid w:val="754D1774"/>
    <w:rsid w:val="758454D5"/>
    <w:rsid w:val="76352614"/>
    <w:rsid w:val="76996C5C"/>
    <w:rsid w:val="76AF130D"/>
    <w:rsid w:val="76FA7E4C"/>
    <w:rsid w:val="77210145"/>
    <w:rsid w:val="777858AB"/>
    <w:rsid w:val="778E3B4F"/>
    <w:rsid w:val="779F2626"/>
    <w:rsid w:val="77BB2059"/>
    <w:rsid w:val="77E02B9E"/>
    <w:rsid w:val="77ED782A"/>
    <w:rsid w:val="78160BD1"/>
    <w:rsid w:val="78DA11E4"/>
    <w:rsid w:val="79084E23"/>
    <w:rsid w:val="79A35C51"/>
    <w:rsid w:val="79BC6B5C"/>
    <w:rsid w:val="79C224CD"/>
    <w:rsid w:val="79F91273"/>
    <w:rsid w:val="7ACC171C"/>
    <w:rsid w:val="7AE16CFD"/>
    <w:rsid w:val="7AE64DA3"/>
    <w:rsid w:val="7AE86F50"/>
    <w:rsid w:val="7B2C3C93"/>
    <w:rsid w:val="7B375206"/>
    <w:rsid w:val="7B420589"/>
    <w:rsid w:val="7B8834E1"/>
    <w:rsid w:val="7C062CF3"/>
    <w:rsid w:val="7C7B1FA1"/>
    <w:rsid w:val="7C8B3931"/>
    <w:rsid w:val="7C9E2ECA"/>
    <w:rsid w:val="7CBE3FDF"/>
    <w:rsid w:val="7CDA7D95"/>
    <w:rsid w:val="7DB94966"/>
    <w:rsid w:val="7DDE29EE"/>
    <w:rsid w:val="7DEA024F"/>
    <w:rsid w:val="7E4802DD"/>
    <w:rsid w:val="7E8E55FC"/>
    <w:rsid w:val="7EC96FDC"/>
    <w:rsid w:val="7F1E17CC"/>
    <w:rsid w:val="7F8A5637"/>
    <w:rsid w:val="7FDF13B9"/>
    <w:rsid w:val="7FF765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99"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qFormat="1" w:unhideWhenUsed="0" w:uiPriority="99" w:semiHidden="0" w:name="Body Text First Indent 2"/>
    <w:lsdException w:uiPriority="99" w:name="Note Heading"/>
    <w:lsdException w:uiPriority="0" w:name="Body Text 2"/>
    <w:lsdException w:qFormat="1" w:unhideWhenUsed="0" w:uiPriority="99" w:semiHidden="0" w:name="Body Text 3"/>
    <w:lsdException w:qFormat="1"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textAlignment w:val="center"/>
    </w:pPr>
    <w:rPr>
      <w:rFonts w:ascii="Times New Roman" w:hAnsi="Times New Roman" w:eastAsia="宋体" w:cs="Times New Roman"/>
      <w:kern w:val="2"/>
      <w:sz w:val="24"/>
      <w:lang w:val="en-US" w:eastAsia="zh-CN" w:bidi="ar-SA"/>
    </w:rPr>
  </w:style>
  <w:style w:type="paragraph" w:styleId="4">
    <w:name w:val="heading 1"/>
    <w:basedOn w:val="1"/>
    <w:next w:val="1"/>
    <w:link w:val="57"/>
    <w:qFormat/>
    <w:uiPriority w:val="9"/>
    <w:pPr>
      <w:keepNext/>
      <w:keepLines/>
      <w:ind w:firstLine="0" w:firstLineChars="0"/>
      <w:jc w:val="left"/>
      <w:outlineLvl w:val="0"/>
    </w:pPr>
    <w:rPr>
      <w:b/>
      <w:bCs/>
      <w:kern w:val="44"/>
      <w:sz w:val="32"/>
      <w:szCs w:val="44"/>
    </w:rPr>
  </w:style>
  <w:style w:type="paragraph" w:styleId="5">
    <w:name w:val="heading 2"/>
    <w:basedOn w:val="1"/>
    <w:next w:val="1"/>
    <w:link w:val="69"/>
    <w:qFormat/>
    <w:uiPriority w:val="9"/>
    <w:pPr>
      <w:keepNext/>
      <w:keepLines/>
      <w:ind w:firstLine="0" w:firstLineChars="0"/>
      <w:outlineLvl w:val="1"/>
    </w:pPr>
    <w:rPr>
      <w:b/>
      <w:bCs/>
      <w:kern w:val="0"/>
      <w:sz w:val="28"/>
      <w:szCs w:val="32"/>
    </w:rPr>
  </w:style>
  <w:style w:type="paragraph" w:styleId="6">
    <w:name w:val="heading 3"/>
    <w:basedOn w:val="1"/>
    <w:next w:val="1"/>
    <w:link w:val="53"/>
    <w:qFormat/>
    <w:uiPriority w:val="9"/>
    <w:pPr>
      <w:keepNext/>
      <w:keepLines/>
      <w:ind w:firstLine="0" w:firstLineChars="0"/>
      <w:outlineLvl w:val="2"/>
    </w:pPr>
    <w:rPr>
      <w:b/>
      <w:bCs/>
      <w:kern w:val="0"/>
      <w:szCs w:val="32"/>
    </w:rPr>
  </w:style>
  <w:style w:type="paragraph" w:styleId="7">
    <w:name w:val="heading 4"/>
    <w:basedOn w:val="1"/>
    <w:next w:val="1"/>
    <w:link w:val="51"/>
    <w:qFormat/>
    <w:uiPriority w:val="9"/>
    <w:pPr>
      <w:keepNext/>
      <w:keepLines/>
      <w:ind w:firstLine="0" w:firstLineChars="0"/>
      <w:outlineLvl w:val="3"/>
    </w:pPr>
    <w:rPr>
      <w:b/>
      <w:bCs/>
      <w:kern w:val="0"/>
      <w:szCs w:val="28"/>
    </w:rPr>
  </w:style>
  <w:style w:type="character" w:default="1" w:styleId="36">
    <w:name w:val="Default Paragraph Font"/>
    <w:semiHidden/>
    <w:unhideWhenUsed/>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66"/>
    <w:qFormat/>
    <w:uiPriority w:val="99"/>
    <w:pPr>
      <w:snapToGrid/>
      <w:spacing w:after="120"/>
      <w:ind w:left="420" w:leftChars="200" w:firstLine="420" w:firstLineChars="200"/>
    </w:pPr>
  </w:style>
  <w:style w:type="paragraph" w:styleId="3">
    <w:name w:val="Body Text Indent"/>
    <w:basedOn w:val="1"/>
    <w:link w:val="62"/>
    <w:qFormat/>
    <w:uiPriority w:val="0"/>
    <w:pPr>
      <w:snapToGrid w:val="0"/>
      <w:ind w:firstLine="0" w:firstLineChars="0"/>
    </w:pPr>
    <w:rPr>
      <w:kern w:val="0"/>
      <w:sz w:val="20"/>
    </w:rPr>
  </w:style>
  <w:style w:type="paragraph" w:styleId="8">
    <w:name w:val="toc 7"/>
    <w:basedOn w:val="1"/>
    <w:next w:val="1"/>
    <w:unhideWhenUsed/>
    <w:qFormat/>
    <w:uiPriority w:val="39"/>
    <w:pPr>
      <w:spacing w:line="240" w:lineRule="auto"/>
      <w:ind w:left="2520" w:leftChars="1200" w:firstLine="0" w:firstLineChars="0"/>
    </w:pPr>
    <w:rPr>
      <w:rFonts w:ascii="Calibri" w:hAnsi="Calibri"/>
      <w:sz w:val="21"/>
      <w:szCs w:val="22"/>
    </w:rPr>
  </w:style>
  <w:style w:type="paragraph" w:styleId="9">
    <w:name w:val="Normal Indent"/>
    <w:basedOn w:val="1"/>
    <w:link w:val="64"/>
    <w:qFormat/>
    <w:uiPriority w:val="0"/>
    <w:pPr>
      <w:spacing w:line="240" w:lineRule="auto"/>
      <w:ind w:firstLine="420" w:firstLineChars="0"/>
    </w:pPr>
    <w:rPr>
      <w:kern w:val="0"/>
      <w:sz w:val="20"/>
    </w:rPr>
  </w:style>
  <w:style w:type="paragraph" w:styleId="10">
    <w:name w:val="caption"/>
    <w:basedOn w:val="1"/>
    <w:next w:val="1"/>
    <w:qFormat/>
    <w:uiPriority w:val="35"/>
    <w:rPr>
      <w:rFonts w:ascii="Cambria" w:hAnsi="Cambria" w:eastAsia="黑体"/>
      <w:sz w:val="20"/>
    </w:rPr>
  </w:style>
  <w:style w:type="paragraph" w:styleId="11">
    <w:name w:val="Document Map"/>
    <w:basedOn w:val="1"/>
    <w:link w:val="94"/>
    <w:semiHidden/>
    <w:qFormat/>
    <w:uiPriority w:val="99"/>
    <w:pPr>
      <w:shd w:val="clear" w:color="auto" w:fill="000080"/>
      <w:ind w:firstLine="0" w:firstLineChars="0"/>
    </w:pPr>
    <w:rPr>
      <w:kern w:val="0"/>
      <w:sz w:val="20"/>
    </w:rPr>
  </w:style>
  <w:style w:type="paragraph" w:styleId="12">
    <w:name w:val="annotation text"/>
    <w:basedOn w:val="1"/>
    <w:link w:val="63"/>
    <w:semiHidden/>
    <w:qFormat/>
    <w:uiPriority w:val="99"/>
    <w:pPr>
      <w:spacing w:line="240" w:lineRule="auto"/>
      <w:ind w:firstLine="0" w:firstLineChars="0"/>
      <w:jc w:val="left"/>
    </w:pPr>
    <w:rPr>
      <w:kern w:val="0"/>
      <w:sz w:val="20"/>
    </w:rPr>
  </w:style>
  <w:style w:type="paragraph" w:styleId="13">
    <w:name w:val="Body Text 3"/>
    <w:basedOn w:val="1"/>
    <w:link w:val="55"/>
    <w:qFormat/>
    <w:uiPriority w:val="99"/>
    <w:pPr>
      <w:snapToGrid w:val="0"/>
      <w:spacing w:line="480" w:lineRule="auto"/>
      <w:ind w:firstLine="0" w:firstLineChars="0"/>
      <w:jc w:val="center"/>
    </w:pPr>
    <w:rPr>
      <w:rFonts w:ascii="黑体"/>
      <w:kern w:val="0"/>
      <w:szCs w:val="24"/>
    </w:rPr>
  </w:style>
  <w:style w:type="paragraph" w:styleId="14">
    <w:name w:val="Body Text"/>
    <w:basedOn w:val="1"/>
    <w:link w:val="98"/>
    <w:qFormat/>
    <w:uiPriority w:val="99"/>
    <w:pPr>
      <w:spacing w:line="500" w:lineRule="exact"/>
      <w:ind w:firstLine="0" w:firstLineChars="0"/>
      <w:jc w:val="center"/>
    </w:pPr>
    <w:rPr>
      <w:rFonts w:ascii="黑体"/>
      <w:kern w:val="0"/>
      <w:sz w:val="20"/>
    </w:rPr>
  </w:style>
  <w:style w:type="paragraph" w:styleId="15">
    <w:name w:val="List 2"/>
    <w:basedOn w:val="1"/>
    <w:qFormat/>
    <w:uiPriority w:val="99"/>
    <w:pPr>
      <w:spacing w:line="240" w:lineRule="auto"/>
      <w:ind w:left="100" w:leftChars="200" w:hanging="200" w:hangingChars="200"/>
    </w:pPr>
    <w:rPr>
      <w:sz w:val="21"/>
    </w:rPr>
  </w:style>
  <w:style w:type="paragraph" w:styleId="16">
    <w:name w:val="Block Text"/>
    <w:basedOn w:val="1"/>
    <w:qFormat/>
    <w:uiPriority w:val="99"/>
    <w:pPr>
      <w:spacing w:line="240" w:lineRule="auto"/>
      <w:ind w:left="100" w:right="100" w:firstLine="425" w:firstLineChars="0"/>
    </w:pPr>
    <w:rPr>
      <w:sz w:val="28"/>
    </w:rPr>
  </w:style>
  <w:style w:type="paragraph" w:styleId="17">
    <w:name w:val="toc 5"/>
    <w:basedOn w:val="1"/>
    <w:next w:val="1"/>
    <w:unhideWhenUsed/>
    <w:qFormat/>
    <w:uiPriority w:val="39"/>
    <w:pPr>
      <w:spacing w:line="240" w:lineRule="auto"/>
      <w:ind w:left="1680" w:leftChars="800" w:firstLine="0" w:firstLineChars="0"/>
    </w:pPr>
    <w:rPr>
      <w:rFonts w:ascii="Calibri" w:hAnsi="Calibri"/>
      <w:sz w:val="21"/>
      <w:szCs w:val="22"/>
    </w:rPr>
  </w:style>
  <w:style w:type="paragraph" w:styleId="18">
    <w:name w:val="toc 3"/>
    <w:basedOn w:val="1"/>
    <w:next w:val="1"/>
    <w:unhideWhenUsed/>
    <w:qFormat/>
    <w:uiPriority w:val="39"/>
    <w:pPr>
      <w:ind w:left="840" w:leftChars="400"/>
    </w:pPr>
  </w:style>
  <w:style w:type="paragraph" w:styleId="19">
    <w:name w:val="Plain Text"/>
    <w:basedOn w:val="1"/>
    <w:next w:val="1"/>
    <w:link w:val="78"/>
    <w:qFormat/>
    <w:uiPriority w:val="0"/>
    <w:pPr>
      <w:spacing w:line="240" w:lineRule="auto"/>
      <w:ind w:firstLine="0" w:firstLineChars="0"/>
    </w:pPr>
    <w:rPr>
      <w:rFonts w:ascii="宋体" w:hAnsi="Courier New"/>
      <w:kern w:val="0"/>
      <w:sz w:val="20"/>
    </w:rPr>
  </w:style>
  <w:style w:type="paragraph" w:styleId="20">
    <w:name w:val="toc 8"/>
    <w:basedOn w:val="1"/>
    <w:next w:val="1"/>
    <w:unhideWhenUsed/>
    <w:qFormat/>
    <w:uiPriority w:val="39"/>
    <w:pPr>
      <w:spacing w:line="240" w:lineRule="auto"/>
      <w:ind w:left="2940" w:leftChars="1400" w:firstLine="0" w:firstLineChars="0"/>
    </w:pPr>
    <w:rPr>
      <w:rFonts w:ascii="Calibri" w:hAnsi="Calibri"/>
      <w:sz w:val="21"/>
      <w:szCs w:val="22"/>
    </w:rPr>
  </w:style>
  <w:style w:type="paragraph" w:styleId="21">
    <w:name w:val="Date"/>
    <w:basedOn w:val="1"/>
    <w:next w:val="1"/>
    <w:link w:val="58"/>
    <w:qFormat/>
    <w:uiPriority w:val="99"/>
    <w:rPr>
      <w:rFonts w:ascii="宋体" w:hAnsi="Courier New"/>
      <w:kern w:val="0"/>
      <w:sz w:val="20"/>
    </w:rPr>
  </w:style>
  <w:style w:type="paragraph" w:styleId="22">
    <w:name w:val="Body Text Indent 2"/>
    <w:basedOn w:val="1"/>
    <w:link w:val="61"/>
    <w:unhideWhenUsed/>
    <w:qFormat/>
    <w:uiPriority w:val="99"/>
    <w:pPr>
      <w:spacing w:after="120" w:line="480" w:lineRule="auto"/>
      <w:ind w:left="420" w:leftChars="200"/>
    </w:pPr>
    <w:rPr>
      <w:kern w:val="0"/>
      <w:sz w:val="20"/>
    </w:rPr>
  </w:style>
  <w:style w:type="paragraph" w:styleId="23">
    <w:name w:val="Balloon Text"/>
    <w:basedOn w:val="1"/>
    <w:link w:val="81"/>
    <w:unhideWhenUsed/>
    <w:qFormat/>
    <w:uiPriority w:val="99"/>
    <w:pPr>
      <w:spacing w:line="240" w:lineRule="auto"/>
    </w:pPr>
    <w:rPr>
      <w:kern w:val="0"/>
      <w:sz w:val="18"/>
      <w:szCs w:val="18"/>
    </w:rPr>
  </w:style>
  <w:style w:type="paragraph" w:styleId="24">
    <w:name w:val="footer"/>
    <w:basedOn w:val="1"/>
    <w:link w:val="59"/>
    <w:unhideWhenUsed/>
    <w:qFormat/>
    <w:uiPriority w:val="99"/>
    <w:pPr>
      <w:tabs>
        <w:tab w:val="center" w:pos="4153"/>
        <w:tab w:val="right" w:pos="8306"/>
      </w:tabs>
      <w:snapToGrid w:val="0"/>
      <w:spacing w:line="240" w:lineRule="auto"/>
      <w:jc w:val="left"/>
    </w:pPr>
    <w:rPr>
      <w:kern w:val="0"/>
      <w:sz w:val="18"/>
      <w:szCs w:val="18"/>
    </w:rPr>
  </w:style>
  <w:style w:type="paragraph" w:styleId="25">
    <w:name w:val="header"/>
    <w:basedOn w:val="1"/>
    <w:link w:val="50"/>
    <w:unhideWhenUsed/>
    <w:qFormat/>
    <w:uiPriority w:val="99"/>
    <w:pPr>
      <w:pBdr>
        <w:bottom w:val="single" w:color="auto" w:sz="6" w:space="1"/>
      </w:pBdr>
      <w:tabs>
        <w:tab w:val="center" w:pos="4153"/>
        <w:tab w:val="right" w:pos="8306"/>
      </w:tabs>
      <w:snapToGrid w:val="0"/>
      <w:spacing w:line="240" w:lineRule="auto"/>
      <w:jc w:val="center"/>
    </w:pPr>
    <w:rPr>
      <w:kern w:val="0"/>
      <w:sz w:val="18"/>
      <w:szCs w:val="18"/>
    </w:rPr>
  </w:style>
  <w:style w:type="paragraph" w:styleId="26">
    <w:name w:val="toc 1"/>
    <w:basedOn w:val="1"/>
    <w:next w:val="1"/>
    <w:qFormat/>
    <w:uiPriority w:val="39"/>
    <w:pPr>
      <w:tabs>
        <w:tab w:val="right" w:leader="dot" w:pos="8296"/>
      </w:tabs>
      <w:ind w:firstLine="0" w:firstLineChars="0"/>
      <w:jc w:val="center"/>
    </w:pPr>
  </w:style>
  <w:style w:type="paragraph" w:styleId="27">
    <w:name w:val="toc 4"/>
    <w:basedOn w:val="1"/>
    <w:next w:val="1"/>
    <w:unhideWhenUsed/>
    <w:qFormat/>
    <w:uiPriority w:val="39"/>
    <w:pPr>
      <w:spacing w:line="240" w:lineRule="auto"/>
      <w:ind w:left="1260" w:leftChars="600" w:firstLine="0" w:firstLineChars="0"/>
    </w:pPr>
    <w:rPr>
      <w:rFonts w:ascii="Calibri" w:hAnsi="Calibri"/>
      <w:sz w:val="21"/>
      <w:szCs w:val="22"/>
    </w:rPr>
  </w:style>
  <w:style w:type="paragraph" w:styleId="28">
    <w:name w:val="toc 6"/>
    <w:basedOn w:val="1"/>
    <w:next w:val="1"/>
    <w:unhideWhenUsed/>
    <w:qFormat/>
    <w:uiPriority w:val="39"/>
    <w:pPr>
      <w:spacing w:line="240" w:lineRule="auto"/>
      <w:ind w:left="2100" w:leftChars="1000" w:firstLine="0" w:firstLineChars="0"/>
    </w:pPr>
    <w:rPr>
      <w:rFonts w:ascii="Calibri" w:hAnsi="Calibri"/>
      <w:sz w:val="21"/>
      <w:szCs w:val="22"/>
    </w:rPr>
  </w:style>
  <w:style w:type="paragraph" w:styleId="29">
    <w:name w:val="Body Text Indent 3"/>
    <w:basedOn w:val="1"/>
    <w:link w:val="92"/>
    <w:qFormat/>
    <w:uiPriority w:val="99"/>
    <w:pPr>
      <w:ind w:firstLine="540" w:firstLineChars="0"/>
    </w:pPr>
    <w:rPr>
      <w:kern w:val="0"/>
      <w:sz w:val="20"/>
    </w:rPr>
  </w:style>
  <w:style w:type="paragraph" w:styleId="30">
    <w:name w:val="toc 2"/>
    <w:basedOn w:val="1"/>
    <w:next w:val="1"/>
    <w:unhideWhenUsed/>
    <w:qFormat/>
    <w:uiPriority w:val="39"/>
    <w:pPr>
      <w:ind w:left="420" w:leftChars="200"/>
    </w:pPr>
  </w:style>
  <w:style w:type="paragraph" w:styleId="31">
    <w:name w:val="toc 9"/>
    <w:basedOn w:val="1"/>
    <w:next w:val="1"/>
    <w:unhideWhenUsed/>
    <w:qFormat/>
    <w:uiPriority w:val="39"/>
    <w:pPr>
      <w:spacing w:line="240" w:lineRule="auto"/>
      <w:ind w:left="3360" w:leftChars="1600" w:firstLine="0" w:firstLineChars="0"/>
    </w:pPr>
    <w:rPr>
      <w:rFonts w:ascii="Calibri" w:hAnsi="Calibri"/>
      <w:sz w:val="21"/>
      <w:szCs w:val="22"/>
    </w:rPr>
  </w:style>
  <w:style w:type="paragraph" w:styleId="32">
    <w:name w:val="Normal (Web)"/>
    <w:basedOn w:val="1"/>
    <w:qFormat/>
    <w:uiPriority w:val="99"/>
    <w:pPr>
      <w:widowControl/>
      <w:spacing w:before="100" w:beforeAutospacing="1" w:after="100" w:afterAutospacing="1" w:line="240" w:lineRule="auto"/>
      <w:ind w:firstLine="0" w:firstLineChars="0"/>
      <w:jc w:val="left"/>
    </w:pPr>
    <w:rPr>
      <w:rFonts w:ascii="宋体" w:hAnsi="宋体"/>
      <w:kern w:val="0"/>
      <w:szCs w:val="24"/>
    </w:rPr>
  </w:style>
  <w:style w:type="paragraph" w:styleId="33">
    <w:name w:val="annotation subject"/>
    <w:basedOn w:val="12"/>
    <w:next w:val="12"/>
    <w:link w:val="56"/>
    <w:semiHidden/>
    <w:qFormat/>
    <w:uiPriority w:val="99"/>
    <w:rPr>
      <w:b/>
      <w:bCs/>
    </w:rPr>
  </w:style>
  <w:style w:type="table" w:styleId="35">
    <w:name w:val="Table Grid"/>
    <w:basedOn w:val="3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7">
    <w:name w:val="Strong"/>
    <w:qFormat/>
    <w:uiPriority w:val="22"/>
    <w:rPr>
      <w:b/>
    </w:rPr>
  </w:style>
  <w:style w:type="character" w:styleId="38">
    <w:name w:val="page number"/>
    <w:basedOn w:val="36"/>
    <w:qFormat/>
    <w:uiPriority w:val="99"/>
  </w:style>
  <w:style w:type="character" w:styleId="39">
    <w:name w:val="FollowedHyperlink"/>
    <w:qFormat/>
    <w:uiPriority w:val="99"/>
    <w:rPr>
      <w:color w:val="800080"/>
      <w:u w:val="single"/>
    </w:rPr>
  </w:style>
  <w:style w:type="character" w:styleId="40">
    <w:name w:val="Emphasis"/>
    <w:qFormat/>
    <w:uiPriority w:val="20"/>
    <w:rPr>
      <w:i/>
    </w:rPr>
  </w:style>
  <w:style w:type="character" w:styleId="41">
    <w:name w:val="Hyperlink"/>
    <w:qFormat/>
    <w:uiPriority w:val="99"/>
    <w:rPr>
      <w:color w:val="0000FF"/>
      <w:u w:val="single"/>
    </w:rPr>
  </w:style>
  <w:style w:type="character" w:styleId="42">
    <w:name w:val="annotation reference"/>
    <w:semiHidden/>
    <w:qFormat/>
    <w:uiPriority w:val="99"/>
    <w:rPr>
      <w:sz w:val="21"/>
    </w:rPr>
  </w:style>
  <w:style w:type="paragraph" w:customStyle="1" w:styleId="43">
    <w:name w:val="表格"/>
    <w:basedOn w:val="1"/>
    <w:qFormat/>
    <w:uiPriority w:val="0"/>
    <w:pPr>
      <w:snapToGrid w:val="0"/>
      <w:spacing w:line="240" w:lineRule="auto"/>
      <w:ind w:firstLine="0" w:firstLineChars="0"/>
      <w:jc w:val="center"/>
    </w:pPr>
    <w:rPr>
      <w:szCs w:val="24"/>
    </w:rPr>
  </w:style>
  <w:style w:type="paragraph" w:customStyle="1" w:styleId="44">
    <w:name w:val="表头标题"/>
    <w:basedOn w:val="1"/>
    <w:qFormat/>
    <w:uiPriority w:val="0"/>
    <w:pPr>
      <w:spacing w:line="240" w:lineRule="auto"/>
      <w:ind w:firstLine="0" w:firstLineChars="0"/>
      <w:jc w:val="center"/>
    </w:pPr>
    <w:rPr>
      <w:b/>
      <w:sz w:val="21"/>
    </w:rPr>
  </w:style>
  <w:style w:type="paragraph" w:customStyle="1" w:styleId="45">
    <w:name w:val="图表标题"/>
    <w:basedOn w:val="1"/>
    <w:link w:val="84"/>
    <w:qFormat/>
    <w:uiPriority w:val="0"/>
    <w:pPr>
      <w:spacing w:beforeLines="25" w:afterLines="25"/>
      <w:ind w:firstLine="0" w:firstLineChars="0"/>
      <w:jc w:val="center"/>
      <w:outlineLvl w:val="4"/>
    </w:pPr>
    <w:rPr>
      <w:b/>
      <w:kern w:val="0"/>
    </w:rPr>
  </w:style>
  <w:style w:type="paragraph" w:customStyle="1" w:styleId="46">
    <w:name w:val="表标题"/>
    <w:basedOn w:val="1"/>
    <w:qFormat/>
    <w:uiPriority w:val="0"/>
    <w:pPr>
      <w:snapToGrid w:val="0"/>
      <w:spacing w:line="240" w:lineRule="auto"/>
      <w:ind w:firstLine="0" w:firstLineChars="0"/>
      <w:jc w:val="center"/>
    </w:pPr>
    <w:rPr>
      <w:b/>
      <w:sz w:val="21"/>
      <w:szCs w:val="21"/>
    </w:rPr>
  </w:style>
  <w:style w:type="paragraph" w:customStyle="1" w:styleId="47">
    <w:name w:val="表格内容"/>
    <w:basedOn w:val="1"/>
    <w:link w:val="48"/>
    <w:qFormat/>
    <w:uiPriority w:val="0"/>
    <w:pPr>
      <w:overflowPunct w:val="0"/>
      <w:adjustRightInd w:val="0"/>
      <w:spacing w:line="240" w:lineRule="auto"/>
      <w:ind w:firstLine="0" w:firstLineChars="0"/>
      <w:jc w:val="center"/>
      <w:textAlignment w:val="baseline"/>
    </w:pPr>
    <w:rPr>
      <w:kern w:val="0"/>
      <w:sz w:val="21"/>
    </w:rPr>
  </w:style>
  <w:style w:type="character" w:customStyle="1" w:styleId="48">
    <w:name w:val="表格内容 Char"/>
    <w:link w:val="47"/>
    <w:qFormat/>
    <w:locked/>
    <w:uiPriority w:val="0"/>
    <w:rPr>
      <w:rFonts w:ascii="Times New Roman" w:hAnsi="Times New Roman" w:eastAsia="宋体"/>
      <w:kern w:val="0"/>
      <w:sz w:val="21"/>
    </w:rPr>
  </w:style>
  <w:style w:type="paragraph" w:customStyle="1" w:styleId="49">
    <w:name w:val="表格内样式"/>
    <w:qFormat/>
    <w:uiPriority w:val="1"/>
    <w:pPr>
      <w:widowControl w:val="0"/>
      <w:jc w:val="center"/>
    </w:pPr>
    <w:rPr>
      <w:rFonts w:ascii="Times New Roman" w:hAnsi="Times New Roman" w:eastAsia="宋体" w:cs="Times New Roman"/>
      <w:kern w:val="2"/>
      <w:sz w:val="18"/>
      <w:lang w:val="en-US" w:eastAsia="zh-CN" w:bidi="ar-SA"/>
    </w:rPr>
  </w:style>
  <w:style w:type="character" w:customStyle="1" w:styleId="50">
    <w:name w:val="页眉 Char"/>
    <w:link w:val="25"/>
    <w:qFormat/>
    <w:locked/>
    <w:uiPriority w:val="99"/>
    <w:rPr>
      <w:rFonts w:ascii="Times New Roman" w:hAnsi="Times New Roman" w:eastAsia="宋体"/>
      <w:sz w:val="18"/>
    </w:rPr>
  </w:style>
  <w:style w:type="character" w:customStyle="1" w:styleId="51">
    <w:name w:val="标题 4 Char"/>
    <w:link w:val="7"/>
    <w:qFormat/>
    <w:locked/>
    <w:uiPriority w:val="9"/>
    <w:rPr>
      <w:rFonts w:ascii="Times New Roman" w:hAnsi="Times New Roman" w:eastAsia="宋体"/>
      <w:b/>
      <w:sz w:val="24"/>
    </w:rPr>
  </w:style>
  <w:style w:type="paragraph" w:customStyle="1" w:styleId="52">
    <w:name w:val="无间隔1"/>
    <w:qFormat/>
    <w:uiPriority w:val="1"/>
    <w:pPr>
      <w:widowControl w:val="0"/>
      <w:jc w:val="center"/>
    </w:pPr>
    <w:rPr>
      <w:rFonts w:ascii="Times New Roman" w:hAnsi="Times New Roman" w:eastAsia="宋体" w:cs="Times New Roman"/>
      <w:kern w:val="2"/>
      <w:sz w:val="21"/>
      <w:lang w:val="en-US" w:eastAsia="zh-CN" w:bidi="ar-SA"/>
    </w:rPr>
  </w:style>
  <w:style w:type="character" w:customStyle="1" w:styleId="53">
    <w:name w:val="标题 3 Char"/>
    <w:link w:val="6"/>
    <w:qFormat/>
    <w:locked/>
    <w:uiPriority w:val="9"/>
    <w:rPr>
      <w:rFonts w:ascii="Times New Roman" w:hAnsi="Times New Roman"/>
      <w:b/>
      <w:bCs/>
      <w:sz w:val="24"/>
      <w:szCs w:val="32"/>
    </w:rPr>
  </w:style>
  <w:style w:type="character" w:customStyle="1" w:styleId="54">
    <w:name w:val="表格文字 Char Char Char"/>
    <w:qFormat/>
    <w:uiPriority w:val="0"/>
    <w:rPr>
      <w:rFonts w:eastAsia="宋体"/>
      <w:kern w:val="2"/>
      <w:sz w:val="21"/>
      <w:lang w:val="en-US" w:eastAsia="zh-CN"/>
    </w:rPr>
  </w:style>
  <w:style w:type="character" w:customStyle="1" w:styleId="55">
    <w:name w:val="正文文本 3 Char"/>
    <w:link w:val="13"/>
    <w:qFormat/>
    <w:locked/>
    <w:uiPriority w:val="99"/>
    <w:rPr>
      <w:rFonts w:ascii="黑体" w:hAnsi="Times New Roman" w:eastAsia="宋体"/>
      <w:sz w:val="24"/>
    </w:rPr>
  </w:style>
  <w:style w:type="character" w:customStyle="1" w:styleId="56">
    <w:name w:val="批注主题 Char"/>
    <w:link w:val="33"/>
    <w:semiHidden/>
    <w:qFormat/>
    <w:locked/>
    <w:uiPriority w:val="99"/>
    <w:rPr>
      <w:rFonts w:ascii="Times New Roman" w:hAnsi="Times New Roman" w:eastAsia="宋体"/>
      <w:b/>
      <w:sz w:val="20"/>
    </w:rPr>
  </w:style>
  <w:style w:type="character" w:customStyle="1" w:styleId="57">
    <w:name w:val="标题 1 Char"/>
    <w:link w:val="4"/>
    <w:qFormat/>
    <w:locked/>
    <w:uiPriority w:val="9"/>
    <w:rPr>
      <w:rFonts w:ascii="Times New Roman" w:hAnsi="Times New Roman"/>
      <w:b/>
      <w:bCs/>
      <w:kern w:val="44"/>
      <w:sz w:val="32"/>
      <w:szCs w:val="44"/>
    </w:rPr>
  </w:style>
  <w:style w:type="character" w:customStyle="1" w:styleId="58">
    <w:name w:val="日期 Char1"/>
    <w:link w:val="21"/>
    <w:qFormat/>
    <w:locked/>
    <w:uiPriority w:val="99"/>
    <w:rPr>
      <w:rFonts w:ascii="宋体" w:hAnsi="Courier New" w:eastAsia="宋体"/>
      <w:sz w:val="20"/>
    </w:rPr>
  </w:style>
  <w:style w:type="character" w:customStyle="1" w:styleId="59">
    <w:name w:val="页脚 Char"/>
    <w:link w:val="24"/>
    <w:qFormat/>
    <w:locked/>
    <w:uiPriority w:val="99"/>
    <w:rPr>
      <w:rFonts w:ascii="Times New Roman" w:hAnsi="Times New Roman" w:eastAsia="宋体"/>
      <w:sz w:val="18"/>
    </w:rPr>
  </w:style>
  <w:style w:type="character" w:customStyle="1" w:styleId="60">
    <w:name w:val="批注文字 Char"/>
    <w:semiHidden/>
    <w:qFormat/>
    <w:uiPriority w:val="0"/>
    <w:rPr>
      <w:rFonts w:ascii="Times New Roman" w:hAnsi="Times New Roman" w:eastAsia="宋体"/>
      <w:sz w:val="20"/>
    </w:rPr>
  </w:style>
  <w:style w:type="character" w:customStyle="1" w:styleId="61">
    <w:name w:val="正文文本缩进 2 Char"/>
    <w:link w:val="22"/>
    <w:qFormat/>
    <w:locked/>
    <w:uiPriority w:val="99"/>
    <w:rPr>
      <w:rFonts w:ascii="Times New Roman" w:hAnsi="Times New Roman" w:eastAsia="宋体"/>
      <w:sz w:val="20"/>
    </w:rPr>
  </w:style>
  <w:style w:type="character" w:customStyle="1" w:styleId="62">
    <w:name w:val="正文文本缩进 Char1"/>
    <w:link w:val="3"/>
    <w:qFormat/>
    <w:locked/>
    <w:uiPriority w:val="0"/>
    <w:rPr>
      <w:rFonts w:ascii="Times New Roman" w:hAnsi="Times New Roman" w:eastAsia="宋体"/>
      <w:sz w:val="20"/>
    </w:rPr>
  </w:style>
  <w:style w:type="character" w:customStyle="1" w:styleId="63">
    <w:name w:val="批注文字 Char1"/>
    <w:link w:val="12"/>
    <w:semiHidden/>
    <w:qFormat/>
    <w:locked/>
    <w:uiPriority w:val="99"/>
    <w:rPr>
      <w:rFonts w:ascii="Times New Roman" w:hAnsi="Times New Roman" w:eastAsia="宋体"/>
      <w:sz w:val="20"/>
    </w:rPr>
  </w:style>
  <w:style w:type="character" w:customStyle="1" w:styleId="64">
    <w:name w:val="正文缩进 Char"/>
    <w:link w:val="9"/>
    <w:qFormat/>
    <w:locked/>
    <w:uiPriority w:val="0"/>
    <w:rPr>
      <w:rFonts w:ascii="Times New Roman" w:hAnsi="Times New Roman" w:eastAsia="宋体"/>
      <w:sz w:val="20"/>
    </w:rPr>
  </w:style>
  <w:style w:type="character" w:customStyle="1" w:styleId="65">
    <w:name w:val="Body Text Indent Char2"/>
    <w:qFormat/>
    <w:locked/>
    <w:uiPriority w:val="99"/>
    <w:rPr>
      <w:rFonts w:ascii="Times New Roman" w:hAnsi="Times New Roman" w:eastAsia="宋体"/>
      <w:sz w:val="20"/>
    </w:rPr>
  </w:style>
  <w:style w:type="character" w:customStyle="1" w:styleId="66">
    <w:name w:val="正文首行缩进 2 Char"/>
    <w:link w:val="2"/>
    <w:semiHidden/>
    <w:qFormat/>
    <w:uiPriority w:val="99"/>
    <w:rPr>
      <w:rFonts w:ascii="Times New Roman" w:hAnsi="Times New Roman" w:eastAsia="宋体"/>
      <w:kern w:val="2"/>
      <w:sz w:val="24"/>
    </w:rPr>
  </w:style>
  <w:style w:type="character" w:customStyle="1" w:styleId="67">
    <w:name w:val="标题 2 Char"/>
    <w:qFormat/>
    <w:locked/>
    <w:uiPriority w:val="9"/>
    <w:rPr>
      <w:rFonts w:ascii="Times New Roman" w:hAnsi="Times New Roman"/>
      <w:b/>
      <w:bCs/>
      <w:sz w:val="28"/>
      <w:szCs w:val="32"/>
    </w:rPr>
  </w:style>
  <w:style w:type="character" w:customStyle="1" w:styleId="68">
    <w:name w:val="title_black_141"/>
    <w:qFormat/>
    <w:uiPriority w:val="0"/>
    <w:rPr>
      <w:color w:val="000000"/>
      <w:sz w:val="21"/>
      <w:u w:val="none"/>
    </w:rPr>
  </w:style>
  <w:style w:type="character" w:customStyle="1" w:styleId="69">
    <w:name w:val="标题 2 Char1"/>
    <w:link w:val="5"/>
    <w:qFormat/>
    <w:locked/>
    <w:uiPriority w:val="0"/>
    <w:rPr>
      <w:rFonts w:ascii="Times New Roman" w:hAnsi="Times New Roman"/>
      <w:b/>
      <w:bCs/>
      <w:sz w:val="28"/>
      <w:szCs w:val="32"/>
    </w:rPr>
  </w:style>
  <w:style w:type="character" w:customStyle="1" w:styleId="70">
    <w:name w:val="图标题 字符"/>
    <w:link w:val="71"/>
    <w:qFormat/>
    <w:locked/>
    <w:uiPriority w:val="0"/>
    <w:rPr>
      <w:rFonts w:ascii="Times New Roman" w:hAnsi="Times New Roman"/>
      <w:b/>
      <w:kern w:val="2"/>
      <w:sz w:val="21"/>
    </w:rPr>
  </w:style>
  <w:style w:type="paragraph" w:customStyle="1" w:styleId="71">
    <w:name w:val="图标题"/>
    <w:basedOn w:val="1"/>
    <w:link w:val="70"/>
    <w:qFormat/>
    <w:uiPriority w:val="0"/>
    <w:pPr>
      <w:tabs>
        <w:tab w:val="left" w:pos="0"/>
        <w:tab w:val="left" w:pos="3150"/>
      </w:tabs>
      <w:autoSpaceDE w:val="0"/>
      <w:autoSpaceDN w:val="0"/>
      <w:spacing w:afterLines="50" w:line="240" w:lineRule="auto"/>
      <w:ind w:firstLine="0" w:firstLineChars="0"/>
      <w:jc w:val="center"/>
    </w:pPr>
    <w:rPr>
      <w:b/>
      <w:sz w:val="21"/>
    </w:rPr>
  </w:style>
  <w:style w:type="character" w:customStyle="1" w:styleId="72">
    <w:name w:val="Char Char18"/>
    <w:qFormat/>
    <w:locked/>
    <w:uiPriority w:val="0"/>
    <w:rPr>
      <w:rFonts w:ascii="Times New Roman" w:hAnsi="Times New Roman"/>
      <w:b/>
      <w:bCs/>
      <w:kern w:val="44"/>
      <w:sz w:val="32"/>
      <w:szCs w:val="44"/>
    </w:rPr>
  </w:style>
  <w:style w:type="character" w:customStyle="1" w:styleId="73">
    <w:name w:val="正文文本缩进 Char"/>
    <w:semiHidden/>
    <w:qFormat/>
    <w:uiPriority w:val="0"/>
    <w:rPr>
      <w:rFonts w:ascii="Times New Roman" w:hAnsi="Times New Roman" w:eastAsia="宋体"/>
      <w:sz w:val="20"/>
    </w:rPr>
  </w:style>
  <w:style w:type="character" w:customStyle="1" w:styleId="74">
    <w:name w:val="fontstyle21"/>
    <w:qFormat/>
    <w:uiPriority w:val="0"/>
    <w:rPr>
      <w:rFonts w:ascii="Bold" w:hAnsi="Bold"/>
      <w:b/>
      <w:color w:val="000000"/>
      <w:sz w:val="24"/>
    </w:rPr>
  </w:style>
  <w:style w:type="character" w:customStyle="1" w:styleId="75">
    <w:name w:val="NormalCharacter"/>
    <w:qFormat/>
    <w:uiPriority w:val="0"/>
    <w:rPr>
      <w:rFonts w:ascii="Calibri" w:hAnsi="Calibri" w:eastAsia="宋体" w:cs="Times New Roman"/>
      <w:kern w:val="2"/>
      <w:sz w:val="21"/>
      <w:szCs w:val="24"/>
      <w:lang w:val="en-US" w:eastAsia="zh-CN" w:bidi="ar-SA"/>
    </w:rPr>
  </w:style>
  <w:style w:type="character" w:customStyle="1" w:styleId="76">
    <w:name w:val="Body Text Indent Char"/>
    <w:semiHidden/>
    <w:qFormat/>
    <w:uiPriority w:val="99"/>
    <w:rPr>
      <w:rFonts w:ascii="Times New Roman" w:hAnsi="Times New Roman"/>
      <w:kern w:val="2"/>
      <w:sz w:val="24"/>
    </w:rPr>
  </w:style>
  <w:style w:type="character" w:customStyle="1" w:styleId="77">
    <w:name w:val="fontstyle41"/>
    <w:qFormat/>
    <w:uiPriority w:val="0"/>
    <w:rPr>
      <w:rFonts w:ascii="TimesNewRoman" w:eastAsia="TimesNewRoman"/>
      <w:color w:val="000000"/>
      <w:sz w:val="24"/>
    </w:rPr>
  </w:style>
  <w:style w:type="character" w:customStyle="1" w:styleId="78">
    <w:name w:val="纯文本 Char1"/>
    <w:link w:val="19"/>
    <w:qFormat/>
    <w:locked/>
    <w:uiPriority w:val="0"/>
    <w:rPr>
      <w:rFonts w:ascii="宋体" w:hAnsi="Courier New" w:eastAsia="宋体"/>
      <w:sz w:val="20"/>
    </w:rPr>
  </w:style>
  <w:style w:type="character" w:customStyle="1" w:styleId="79">
    <w:name w:val="Plain Text Char"/>
    <w:semiHidden/>
    <w:qFormat/>
    <w:uiPriority w:val="99"/>
    <w:rPr>
      <w:rFonts w:ascii="宋体" w:hAnsi="Courier New" w:cs="Courier New"/>
      <w:kern w:val="2"/>
      <w:sz w:val="21"/>
      <w:szCs w:val="21"/>
    </w:rPr>
  </w:style>
  <w:style w:type="character" w:customStyle="1" w:styleId="80">
    <w:name w:val="Char Char8"/>
    <w:semiHidden/>
    <w:qFormat/>
    <w:locked/>
    <w:uiPriority w:val="0"/>
    <w:rPr>
      <w:rFonts w:ascii="Times New Roman" w:hAnsi="Times New Roman" w:eastAsia="宋体"/>
      <w:sz w:val="20"/>
    </w:rPr>
  </w:style>
  <w:style w:type="character" w:customStyle="1" w:styleId="81">
    <w:name w:val="批注框文本 Char"/>
    <w:link w:val="23"/>
    <w:semiHidden/>
    <w:qFormat/>
    <w:locked/>
    <w:uiPriority w:val="99"/>
    <w:rPr>
      <w:rFonts w:ascii="Times New Roman" w:hAnsi="Times New Roman" w:eastAsia="宋体"/>
      <w:sz w:val="18"/>
    </w:rPr>
  </w:style>
  <w:style w:type="character" w:customStyle="1" w:styleId="82">
    <w:name w:val="Default Char"/>
    <w:link w:val="83"/>
    <w:qFormat/>
    <w:locked/>
    <w:uiPriority w:val="0"/>
    <w:rPr>
      <w:rFonts w:ascii="Times New Roman" w:hAnsi="Times New Roman"/>
      <w:color w:val="000000"/>
      <w:sz w:val="24"/>
      <w:lang w:bidi="ar-SA"/>
    </w:rPr>
  </w:style>
  <w:style w:type="paragraph" w:customStyle="1" w:styleId="83">
    <w:name w:val="Default"/>
    <w:link w:val="82"/>
    <w:qFormat/>
    <w:uiPriority w:val="0"/>
    <w:pPr>
      <w:widowControl w:val="0"/>
      <w:autoSpaceDE w:val="0"/>
      <w:autoSpaceDN w:val="0"/>
      <w:adjustRightInd w:val="0"/>
    </w:pPr>
    <w:rPr>
      <w:rFonts w:ascii="Times New Roman" w:hAnsi="Times New Roman" w:eastAsia="宋体" w:cs="Times New Roman"/>
      <w:color w:val="000000"/>
      <w:sz w:val="24"/>
      <w:lang w:val="en-US" w:eastAsia="zh-CN" w:bidi="ar-SA"/>
    </w:rPr>
  </w:style>
  <w:style w:type="character" w:customStyle="1" w:styleId="84">
    <w:name w:val="图表标题 Char"/>
    <w:link w:val="45"/>
    <w:qFormat/>
    <w:locked/>
    <w:uiPriority w:val="0"/>
    <w:rPr>
      <w:rFonts w:ascii="Times New Roman" w:hAnsi="Times New Roman" w:eastAsia="宋体"/>
      <w:b/>
      <w:sz w:val="24"/>
    </w:rPr>
  </w:style>
  <w:style w:type="character" w:customStyle="1" w:styleId="85">
    <w:name w:val="表格正文 Char"/>
    <w:link w:val="86"/>
    <w:qFormat/>
    <w:locked/>
    <w:uiPriority w:val="0"/>
    <w:rPr>
      <w:rFonts w:ascii="Arial" w:hAnsi="Arial" w:eastAsia="宋体"/>
      <w:sz w:val="20"/>
    </w:rPr>
  </w:style>
  <w:style w:type="paragraph" w:customStyle="1" w:styleId="86">
    <w:name w:val="表格正文"/>
    <w:basedOn w:val="1"/>
    <w:link w:val="85"/>
    <w:qFormat/>
    <w:uiPriority w:val="0"/>
    <w:pPr>
      <w:spacing w:line="360" w:lineRule="exact"/>
      <w:ind w:firstLine="0" w:firstLineChars="0"/>
      <w:jc w:val="center"/>
    </w:pPr>
    <w:rPr>
      <w:rFonts w:ascii="Arial" w:hAnsi="Arial"/>
      <w:kern w:val="0"/>
      <w:sz w:val="20"/>
    </w:rPr>
  </w:style>
  <w:style w:type="character" w:customStyle="1" w:styleId="87">
    <w:name w:val="fontstyle31"/>
    <w:qFormat/>
    <w:uiPriority w:val="0"/>
    <w:rPr>
      <w:rFonts w:ascii="宋体" w:hAnsi="宋体" w:eastAsia="宋体"/>
      <w:color w:val="000000"/>
      <w:sz w:val="24"/>
    </w:rPr>
  </w:style>
  <w:style w:type="character" w:customStyle="1" w:styleId="88">
    <w:name w:val="fontstyle11"/>
    <w:qFormat/>
    <w:uiPriority w:val="0"/>
    <w:rPr>
      <w:rFonts w:ascii="TimesNewRoman" w:eastAsia="TimesNewRoman"/>
      <w:color w:val="000000"/>
      <w:sz w:val="24"/>
    </w:rPr>
  </w:style>
  <w:style w:type="character" w:customStyle="1" w:styleId="89">
    <w:name w:val="日期 Char"/>
    <w:semiHidden/>
    <w:qFormat/>
    <w:uiPriority w:val="0"/>
    <w:rPr>
      <w:rFonts w:ascii="Times New Roman" w:hAnsi="Times New Roman" w:eastAsia="宋体"/>
      <w:sz w:val="20"/>
    </w:rPr>
  </w:style>
  <w:style w:type="character" w:customStyle="1" w:styleId="90">
    <w:name w:val="占位符文本1"/>
    <w:semiHidden/>
    <w:qFormat/>
    <w:uiPriority w:val="99"/>
    <w:rPr>
      <w:rFonts w:cs="Times New Roman"/>
      <w:color w:val="808080"/>
    </w:rPr>
  </w:style>
  <w:style w:type="character" w:customStyle="1" w:styleId="91">
    <w:name w:val="日期 字符"/>
    <w:qFormat/>
    <w:uiPriority w:val="0"/>
    <w:rPr>
      <w:rFonts w:ascii="宋体" w:hAnsi="Courier New"/>
      <w:kern w:val="2"/>
      <w:sz w:val="28"/>
    </w:rPr>
  </w:style>
  <w:style w:type="character" w:customStyle="1" w:styleId="92">
    <w:name w:val="正文文本缩进 3 Char"/>
    <w:link w:val="29"/>
    <w:qFormat/>
    <w:locked/>
    <w:uiPriority w:val="99"/>
    <w:rPr>
      <w:rFonts w:ascii="Times New Roman" w:hAnsi="Times New Roman" w:eastAsia="宋体"/>
      <w:sz w:val="20"/>
    </w:rPr>
  </w:style>
  <w:style w:type="character" w:customStyle="1" w:styleId="93">
    <w:name w:val="纯文本 Char"/>
    <w:semiHidden/>
    <w:qFormat/>
    <w:uiPriority w:val="0"/>
    <w:rPr>
      <w:rFonts w:ascii="宋体" w:hAnsi="Courier New" w:eastAsia="宋体"/>
      <w:sz w:val="21"/>
    </w:rPr>
  </w:style>
  <w:style w:type="character" w:customStyle="1" w:styleId="94">
    <w:name w:val="文档结构图 Char"/>
    <w:link w:val="11"/>
    <w:semiHidden/>
    <w:qFormat/>
    <w:locked/>
    <w:uiPriority w:val="99"/>
    <w:rPr>
      <w:rFonts w:ascii="Times New Roman" w:hAnsi="Times New Roman" w:eastAsia="宋体"/>
      <w:kern w:val="0"/>
      <w:sz w:val="20"/>
      <w:shd w:val="clear" w:color="auto" w:fill="000080"/>
    </w:rPr>
  </w:style>
  <w:style w:type="character" w:customStyle="1" w:styleId="95">
    <w:name w:val="Char Char15"/>
    <w:qFormat/>
    <w:uiPriority w:val="0"/>
    <w:rPr>
      <w:sz w:val="18"/>
    </w:rPr>
  </w:style>
  <w:style w:type="character" w:customStyle="1" w:styleId="96">
    <w:name w:val="样式1 Char1"/>
    <w:link w:val="97"/>
    <w:qFormat/>
    <w:locked/>
    <w:uiPriority w:val="0"/>
    <w:rPr>
      <w:sz w:val="24"/>
    </w:rPr>
  </w:style>
  <w:style w:type="paragraph" w:customStyle="1" w:styleId="97">
    <w:name w:val="样式1"/>
    <w:basedOn w:val="1"/>
    <w:link w:val="96"/>
    <w:qFormat/>
    <w:uiPriority w:val="0"/>
    <w:pPr>
      <w:spacing w:before="60" w:line="460" w:lineRule="exact"/>
      <w:ind w:firstLine="454" w:firstLineChars="0"/>
    </w:pPr>
    <w:rPr>
      <w:rFonts w:ascii="Calibri" w:hAnsi="Calibri"/>
      <w:kern w:val="0"/>
    </w:rPr>
  </w:style>
  <w:style w:type="character" w:customStyle="1" w:styleId="98">
    <w:name w:val="正文文本 Char"/>
    <w:link w:val="14"/>
    <w:qFormat/>
    <w:locked/>
    <w:uiPriority w:val="99"/>
    <w:rPr>
      <w:rFonts w:ascii="黑体" w:hAnsi="Times New Roman" w:eastAsia="宋体"/>
      <w:kern w:val="0"/>
      <w:sz w:val="20"/>
    </w:rPr>
  </w:style>
  <w:style w:type="character" w:customStyle="1" w:styleId="99">
    <w:name w:val="fontstyle01"/>
    <w:qFormat/>
    <w:uiPriority w:val="0"/>
    <w:rPr>
      <w:rFonts w:ascii="TimesNewRomanPS-BoldMT" w:hAnsi="TimesNewRomanPS-BoldMT"/>
      <w:b/>
      <w:color w:val="000000"/>
      <w:sz w:val="24"/>
    </w:rPr>
  </w:style>
  <w:style w:type="character" w:customStyle="1" w:styleId="100">
    <w:name w:val="正文01 Char"/>
    <w:link w:val="101"/>
    <w:qFormat/>
    <w:locked/>
    <w:uiPriority w:val="0"/>
    <w:rPr>
      <w:rFonts w:ascii="Times New Roman" w:hAnsi="Times New Roman" w:eastAsia="宋体"/>
      <w:sz w:val="24"/>
    </w:rPr>
  </w:style>
  <w:style w:type="paragraph" w:customStyle="1" w:styleId="101">
    <w:name w:val="正文01"/>
    <w:basedOn w:val="1"/>
    <w:link w:val="100"/>
    <w:qFormat/>
    <w:uiPriority w:val="0"/>
    <w:pPr>
      <w:spacing w:before="60" w:line="460" w:lineRule="exact"/>
    </w:pPr>
    <w:rPr>
      <w:kern w:val="0"/>
    </w:rPr>
  </w:style>
  <w:style w:type="character" w:customStyle="1" w:styleId="102">
    <w:name w:val="Plain Text Char2"/>
    <w:semiHidden/>
    <w:qFormat/>
    <w:uiPriority w:val="99"/>
    <w:rPr>
      <w:rFonts w:ascii="宋体" w:hAnsi="Courier New"/>
      <w:kern w:val="2"/>
      <w:sz w:val="21"/>
    </w:rPr>
  </w:style>
  <w:style w:type="paragraph" w:customStyle="1" w:styleId="103">
    <w:name w:val="小四表格（居中）"/>
    <w:basedOn w:val="104"/>
    <w:qFormat/>
    <w:uiPriority w:val="0"/>
    <w:pPr>
      <w:adjustRightInd w:val="0"/>
      <w:snapToGrid w:val="0"/>
    </w:pPr>
    <w:rPr>
      <w:color w:val="FF0000"/>
      <w:sz w:val="21"/>
      <w:szCs w:val="21"/>
    </w:rPr>
  </w:style>
  <w:style w:type="paragraph" w:customStyle="1" w:styleId="104">
    <w:name w:val="小四表格"/>
    <w:basedOn w:val="105"/>
    <w:qFormat/>
    <w:uiPriority w:val="0"/>
    <w:rPr>
      <w:sz w:val="24"/>
    </w:rPr>
  </w:style>
  <w:style w:type="paragraph" w:customStyle="1" w:styleId="105">
    <w:name w:val="五号表格"/>
    <w:basedOn w:val="1"/>
    <w:qFormat/>
    <w:uiPriority w:val="0"/>
    <w:pPr>
      <w:spacing w:line="240" w:lineRule="auto"/>
      <w:ind w:firstLine="0" w:firstLineChars="0"/>
      <w:jc w:val="center"/>
    </w:pPr>
    <w:rPr>
      <w:kern w:val="0"/>
      <w:sz w:val="21"/>
    </w:rPr>
  </w:style>
  <w:style w:type="paragraph" w:customStyle="1" w:styleId="106">
    <w:name w:val="无间隔11"/>
    <w:qFormat/>
    <w:uiPriority w:val="1"/>
    <w:pPr>
      <w:widowControl w:val="0"/>
      <w:jc w:val="center"/>
    </w:pPr>
    <w:rPr>
      <w:rFonts w:ascii="Times New Roman" w:hAnsi="Times New Roman" w:eastAsia="宋体" w:cs="Times New Roman"/>
      <w:kern w:val="2"/>
      <w:sz w:val="21"/>
      <w:lang w:val="en-US" w:eastAsia="zh-CN" w:bidi="ar-SA"/>
    </w:rPr>
  </w:style>
  <w:style w:type="paragraph" w:customStyle="1" w:styleId="107">
    <w:name w:val="三级标题"/>
    <w:basedOn w:val="1"/>
    <w:qFormat/>
    <w:uiPriority w:val="0"/>
    <w:pPr>
      <w:spacing w:before="300" w:line="460" w:lineRule="exact"/>
      <w:ind w:firstLine="0" w:firstLineChars="0"/>
      <w:outlineLvl w:val="2"/>
    </w:pPr>
    <w:rPr>
      <w:b/>
      <w:bCs/>
      <w:szCs w:val="24"/>
    </w:rPr>
  </w:style>
  <w:style w:type="paragraph" w:customStyle="1" w:styleId="108">
    <w:name w:val="标题03"/>
    <w:basedOn w:val="1"/>
    <w:qFormat/>
    <w:uiPriority w:val="0"/>
    <w:pPr>
      <w:tabs>
        <w:tab w:val="left" w:pos="860"/>
        <w:tab w:val="left" w:pos="1075"/>
      </w:tabs>
      <w:snapToGrid w:val="0"/>
      <w:spacing w:line="440" w:lineRule="atLeast"/>
      <w:ind w:firstLine="0" w:firstLineChars="0"/>
      <w:outlineLvl w:val="2"/>
    </w:pPr>
    <w:rPr>
      <w:b/>
    </w:rPr>
  </w:style>
  <w:style w:type="paragraph" w:customStyle="1" w:styleId="109">
    <w:name w:val="TOC 标题1"/>
    <w:basedOn w:val="4"/>
    <w:next w:val="1"/>
    <w:unhideWhenUsed/>
    <w:qFormat/>
    <w:uiPriority w:val="39"/>
    <w:pPr>
      <w:widowControl/>
      <w:spacing w:before="480" w:line="276" w:lineRule="auto"/>
      <w:outlineLvl w:val="9"/>
    </w:pPr>
    <w:rPr>
      <w:rFonts w:ascii="Cambria" w:hAnsi="Cambria"/>
      <w:color w:val="365F91"/>
      <w:kern w:val="0"/>
      <w:sz w:val="28"/>
      <w:szCs w:val="28"/>
    </w:rPr>
  </w:style>
  <w:style w:type="paragraph" w:customStyle="1" w:styleId="110">
    <w:name w:val="Char1"/>
    <w:basedOn w:val="1"/>
    <w:qFormat/>
    <w:uiPriority w:val="0"/>
    <w:pPr>
      <w:spacing w:line="240" w:lineRule="auto"/>
      <w:ind w:firstLine="0" w:firstLineChars="0"/>
    </w:pPr>
    <w:rPr>
      <w:sz w:val="21"/>
      <w:szCs w:val="24"/>
    </w:rPr>
  </w:style>
  <w:style w:type="paragraph" w:customStyle="1" w:styleId="111">
    <w:name w:val="xl26"/>
    <w:basedOn w:val="1"/>
    <w:qFormat/>
    <w:uiPriority w:val="0"/>
    <w:pPr>
      <w:widowControl/>
      <w:spacing w:before="100" w:after="100" w:line="240" w:lineRule="auto"/>
      <w:ind w:firstLine="0" w:firstLineChars="0"/>
      <w:jc w:val="center"/>
    </w:pPr>
    <w:rPr>
      <w:rFonts w:ascii="宋体"/>
      <w:kern w:val="0"/>
    </w:rPr>
  </w:style>
  <w:style w:type="paragraph" w:customStyle="1" w:styleId="112">
    <w:name w:val="表格文字2"/>
    <w:basedOn w:val="1"/>
    <w:qFormat/>
    <w:uiPriority w:val="0"/>
    <w:pPr>
      <w:tabs>
        <w:tab w:val="left" w:pos="277"/>
        <w:tab w:val="left" w:pos="600"/>
        <w:tab w:val="left" w:pos="780"/>
        <w:tab w:val="left" w:pos="2517"/>
      </w:tabs>
      <w:adjustRightInd w:val="0"/>
      <w:spacing w:before="60" w:line="240" w:lineRule="auto"/>
      <w:ind w:firstLine="0" w:firstLineChars="0"/>
      <w:jc w:val="center"/>
      <w:textAlignment w:val="baseline"/>
    </w:pPr>
    <w:rPr>
      <w:kern w:val="0"/>
      <w:sz w:val="21"/>
      <w:szCs w:val="21"/>
    </w:rPr>
  </w:style>
  <w:style w:type="paragraph" w:customStyle="1" w:styleId="113">
    <w:name w:val="1"/>
    <w:basedOn w:val="1"/>
    <w:qFormat/>
    <w:uiPriority w:val="0"/>
    <w:pPr>
      <w:spacing w:line="240" w:lineRule="auto"/>
      <w:ind w:firstLine="0" w:firstLineChars="0"/>
    </w:pPr>
    <w:rPr>
      <w:sz w:val="21"/>
      <w:szCs w:val="24"/>
    </w:rPr>
  </w:style>
  <w:style w:type="paragraph" w:customStyle="1" w:styleId="114">
    <w:name w:val="Char Char15 Char Char"/>
    <w:basedOn w:val="1"/>
    <w:qFormat/>
    <w:uiPriority w:val="0"/>
    <w:pPr>
      <w:widowControl/>
      <w:spacing w:after="160" w:line="240" w:lineRule="exact"/>
      <w:ind w:firstLine="0" w:firstLineChars="0"/>
      <w:jc w:val="left"/>
      <w:textAlignment w:val="auto"/>
    </w:pPr>
    <w:rPr>
      <w:sz w:val="21"/>
    </w:rPr>
  </w:style>
  <w:style w:type="paragraph" w:customStyle="1" w:styleId="115">
    <w:name w:val="无间隔111"/>
    <w:qFormat/>
    <w:uiPriority w:val="1"/>
    <w:pPr>
      <w:widowControl w:val="0"/>
      <w:ind w:firstLine="200" w:firstLineChars="200"/>
      <w:jc w:val="both"/>
    </w:pPr>
    <w:rPr>
      <w:rFonts w:ascii="Times New Roman" w:hAnsi="Times New Roman" w:eastAsia="宋体" w:cs="Times New Roman"/>
      <w:kern w:val="2"/>
      <w:sz w:val="24"/>
      <w:lang w:val="en-US" w:eastAsia="zh-CN" w:bidi="ar-SA"/>
    </w:rPr>
  </w:style>
  <w:style w:type="paragraph" w:customStyle="1" w:styleId="116">
    <w:name w:val="标题1"/>
    <w:basedOn w:val="1"/>
    <w:qFormat/>
    <w:uiPriority w:val="0"/>
    <w:pPr>
      <w:adjustRightInd w:val="0"/>
      <w:snapToGrid w:val="0"/>
      <w:ind w:firstLine="0" w:firstLineChars="0"/>
    </w:pPr>
    <w:rPr>
      <w:b/>
      <w:kern w:val="44"/>
      <w:sz w:val="30"/>
    </w:rPr>
  </w:style>
  <w:style w:type="paragraph" w:styleId="117">
    <w:name w:val="No Spacing"/>
    <w:qFormat/>
    <w:uiPriority w:val="0"/>
    <w:pPr>
      <w:widowControl w:val="0"/>
      <w:ind w:firstLine="200" w:firstLineChars="200"/>
      <w:jc w:val="both"/>
    </w:pPr>
    <w:rPr>
      <w:rFonts w:ascii="Times New Roman" w:hAnsi="Times New Roman" w:eastAsia="宋体" w:cs="Times New Roman"/>
      <w:kern w:val="2"/>
      <w:sz w:val="24"/>
      <w:lang w:val="en-US" w:eastAsia="zh-CN" w:bidi="ar-SA"/>
    </w:rPr>
  </w:style>
  <w:style w:type="paragraph" w:customStyle="1" w:styleId="118">
    <w:name w:val="表格文字1"/>
    <w:basedOn w:val="1"/>
    <w:next w:val="1"/>
    <w:qFormat/>
    <w:uiPriority w:val="0"/>
    <w:pPr>
      <w:adjustRightInd w:val="0"/>
      <w:snapToGrid w:val="0"/>
      <w:spacing w:line="260" w:lineRule="exact"/>
      <w:ind w:firstLine="0" w:firstLineChars="0"/>
      <w:jc w:val="center"/>
      <w:textAlignment w:val="baseline"/>
    </w:pPr>
    <w:rPr>
      <w:snapToGrid w:val="0"/>
      <w:kern w:val="0"/>
      <w:sz w:val="21"/>
    </w:rPr>
  </w:style>
  <w:style w:type="paragraph" w:customStyle="1" w:styleId="119">
    <w:name w:val="Char Char1 Char"/>
    <w:basedOn w:val="1"/>
    <w:qFormat/>
    <w:uiPriority w:val="0"/>
    <w:pPr>
      <w:spacing w:line="240" w:lineRule="auto"/>
      <w:ind w:firstLine="0" w:firstLineChars="0"/>
    </w:pPr>
    <w:rPr>
      <w:sz w:val="21"/>
    </w:rPr>
  </w:style>
  <w:style w:type="paragraph" w:customStyle="1" w:styleId="120">
    <w:name w:val="Char Char13 Char Char Char Char Char Char"/>
    <w:basedOn w:val="1"/>
    <w:qFormat/>
    <w:uiPriority w:val="0"/>
    <w:pPr>
      <w:widowControl/>
      <w:spacing w:after="160" w:line="240" w:lineRule="exact"/>
      <w:ind w:firstLine="0" w:firstLineChars="0"/>
      <w:jc w:val="left"/>
      <w:textAlignment w:val="auto"/>
    </w:pPr>
    <w:rPr>
      <w:sz w:val="21"/>
    </w:rPr>
  </w:style>
  <w:style w:type="paragraph" w:customStyle="1" w:styleId="121">
    <w:name w:val="Char Char14"/>
    <w:basedOn w:val="1"/>
    <w:qFormat/>
    <w:uiPriority w:val="0"/>
    <w:pPr>
      <w:widowControl/>
      <w:spacing w:after="160" w:line="240" w:lineRule="exact"/>
      <w:ind w:firstLine="0" w:firstLineChars="0"/>
      <w:jc w:val="left"/>
      <w:textAlignment w:val="auto"/>
    </w:pPr>
    <w:rPr>
      <w:sz w:val="21"/>
    </w:rPr>
  </w:style>
  <w:style w:type="paragraph" w:customStyle="1" w:styleId="122">
    <w:name w:val="无间隔12"/>
    <w:qFormat/>
    <w:uiPriority w:val="0"/>
    <w:pPr>
      <w:widowControl w:val="0"/>
      <w:jc w:val="center"/>
    </w:pPr>
    <w:rPr>
      <w:rFonts w:ascii="Times New Roman" w:hAnsi="Times New Roman" w:eastAsia="宋体" w:cs="Times New Roman"/>
      <w:kern w:val="2"/>
      <w:sz w:val="21"/>
      <w:lang w:val="en-US" w:eastAsia="zh-CN" w:bidi="ar-SA"/>
    </w:rPr>
  </w:style>
  <w:style w:type="paragraph" w:customStyle="1" w:styleId="123">
    <w:name w:val="默认段落字体 Para Char"/>
    <w:basedOn w:val="1"/>
    <w:qFormat/>
    <w:uiPriority w:val="0"/>
    <w:rPr>
      <w:rFonts w:ascii="宋体" w:hAnsi="宋体" w:cs="宋体"/>
      <w:szCs w:val="24"/>
    </w:rPr>
  </w:style>
  <w:style w:type="paragraph" w:customStyle="1" w:styleId="124">
    <w:name w:val="正文1"/>
    <w:basedOn w:val="1"/>
    <w:qFormat/>
    <w:uiPriority w:val="0"/>
    <w:pPr>
      <w:adjustRightInd w:val="0"/>
      <w:spacing w:line="500" w:lineRule="exact"/>
      <w:ind w:firstLine="567" w:firstLineChars="0"/>
    </w:pPr>
    <w:rPr>
      <w:sz w:val="28"/>
    </w:rPr>
  </w:style>
  <w:style w:type="paragraph" w:customStyle="1" w:styleId="125">
    <w:name w:val="_Style 219"/>
    <w:basedOn w:val="1"/>
    <w:qFormat/>
    <w:uiPriority w:val="0"/>
    <w:pPr>
      <w:widowControl/>
      <w:spacing w:after="160" w:line="240" w:lineRule="exact"/>
      <w:ind w:firstLine="0" w:firstLineChars="0"/>
      <w:jc w:val="left"/>
    </w:pPr>
    <w:rPr>
      <w:sz w:val="21"/>
      <w:szCs w:val="24"/>
    </w:rPr>
  </w:style>
  <w:style w:type="paragraph" w:customStyle="1" w:styleId="126">
    <w:name w:val="默认段落字体 Para Char Char Char Char"/>
    <w:basedOn w:val="1"/>
    <w:qFormat/>
    <w:uiPriority w:val="0"/>
    <w:pPr>
      <w:spacing w:line="240" w:lineRule="auto"/>
      <w:ind w:firstLine="0" w:firstLineChars="0"/>
      <w:textAlignment w:val="auto"/>
    </w:pPr>
    <w:rPr>
      <w:szCs w:val="24"/>
    </w:rPr>
  </w:style>
  <w:style w:type="paragraph" w:customStyle="1" w:styleId="127">
    <w:name w:val="Char Char Char Char Char Char Char"/>
    <w:basedOn w:val="1"/>
    <w:qFormat/>
    <w:uiPriority w:val="0"/>
    <w:rPr>
      <w:rFonts w:ascii="宋体" w:hAnsi="宋体" w:eastAsia="汉鼎简书宋"/>
      <w:kern w:val="0"/>
    </w:rPr>
  </w:style>
  <w:style w:type="paragraph" w:customStyle="1" w:styleId="128">
    <w:name w:val="表内文本"/>
    <w:basedOn w:val="1"/>
    <w:qFormat/>
    <w:uiPriority w:val="0"/>
    <w:pPr>
      <w:spacing w:line="320" w:lineRule="exact"/>
      <w:ind w:firstLine="0" w:firstLineChars="0"/>
      <w:jc w:val="center"/>
    </w:pPr>
    <w:rPr>
      <w:rFonts w:eastAsia="仿宋_GB2312"/>
      <w:sz w:val="21"/>
    </w:rPr>
  </w:style>
  <w:style w:type="paragraph" w:customStyle="1" w:styleId="129">
    <w:name w:val="正文文本缩进 21"/>
    <w:basedOn w:val="1"/>
    <w:qFormat/>
    <w:uiPriority w:val="0"/>
    <w:pPr>
      <w:ind w:firstLine="580"/>
    </w:pPr>
    <w:rPr>
      <w:rFonts w:ascii="Garamond" w:hAnsi="Garamond"/>
      <w:sz w:val="28"/>
      <w:szCs w:val="21"/>
    </w:rPr>
  </w:style>
  <w:style w:type="paragraph" w:customStyle="1" w:styleId="130">
    <w:name w:val="正文2"/>
    <w:basedOn w:val="1"/>
    <w:qFormat/>
    <w:uiPriority w:val="0"/>
    <w:pPr>
      <w:adjustRightInd w:val="0"/>
      <w:snapToGrid w:val="0"/>
      <w:spacing w:line="440" w:lineRule="atLeast"/>
      <w:ind w:firstLine="567" w:firstLineChars="0"/>
    </w:pPr>
  </w:style>
  <w:style w:type="paragraph" w:customStyle="1" w:styleId="131">
    <w:name w:val="4"/>
    <w:basedOn w:val="1"/>
    <w:qFormat/>
    <w:uiPriority w:val="0"/>
    <w:pPr>
      <w:widowControl/>
      <w:spacing w:after="160" w:line="240" w:lineRule="exact"/>
      <w:ind w:firstLine="0" w:firstLineChars="0"/>
      <w:jc w:val="left"/>
    </w:pPr>
    <w:rPr>
      <w:sz w:val="21"/>
    </w:rPr>
  </w:style>
  <w:style w:type="paragraph" w:customStyle="1" w:styleId="132">
    <w:name w:val="Table Paragraph"/>
    <w:basedOn w:val="1"/>
    <w:qFormat/>
    <w:uiPriority w:val="1"/>
    <w:rPr>
      <w:rFonts w:ascii="宋体" w:hAnsi="宋体" w:cs="宋体"/>
      <w:lang w:val="zh-CN" w:bidi="zh-CN"/>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2.png"/><Relationship Id="rId31" Type="http://schemas.openxmlformats.org/officeDocument/2006/relationships/image" Target="media/image11.wmf"/><Relationship Id="rId30" Type="http://schemas.openxmlformats.org/officeDocument/2006/relationships/image" Target="media/image10.w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emf"/><Relationship Id="rId23" Type="http://schemas.openxmlformats.org/officeDocument/2006/relationships/image" Target="media/image4.emf"/><Relationship Id="rId22" Type="http://schemas.openxmlformats.org/officeDocument/2006/relationships/image" Target="media/image3.jpeg"/><Relationship Id="rId21" Type="http://schemas.openxmlformats.org/officeDocument/2006/relationships/image" Target="media/image2.jpe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3B5D49-B5E7-4925-B484-709CB6C72014}">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139</Pages>
  <Words>14311</Words>
  <Characters>81578</Characters>
  <Lines>679</Lines>
  <Paragraphs>191</Paragraphs>
  <TotalTime>5</TotalTime>
  <ScaleCrop>false</ScaleCrop>
  <LinksUpToDate>false</LinksUpToDate>
  <CharactersWithSpaces>95698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2021-01-28T03:08:00Z</dcterms:created>
  <dc:creator>China</dc:creator>
  <cp:lastModifiedBy>Mmmm</cp:lastModifiedBy>
  <cp:lastPrinted>2021-02-02T01:04:00Z</cp:lastPrinted>
  <dcterms:modified xsi:type="dcterms:W3CDTF">2021-02-05T08:50:38Z</dcterms:modified>
  <dc:title> </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