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ascii="楷体_GB2312" w:eastAsia="楷体_GB2312"/>
          <w:bCs/>
          <w:sz w:val="48"/>
          <w:szCs w:val="48"/>
        </w:rPr>
      </w:pPr>
      <w:r>
        <w:rPr>
          <w:rFonts w:hint="eastAsia" w:ascii="楷体_GB2312" w:eastAsia="楷体_GB2312"/>
          <w:bCs/>
          <w:sz w:val="48"/>
          <w:szCs w:val="48"/>
        </w:rPr>
        <w:t>（污染影响类）</w:t>
      </w:r>
    </w:p>
    <w:p>
      <w:pPr>
        <w:bidi w:val="0"/>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ind w:firstLine="360" w:firstLineChars="100"/>
        <w:rPr>
          <w:rFonts w:hint="default" w:ascii="仿宋_GB2312" w:eastAsia="仿宋"/>
          <w:sz w:val="36"/>
          <w:szCs w:val="36"/>
          <w:u w:val="single"/>
          <w:lang w:val="en-US" w:eastAsia="zh-CN"/>
        </w:rPr>
      </w:pPr>
      <w:r>
        <w:rPr>
          <w:rFonts w:hint="eastAsia" w:ascii="仿宋_GB2312" w:eastAsia="仿宋_GB2312"/>
          <w:sz w:val="36"/>
          <w:szCs w:val="36"/>
        </w:rPr>
        <w:t>项目名称：</w:t>
      </w:r>
      <w:r>
        <w:rPr>
          <w:rFonts w:hint="eastAsia" w:ascii="仿宋_GB2312" w:eastAsia="仿宋_GB2312"/>
          <w:sz w:val="36"/>
          <w:szCs w:val="36"/>
          <w:u w:val="single"/>
        </w:rPr>
        <w:t xml:space="preserve"> </w:t>
      </w:r>
      <w:r>
        <w:rPr>
          <w:rFonts w:hint="eastAsia" w:ascii="仿宋" w:hAnsi="仿宋" w:eastAsia="仿宋"/>
          <w:color w:val="000000"/>
          <w:sz w:val="36"/>
          <w:szCs w:val="36"/>
          <w:u w:val="single"/>
          <w:lang w:eastAsia="zh-CN"/>
        </w:rPr>
        <w:t>双玻组件用背板玻璃深加工技术改造项目</w:t>
      </w:r>
      <w:r>
        <w:rPr>
          <w:rFonts w:hint="eastAsia" w:ascii="仿宋" w:hAnsi="仿宋" w:eastAsia="仿宋"/>
          <w:color w:val="000000"/>
          <w:sz w:val="36"/>
          <w:szCs w:val="36"/>
          <w:u w:val="single"/>
          <w:lang w:val="en-US" w:eastAsia="zh-CN"/>
        </w:rPr>
        <w:t xml:space="preserve">          </w:t>
      </w:r>
    </w:p>
    <w:p>
      <w:pPr>
        <w:adjustRightInd w:val="0"/>
        <w:snapToGrid w:val="0"/>
        <w:spacing w:line="288" w:lineRule="auto"/>
        <w:ind w:firstLine="360" w:firstLineChars="100"/>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rPr>
        <w:t xml:space="preserve"> </w:t>
      </w:r>
      <w:r>
        <w:rPr>
          <w:rFonts w:hint="eastAsia" w:ascii="仿宋" w:hAnsi="仿宋" w:eastAsia="仿宋"/>
          <w:color w:val="000000"/>
          <w:sz w:val="36"/>
          <w:szCs w:val="36"/>
          <w:u w:val="single"/>
          <w:lang w:eastAsia="zh-CN"/>
        </w:rPr>
        <w:t>中建材（宜兴）新能源有限公司</w:t>
      </w:r>
      <w:r>
        <w:rPr>
          <w:rFonts w:hint="eastAsia" w:ascii="仿宋" w:hAnsi="仿宋" w:eastAsia="仿宋"/>
          <w:color w:val="000000"/>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360" w:firstLineChars="100"/>
        <w:rPr>
          <w:rFonts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ascii="仿宋" w:hAnsi="仿宋" w:eastAsia="仿宋"/>
          <w:color w:val="000000"/>
          <w:sz w:val="36"/>
          <w:szCs w:val="36"/>
          <w:u w:val="single"/>
        </w:rPr>
        <w:t>202</w:t>
      </w:r>
      <w:r>
        <w:rPr>
          <w:rFonts w:hint="eastAsia" w:ascii="仿宋" w:hAnsi="仿宋" w:eastAsia="仿宋"/>
          <w:color w:val="000000"/>
          <w:sz w:val="36"/>
          <w:szCs w:val="36"/>
          <w:u w:val="single"/>
          <w:lang w:val="en-US" w:eastAsia="zh-CN"/>
        </w:rPr>
        <w:t>2</w:t>
      </w:r>
      <w:r>
        <w:rPr>
          <w:rFonts w:ascii="仿宋" w:hAnsi="仿宋" w:eastAsia="仿宋"/>
          <w:color w:val="000000"/>
          <w:sz w:val="36"/>
          <w:szCs w:val="36"/>
          <w:u w:val="single"/>
        </w:rPr>
        <w:t>年</w:t>
      </w:r>
      <w:r>
        <w:rPr>
          <w:rFonts w:hint="eastAsia" w:ascii="仿宋" w:hAnsi="仿宋" w:eastAsia="仿宋"/>
          <w:color w:val="000000"/>
          <w:sz w:val="36"/>
          <w:szCs w:val="36"/>
          <w:u w:val="single"/>
          <w:lang w:val="en-US" w:eastAsia="zh-CN"/>
        </w:rPr>
        <w:t>2</w:t>
      </w:r>
      <w:r>
        <w:rPr>
          <w:rFonts w:ascii="仿宋" w:hAnsi="仿宋" w:eastAsia="仿宋"/>
          <w:color w:val="000000"/>
          <w:sz w:val="36"/>
          <w:szCs w:val="36"/>
          <w:u w:val="single"/>
        </w:rPr>
        <w:t xml:space="preserve">月 </w:t>
      </w:r>
      <w:r>
        <w:rPr>
          <w:rFonts w:hint="eastAsia" w:ascii="仿宋" w:hAnsi="仿宋" w:eastAsia="仿宋"/>
          <w:color w:val="000000"/>
          <w:sz w:val="36"/>
          <w:szCs w:val="36"/>
          <w:u w:val="single"/>
        </w:rPr>
        <w:t xml:space="preserve">     </w:t>
      </w:r>
      <w:r>
        <w:rPr>
          <w:rFonts w:hint="eastAsia" w:ascii="仿宋" w:hAnsi="仿宋" w:eastAsia="仿宋"/>
          <w:color w:val="000000"/>
          <w:sz w:val="36"/>
          <w:szCs w:val="36"/>
          <w:u w:val="single"/>
          <w:lang w:val="en-US" w:eastAsia="zh-CN"/>
        </w:rPr>
        <w:t xml:space="preserve">    </w:t>
      </w:r>
      <w:r>
        <w:rPr>
          <w:rFonts w:ascii="仿宋" w:hAnsi="仿宋" w:eastAsia="仿宋"/>
          <w:color w:val="000000"/>
          <w:sz w:val="36"/>
          <w:szCs w:val="36"/>
          <w:u w:val="single"/>
        </w:rPr>
        <w:t xml:space="preserve"> </w:t>
      </w:r>
      <w:r>
        <w:rPr>
          <w:rFonts w:hint="eastAsia" w:ascii="仿宋" w:hAnsi="仿宋" w:eastAsia="仿宋"/>
          <w:color w:val="000000"/>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0"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bookmarkEnd w:id="0"/>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仿宋_GB2312" w:eastAsia="仿宋_GB2312"/>
          <w:sz w:val="36"/>
          <w:szCs w:val="36"/>
        </w:rPr>
      </w:pPr>
    </w:p>
    <w:p>
      <w:pPr>
        <w:bidi w:val="0"/>
      </w:pPr>
    </w:p>
    <w:p>
      <w:pPr>
        <w:rPr>
          <w:rFonts w:hint="eastAsia" w:eastAsia="仿宋_GB2312"/>
          <w:lang w:eastAsia="zh-CN"/>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32"/>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06"/>
        <w:gridCol w:w="2691"/>
        <w:gridCol w:w="2266"/>
        <w:gridCol w:w="29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建设项目名称</w:t>
            </w:r>
          </w:p>
        </w:tc>
        <w:tc>
          <w:tcPr>
            <w:tcW w:w="7864" w:type="dxa"/>
            <w:gridSpan w:val="3"/>
            <w:vAlign w:val="center"/>
          </w:tcPr>
          <w:p>
            <w:pPr>
              <w:adjustRightInd w:val="0"/>
              <w:snapToGrid w:val="0"/>
              <w:jc w:val="center"/>
              <w:rPr>
                <w:rFonts w:hint="eastAsia" w:ascii="宋体" w:hAnsi="宋体" w:eastAsia="宋体" w:cs="宋体"/>
                <w:sz w:val="24"/>
                <w:lang w:eastAsia="zh-CN"/>
              </w:rPr>
            </w:pPr>
            <w:r>
              <w:rPr>
                <w:rFonts w:hint="eastAsia"/>
                <w:color w:val="000000"/>
                <w:sz w:val="24"/>
                <w:lang w:val="en-US" w:eastAsia="zh-CN"/>
              </w:rPr>
              <w:t>双玻组件用背板玻璃深加工技术改造项目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项目代码</w:t>
            </w:r>
          </w:p>
        </w:tc>
        <w:tc>
          <w:tcPr>
            <w:tcW w:w="7864" w:type="dxa"/>
            <w:gridSpan w:val="3"/>
            <w:vAlign w:val="center"/>
          </w:tcPr>
          <w:p>
            <w:pPr>
              <w:adjustRightInd w:val="0"/>
              <w:snapToGrid w:val="0"/>
              <w:jc w:val="center"/>
              <w:rPr>
                <w:rFonts w:hint="default" w:ascii="宋体" w:hAnsi="宋体" w:eastAsia="宋体" w:cs="宋体"/>
                <w:sz w:val="24"/>
                <w:lang w:val="en-US" w:eastAsia="zh-CN"/>
              </w:rPr>
            </w:pPr>
            <w:r>
              <w:rPr>
                <w:rFonts w:hint="eastAsia"/>
                <w:color w:val="000000"/>
                <w:sz w:val="24"/>
                <w:lang w:eastAsia="zh-CN"/>
              </w:rPr>
              <w:t>2108-320282-89-02-</w:t>
            </w:r>
            <w:r>
              <w:rPr>
                <w:rFonts w:hint="eastAsia"/>
                <w:color w:val="000000"/>
                <w:sz w:val="24"/>
                <w:lang w:val="en-US" w:eastAsia="zh-CN"/>
              </w:rPr>
              <w:t>932317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建设单位联系人</w:t>
            </w:r>
          </w:p>
        </w:tc>
        <w:tc>
          <w:tcPr>
            <w:tcW w:w="2691" w:type="dxa"/>
            <w:vAlign w:val="center"/>
          </w:tcPr>
          <w:p>
            <w:pPr>
              <w:adjustRightInd w:val="0"/>
              <w:snapToGrid w:val="0"/>
              <w:jc w:val="center"/>
              <w:rPr>
                <w:rFonts w:hint="eastAsia" w:eastAsia="宋体"/>
                <w:color w:val="000000"/>
                <w:sz w:val="24"/>
                <w:lang w:val="en-US" w:eastAsia="zh-CN"/>
              </w:rPr>
            </w:pPr>
            <w:r>
              <w:rPr>
                <w:rFonts w:hint="eastAsia" w:eastAsia="宋体"/>
                <w:color w:val="000000"/>
                <w:sz w:val="24"/>
                <w:lang w:val="en-US" w:eastAsia="zh-CN"/>
              </w:rPr>
              <w:t>仝争利</w:t>
            </w:r>
          </w:p>
        </w:tc>
        <w:tc>
          <w:tcPr>
            <w:tcW w:w="2266" w:type="dxa"/>
            <w:vAlign w:val="center"/>
          </w:tcPr>
          <w:p>
            <w:pPr>
              <w:adjustRightInd w:val="0"/>
              <w:snapToGrid w:val="0"/>
              <w:jc w:val="center"/>
              <w:rPr>
                <w:b/>
                <w:color w:val="000000"/>
                <w:sz w:val="24"/>
              </w:rPr>
            </w:pPr>
            <w:r>
              <w:rPr>
                <w:rFonts w:hint="eastAsia"/>
                <w:b/>
                <w:color w:val="000000"/>
                <w:sz w:val="24"/>
              </w:rPr>
              <w:t>联系方式</w:t>
            </w:r>
          </w:p>
        </w:tc>
        <w:tc>
          <w:tcPr>
            <w:tcW w:w="2907" w:type="dxa"/>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15261685855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建设地点</w:t>
            </w:r>
          </w:p>
        </w:tc>
        <w:tc>
          <w:tcPr>
            <w:tcW w:w="7864" w:type="dxa"/>
            <w:gridSpan w:val="3"/>
            <w:vAlign w:val="center"/>
          </w:tcPr>
          <w:p>
            <w:pPr>
              <w:adjustRightInd w:val="0"/>
              <w:snapToGrid w:val="0"/>
              <w:jc w:val="center"/>
              <w:rPr>
                <w:rFonts w:hint="default" w:eastAsia="宋体"/>
                <w:color w:val="000000"/>
                <w:sz w:val="24"/>
                <w:lang w:val="en-US" w:eastAsia="zh-CN"/>
              </w:rPr>
            </w:pPr>
            <w:r>
              <w:rPr>
                <w:rFonts w:hint="eastAsia"/>
                <w:color w:val="000000"/>
                <w:sz w:val="24"/>
                <w:lang w:eastAsia="zh-CN"/>
              </w:rPr>
              <w:t>江苏省宜兴市高塍镇范道桃园工业区鑫运来路1号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地理坐标</w:t>
            </w:r>
          </w:p>
        </w:tc>
        <w:tc>
          <w:tcPr>
            <w:tcW w:w="7864" w:type="dxa"/>
            <w:gridSpan w:val="3"/>
            <w:vAlign w:val="center"/>
          </w:tcPr>
          <w:p>
            <w:pPr>
              <w:jc w:val="center"/>
              <w:rPr>
                <w:rFonts w:ascii="宋体" w:hAnsi="宋体" w:cs="宋体"/>
                <w:sz w:val="24"/>
              </w:rPr>
            </w:pPr>
            <w:r>
              <w:rPr>
                <w:rFonts w:hint="eastAsia"/>
                <w:color w:val="000000"/>
                <w:sz w:val="24"/>
                <w:lang w:eastAsia="zh-CN"/>
              </w:rPr>
              <w:t>（ 119 度</w:t>
            </w:r>
            <w:r>
              <w:rPr>
                <w:rFonts w:hint="eastAsia"/>
                <w:color w:val="000000"/>
                <w:sz w:val="24"/>
                <w:lang w:val="en-US" w:eastAsia="zh-CN"/>
              </w:rPr>
              <w:t>45</w:t>
            </w:r>
            <w:r>
              <w:rPr>
                <w:rFonts w:hint="eastAsia"/>
                <w:color w:val="000000"/>
                <w:sz w:val="24"/>
                <w:lang w:eastAsia="zh-CN"/>
              </w:rPr>
              <w:t xml:space="preserve">分 </w:t>
            </w:r>
            <w:r>
              <w:rPr>
                <w:rFonts w:hint="eastAsia"/>
                <w:color w:val="000000"/>
                <w:sz w:val="24"/>
                <w:lang w:val="en-US" w:eastAsia="zh-CN"/>
              </w:rPr>
              <w:t>6.2478</w:t>
            </w:r>
            <w:r>
              <w:rPr>
                <w:rFonts w:hint="eastAsia"/>
                <w:color w:val="000000"/>
                <w:sz w:val="24"/>
                <w:lang w:eastAsia="zh-CN"/>
              </w:rPr>
              <w:t xml:space="preserve"> 秒， 31 度</w:t>
            </w:r>
            <w:r>
              <w:rPr>
                <w:rFonts w:hint="eastAsia"/>
                <w:color w:val="000000"/>
                <w:sz w:val="24"/>
                <w:lang w:val="en-US" w:eastAsia="zh-CN"/>
              </w:rPr>
              <w:t>26</w:t>
            </w:r>
            <w:r>
              <w:rPr>
                <w:rFonts w:hint="eastAsia"/>
                <w:color w:val="000000"/>
                <w:sz w:val="24"/>
                <w:lang w:eastAsia="zh-CN"/>
              </w:rPr>
              <w:t xml:space="preserve"> 分  </w:t>
            </w:r>
            <w:r>
              <w:rPr>
                <w:rFonts w:hint="eastAsia"/>
                <w:color w:val="000000"/>
                <w:sz w:val="24"/>
                <w:lang w:val="en-US" w:eastAsia="zh-CN"/>
              </w:rPr>
              <w:t>8.96989</w:t>
            </w:r>
            <w:r>
              <w:rPr>
                <w:rFonts w:hint="eastAsia"/>
                <w:color w:val="000000"/>
                <w:sz w:val="24"/>
                <w:lang w:eastAsia="zh-CN"/>
              </w:rPr>
              <w:t xml:space="preserve"> 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国民经济</w:t>
            </w:r>
          </w:p>
          <w:p>
            <w:pPr>
              <w:adjustRightInd w:val="0"/>
              <w:snapToGrid w:val="0"/>
              <w:jc w:val="center"/>
              <w:rPr>
                <w:rFonts w:ascii="宋体" w:hAnsi="宋体" w:cs="宋体"/>
                <w:b/>
                <w:sz w:val="24"/>
              </w:rPr>
            </w:pPr>
            <w:r>
              <w:rPr>
                <w:rFonts w:hint="eastAsia" w:ascii="宋体" w:hAnsi="宋体" w:cs="宋体"/>
                <w:b/>
                <w:sz w:val="24"/>
              </w:rPr>
              <w:t>行业类别</w:t>
            </w:r>
          </w:p>
        </w:tc>
        <w:tc>
          <w:tcPr>
            <w:tcW w:w="2691" w:type="dxa"/>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C3042 特种玻璃制造</w:t>
            </w:r>
          </w:p>
        </w:tc>
        <w:tc>
          <w:tcPr>
            <w:tcW w:w="2266" w:type="dxa"/>
            <w:vAlign w:val="center"/>
          </w:tcPr>
          <w:p>
            <w:pPr>
              <w:adjustRightInd w:val="0"/>
              <w:snapToGrid w:val="0"/>
              <w:jc w:val="center"/>
              <w:rPr>
                <w:rFonts w:ascii="宋体" w:hAnsi="宋体" w:cs="宋体"/>
                <w:b/>
                <w:sz w:val="24"/>
              </w:rPr>
            </w:pPr>
            <w:bookmarkStart w:id="1" w:name="_Hlk49843745"/>
            <w:r>
              <w:rPr>
                <w:rFonts w:hint="eastAsia" w:ascii="宋体" w:hAnsi="宋体" w:cs="宋体"/>
                <w:b/>
                <w:sz w:val="24"/>
              </w:rPr>
              <w:t>建设项目</w:t>
            </w:r>
          </w:p>
          <w:p>
            <w:pPr>
              <w:adjustRightInd w:val="0"/>
              <w:snapToGrid w:val="0"/>
              <w:jc w:val="center"/>
              <w:rPr>
                <w:rFonts w:ascii="宋体" w:hAnsi="宋体" w:cs="宋体"/>
                <w:b/>
                <w:sz w:val="24"/>
              </w:rPr>
            </w:pPr>
            <w:r>
              <w:rPr>
                <w:rFonts w:hint="eastAsia" w:ascii="宋体" w:hAnsi="宋体" w:cs="宋体"/>
                <w:b/>
                <w:sz w:val="24"/>
              </w:rPr>
              <w:t>行业类别</w:t>
            </w:r>
            <w:bookmarkEnd w:id="1"/>
          </w:p>
        </w:tc>
        <w:tc>
          <w:tcPr>
            <w:tcW w:w="2907" w:type="dxa"/>
            <w:vAlign w:val="center"/>
          </w:tcPr>
          <w:p>
            <w:pPr>
              <w:adjustRightInd w:val="0"/>
              <w:snapToGrid w:val="0"/>
              <w:jc w:val="center"/>
              <w:rPr>
                <w:rFonts w:hint="default" w:ascii="宋体" w:hAnsi="宋体" w:eastAsia="宋体" w:cs="宋体"/>
                <w:sz w:val="24"/>
                <w:lang w:val="en-US" w:eastAsia="zh-CN"/>
              </w:rPr>
            </w:pPr>
            <w:r>
              <w:rPr>
                <w:rFonts w:hint="eastAsia" w:ascii="宋体" w:hAnsi="宋体" w:cs="宋体"/>
                <w:sz w:val="24"/>
                <w:lang w:val="en-US" w:eastAsia="zh-CN"/>
              </w:rPr>
              <w:t>57-304玻璃制造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建设性质</w:t>
            </w:r>
          </w:p>
        </w:tc>
        <w:tc>
          <w:tcPr>
            <w:tcW w:w="2691" w:type="dxa"/>
            <w:vAlign w:val="center"/>
          </w:tcPr>
          <w:p>
            <w:pPr>
              <w:jc w:val="left"/>
              <w:rPr>
                <w:rFonts w:ascii="宋体" w:hAnsi="宋体" w:cs="宋体"/>
                <w:sz w:val="24"/>
              </w:rPr>
            </w:pPr>
            <w:r>
              <w:rPr>
                <w:rFonts w:hint="eastAsia" w:ascii="宋体" w:hAnsi="宋体" w:cs="宋体"/>
                <w:sz w:val="24"/>
                <w:lang w:eastAsia="zh-CN"/>
              </w:rPr>
              <w:t>□</w:t>
            </w:r>
            <w:r>
              <w:rPr>
                <w:rFonts w:hint="eastAsia" w:ascii="宋体" w:hAnsi="宋体" w:cs="宋体"/>
                <w:sz w:val="24"/>
              </w:rPr>
              <w:t>新建（迁建）</w:t>
            </w:r>
          </w:p>
          <w:p>
            <w:pPr>
              <w:jc w:val="left"/>
              <w:rPr>
                <w:rFonts w:ascii="宋体" w:hAnsi="宋体" w:cs="宋体"/>
                <w:sz w:val="24"/>
              </w:rPr>
            </w:pPr>
            <w:r>
              <w:rPr>
                <w:rFonts w:hint="eastAsia" w:ascii="宋体" w:hAnsi="宋体" w:cs="宋体"/>
                <w:sz w:val="24"/>
                <w:lang w:eastAsia="zh-CN"/>
              </w:rPr>
              <w:t>☑</w:t>
            </w:r>
            <w:r>
              <w:rPr>
                <w:rFonts w:hint="eastAsia" w:ascii="宋体" w:hAnsi="宋体" w:cs="宋体"/>
                <w:sz w:val="24"/>
              </w:rPr>
              <w:t>改建</w:t>
            </w:r>
          </w:p>
          <w:p>
            <w:pPr>
              <w:jc w:val="left"/>
              <w:rPr>
                <w:rFonts w:ascii="宋体" w:hAnsi="宋体" w:cs="宋体"/>
                <w:sz w:val="24"/>
              </w:rPr>
            </w:pPr>
            <w:r>
              <w:rPr>
                <w:rFonts w:hint="eastAsia" w:ascii="宋体" w:hAnsi="宋体" w:cs="宋体"/>
                <w:sz w:val="24"/>
                <w:lang w:eastAsia="zh-CN"/>
              </w:rPr>
              <w:t>□</w:t>
            </w:r>
            <w:r>
              <w:rPr>
                <w:rFonts w:hint="eastAsia" w:ascii="宋体" w:hAnsi="宋体" w:cs="宋体"/>
                <w:sz w:val="24"/>
              </w:rPr>
              <w:t>扩建</w:t>
            </w:r>
          </w:p>
          <w:p>
            <w:pPr>
              <w:jc w:val="left"/>
              <w:rPr>
                <w:rFonts w:ascii="宋体" w:hAnsi="宋体" w:cs="宋体"/>
                <w:sz w:val="24"/>
              </w:rPr>
            </w:pPr>
            <w:r>
              <w:rPr>
                <w:rFonts w:hint="eastAsia" w:ascii="宋体" w:hAnsi="宋体" w:cs="宋体"/>
                <w:sz w:val="24"/>
              </w:rPr>
              <w:t>□技术改造</w:t>
            </w:r>
          </w:p>
        </w:tc>
        <w:tc>
          <w:tcPr>
            <w:tcW w:w="2266" w:type="dxa"/>
            <w:vAlign w:val="center"/>
          </w:tcPr>
          <w:p>
            <w:pPr>
              <w:adjustRightInd w:val="0"/>
              <w:snapToGrid w:val="0"/>
              <w:jc w:val="center"/>
              <w:rPr>
                <w:rFonts w:ascii="宋体" w:hAnsi="宋体" w:cs="宋体"/>
                <w:b/>
                <w:sz w:val="24"/>
              </w:rPr>
            </w:pPr>
            <w:r>
              <w:rPr>
                <w:rFonts w:hint="eastAsia" w:ascii="宋体" w:hAnsi="宋体" w:cs="宋体"/>
                <w:b/>
                <w:sz w:val="24"/>
              </w:rPr>
              <w:t>建设项目</w:t>
            </w:r>
          </w:p>
          <w:p>
            <w:pPr>
              <w:adjustRightInd w:val="0"/>
              <w:snapToGrid w:val="0"/>
              <w:jc w:val="center"/>
              <w:rPr>
                <w:rFonts w:ascii="宋体" w:hAnsi="宋体" w:cs="宋体"/>
                <w:b/>
                <w:sz w:val="24"/>
              </w:rPr>
            </w:pPr>
            <w:r>
              <w:rPr>
                <w:rFonts w:hint="eastAsia" w:ascii="宋体" w:hAnsi="宋体" w:cs="宋体"/>
                <w:b/>
                <w:sz w:val="24"/>
              </w:rPr>
              <w:t>申报情形</w:t>
            </w:r>
          </w:p>
        </w:tc>
        <w:tc>
          <w:tcPr>
            <w:tcW w:w="2907" w:type="dxa"/>
            <w:vAlign w:val="center"/>
          </w:tcPr>
          <w:p>
            <w:pPr>
              <w:jc w:val="left"/>
              <w:rPr>
                <w:rFonts w:ascii="宋体" w:hAnsi="宋体" w:cs="宋体"/>
                <w:sz w:val="24"/>
              </w:rPr>
            </w:pPr>
            <w:r>
              <w:rPr>
                <w:rFonts w:ascii="宋体" w:hAnsi="宋体" w:cs="宋体"/>
                <w:sz w:val="24"/>
              </w:rPr>
              <w:sym w:font="Wingdings" w:char="00FE"/>
            </w:r>
            <w:r>
              <w:rPr>
                <w:rFonts w:hint="eastAsia" w:ascii="宋体" w:hAnsi="宋体" w:cs="宋体"/>
                <w:sz w:val="24"/>
              </w:rPr>
              <w:t>首次申报项目</w:t>
            </w:r>
            <w:r>
              <w:rPr>
                <w:rFonts w:ascii="宋体" w:hAnsi="宋体" w:cs="宋体"/>
                <w:sz w:val="24"/>
              </w:rPr>
              <w:t xml:space="preserve">             </w:t>
            </w:r>
          </w:p>
          <w:p>
            <w:pPr>
              <w:jc w:val="left"/>
              <w:rPr>
                <w:rFonts w:ascii="宋体" w:hAnsi="宋体" w:cs="宋体"/>
                <w:sz w:val="24"/>
              </w:rPr>
            </w:pPr>
            <w:r>
              <w:rPr>
                <w:rFonts w:hint="eastAsia" w:ascii="宋体" w:hAnsi="宋体" w:cs="宋体"/>
                <w:sz w:val="24"/>
              </w:rPr>
              <w:t>□不予批准后再次申报项目</w:t>
            </w:r>
          </w:p>
          <w:p>
            <w:pPr>
              <w:jc w:val="left"/>
              <w:rPr>
                <w:rFonts w:ascii="宋体" w:hAnsi="宋体" w:cs="宋体"/>
                <w:sz w:val="24"/>
              </w:rPr>
            </w:pPr>
            <w:r>
              <w:rPr>
                <w:rFonts w:hint="eastAsia" w:ascii="宋体" w:hAnsi="宋体" w:cs="宋体"/>
                <w:sz w:val="24"/>
              </w:rPr>
              <w:t>□超五年重新审核项目</w:t>
            </w:r>
            <w:r>
              <w:rPr>
                <w:rFonts w:ascii="宋体" w:hAnsi="宋体" w:cs="宋体"/>
                <w:sz w:val="24"/>
              </w:rPr>
              <w:t xml:space="preserve">     </w:t>
            </w:r>
          </w:p>
          <w:p>
            <w:pPr>
              <w:jc w:val="left"/>
              <w:rPr>
                <w:rFonts w:ascii="宋体" w:hAnsi="宋体" w:cs="宋体"/>
                <w:sz w:val="24"/>
              </w:rPr>
            </w:pPr>
            <w:r>
              <w:rPr>
                <w:rFonts w:hint="eastAsia" w:ascii="宋体" w:hAnsi="宋体" w:cs="宋体"/>
                <w:sz w:val="24"/>
                <w:lang w:eastAsia="zh-CN"/>
              </w:rPr>
              <w:t>□</w:t>
            </w:r>
            <w:r>
              <w:rPr>
                <w:rFonts w:hint="eastAsia" w:ascii="宋体" w:hAnsi="宋体" w:cs="宋体"/>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项目审批（核准</w:t>
            </w:r>
            <w:r>
              <w:rPr>
                <w:rFonts w:ascii="宋体" w:hAnsi="宋体" w:cs="宋体"/>
                <w:b/>
                <w:sz w:val="24"/>
              </w:rPr>
              <w:t>/</w:t>
            </w:r>
          </w:p>
          <w:p>
            <w:pPr>
              <w:adjustRightInd w:val="0"/>
              <w:snapToGrid w:val="0"/>
              <w:jc w:val="center"/>
              <w:rPr>
                <w:rFonts w:ascii="宋体" w:hAnsi="宋体" w:cs="宋体"/>
                <w:b/>
                <w:sz w:val="24"/>
              </w:rPr>
            </w:pPr>
            <w:r>
              <w:rPr>
                <w:rFonts w:hint="eastAsia" w:ascii="宋体" w:hAnsi="宋体" w:cs="宋体"/>
                <w:b/>
                <w:sz w:val="24"/>
              </w:rPr>
              <w:t>备案）部门（选填）</w:t>
            </w:r>
          </w:p>
        </w:tc>
        <w:tc>
          <w:tcPr>
            <w:tcW w:w="2691" w:type="dxa"/>
            <w:vAlign w:val="center"/>
          </w:tcPr>
          <w:p>
            <w:pPr>
              <w:adjustRightInd w:val="0"/>
              <w:snapToGrid w:val="0"/>
              <w:jc w:val="center"/>
              <w:rPr>
                <w:color w:val="000000"/>
                <w:sz w:val="24"/>
              </w:rPr>
            </w:pPr>
            <w:r>
              <w:rPr>
                <w:color w:val="000000"/>
                <w:sz w:val="24"/>
              </w:rPr>
              <w:t>宜兴市行政审批局</w:t>
            </w:r>
          </w:p>
        </w:tc>
        <w:tc>
          <w:tcPr>
            <w:tcW w:w="2266" w:type="dxa"/>
            <w:vAlign w:val="center"/>
          </w:tcPr>
          <w:p>
            <w:pPr>
              <w:adjustRightInd w:val="0"/>
              <w:snapToGrid w:val="0"/>
              <w:jc w:val="center"/>
              <w:rPr>
                <w:rFonts w:ascii="宋体" w:hAnsi="宋体" w:cs="宋体"/>
                <w:b/>
                <w:sz w:val="24"/>
              </w:rPr>
            </w:pPr>
            <w:r>
              <w:rPr>
                <w:rFonts w:hint="eastAsia" w:ascii="宋体" w:hAnsi="宋体" w:cs="宋体"/>
                <w:b/>
                <w:sz w:val="24"/>
              </w:rPr>
              <w:t>项目审批（核准</w:t>
            </w:r>
            <w:r>
              <w:rPr>
                <w:rFonts w:ascii="宋体" w:hAnsi="宋体" w:cs="宋体"/>
                <w:b/>
                <w:sz w:val="24"/>
              </w:rPr>
              <w:t>/</w:t>
            </w:r>
          </w:p>
          <w:p>
            <w:pPr>
              <w:adjustRightInd w:val="0"/>
              <w:snapToGrid w:val="0"/>
              <w:jc w:val="center"/>
              <w:rPr>
                <w:rFonts w:ascii="宋体" w:hAnsi="宋体" w:cs="宋体"/>
                <w:b/>
                <w:sz w:val="24"/>
              </w:rPr>
            </w:pPr>
            <w:r>
              <w:rPr>
                <w:rFonts w:hint="eastAsia" w:ascii="宋体" w:hAnsi="宋体" w:cs="宋体"/>
                <w:b/>
                <w:sz w:val="24"/>
              </w:rPr>
              <w:t>备案）文号（选填）</w:t>
            </w:r>
          </w:p>
        </w:tc>
        <w:tc>
          <w:tcPr>
            <w:tcW w:w="2907" w:type="dxa"/>
            <w:vAlign w:val="center"/>
          </w:tcPr>
          <w:p>
            <w:pPr>
              <w:adjustRightInd w:val="0"/>
              <w:snapToGrid w:val="0"/>
              <w:jc w:val="center"/>
              <w:rPr>
                <w:color w:val="000000"/>
                <w:sz w:val="24"/>
              </w:rPr>
            </w:pPr>
            <w:r>
              <w:rPr>
                <w:color w:val="000000"/>
                <w:sz w:val="24"/>
              </w:rPr>
              <w:t>宜行审投备[202</w:t>
            </w:r>
            <w:r>
              <w:rPr>
                <w:rFonts w:hint="eastAsia"/>
                <w:color w:val="000000"/>
                <w:sz w:val="24"/>
              </w:rPr>
              <w:t>1</w:t>
            </w:r>
            <w:r>
              <w:rPr>
                <w:color w:val="000000"/>
                <w:sz w:val="24"/>
              </w:rPr>
              <w:t>]</w:t>
            </w:r>
            <w:r>
              <w:rPr>
                <w:rFonts w:hint="eastAsia"/>
                <w:color w:val="000000"/>
                <w:sz w:val="24"/>
                <w:lang w:val="en-US" w:eastAsia="zh-CN"/>
              </w:rPr>
              <w:t>587</w:t>
            </w:r>
            <w:r>
              <w:rPr>
                <w:color w:val="000000"/>
                <w:sz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总投资（万元）</w:t>
            </w:r>
          </w:p>
        </w:tc>
        <w:tc>
          <w:tcPr>
            <w:tcW w:w="2691" w:type="dxa"/>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2780</w:t>
            </w:r>
          </w:p>
        </w:tc>
        <w:tc>
          <w:tcPr>
            <w:tcW w:w="2266" w:type="dxa"/>
            <w:tcMar>
              <w:top w:w="16" w:type="dxa"/>
              <w:left w:w="16" w:type="dxa"/>
              <w:right w:w="16" w:type="dxa"/>
            </w:tcMar>
            <w:vAlign w:val="center"/>
          </w:tcPr>
          <w:p>
            <w:pPr>
              <w:adjustRightInd w:val="0"/>
              <w:snapToGrid w:val="0"/>
              <w:jc w:val="center"/>
              <w:rPr>
                <w:rFonts w:ascii="宋体" w:hAnsi="宋体" w:cs="宋体"/>
                <w:b/>
                <w:sz w:val="24"/>
                <w:highlight w:val="none"/>
              </w:rPr>
            </w:pPr>
            <w:r>
              <w:rPr>
                <w:rFonts w:hint="eastAsia" w:ascii="宋体" w:hAnsi="宋体" w:cs="宋体"/>
                <w:b/>
                <w:sz w:val="24"/>
                <w:highlight w:val="none"/>
              </w:rPr>
              <w:t>环保投资（万元）</w:t>
            </w:r>
          </w:p>
        </w:tc>
        <w:tc>
          <w:tcPr>
            <w:tcW w:w="2907" w:type="dxa"/>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环保投资占比（</w:t>
            </w:r>
            <w:r>
              <w:rPr>
                <w:rFonts w:ascii="宋体" w:hAnsi="宋体" w:cs="宋体"/>
                <w:b/>
                <w:sz w:val="24"/>
              </w:rPr>
              <w:t>%</w:t>
            </w:r>
            <w:r>
              <w:rPr>
                <w:rFonts w:hint="eastAsia" w:ascii="宋体" w:hAnsi="宋体" w:cs="宋体"/>
                <w:b/>
                <w:sz w:val="24"/>
              </w:rPr>
              <w:t>）</w:t>
            </w:r>
          </w:p>
        </w:tc>
        <w:tc>
          <w:tcPr>
            <w:tcW w:w="2691" w:type="dxa"/>
            <w:vAlign w:val="center"/>
          </w:tcPr>
          <w:p>
            <w:pPr>
              <w:adjustRightInd w:val="0"/>
              <w:snapToGrid w:val="0"/>
              <w:jc w:val="center"/>
              <w:rPr>
                <w:rFonts w:hint="default" w:eastAsia="宋体"/>
                <w:color w:val="000000"/>
                <w:sz w:val="24"/>
                <w:highlight w:val="none"/>
                <w:lang w:val="en-US" w:eastAsia="zh-CN"/>
              </w:rPr>
            </w:pPr>
            <w:r>
              <w:rPr>
                <w:rFonts w:hint="eastAsia"/>
                <w:color w:val="000000"/>
                <w:sz w:val="24"/>
                <w:highlight w:val="none"/>
                <w:lang w:val="en-US" w:eastAsia="zh-CN"/>
              </w:rPr>
              <w:t>0.89</w:t>
            </w:r>
          </w:p>
        </w:tc>
        <w:tc>
          <w:tcPr>
            <w:tcW w:w="2266" w:type="dxa"/>
            <w:tcMar>
              <w:top w:w="16" w:type="dxa"/>
              <w:left w:w="16" w:type="dxa"/>
              <w:right w:w="16" w:type="dxa"/>
            </w:tcMar>
            <w:vAlign w:val="center"/>
          </w:tcPr>
          <w:p>
            <w:pPr>
              <w:adjustRightInd w:val="0"/>
              <w:snapToGrid w:val="0"/>
              <w:jc w:val="center"/>
              <w:rPr>
                <w:rFonts w:ascii="宋体" w:hAnsi="宋体" w:cs="宋体"/>
                <w:b/>
                <w:sz w:val="24"/>
                <w:highlight w:val="none"/>
              </w:rPr>
            </w:pPr>
            <w:r>
              <w:rPr>
                <w:rFonts w:hint="eastAsia" w:ascii="宋体" w:hAnsi="宋体" w:cs="宋体"/>
                <w:b/>
                <w:sz w:val="24"/>
                <w:highlight w:val="none"/>
              </w:rPr>
              <w:t>施工工期</w:t>
            </w:r>
          </w:p>
        </w:tc>
        <w:tc>
          <w:tcPr>
            <w:tcW w:w="2907" w:type="dxa"/>
            <w:vAlign w:val="center"/>
          </w:tcPr>
          <w:p>
            <w:pPr>
              <w:adjustRightInd w:val="0"/>
              <w:snapToGrid w:val="0"/>
              <w:jc w:val="center"/>
              <w:rPr>
                <w:color w:val="000000"/>
                <w:sz w:val="24"/>
                <w:highlight w:val="none"/>
              </w:rPr>
            </w:pPr>
            <w:r>
              <w:rPr>
                <w:rFonts w:hint="eastAsia"/>
                <w:color w:val="000000"/>
                <w:sz w:val="24"/>
                <w:highlight w:val="none"/>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是否开工建设</w:t>
            </w:r>
          </w:p>
        </w:tc>
        <w:tc>
          <w:tcPr>
            <w:tcW w:w="2691" w:type="dxa"/>
            <w:vAlign w:val="center"/>
          </w:tcPr>
          <w:p>
            <w:pPr>
              <w:adjustRightInd w:val="0"/>
              <w:snapToGrid w:val="0"/>
              <w:rPr>
                <w:rFonts w:ascii="宋体" w:hAnsi="宋体" w:cs="宋体"/>
                <w:sz w:val="24"/>
              </w:rPr>
            </w:pPr>
            <w:r>
              <w:rPr>
                <w:rFonts w:ascii="宋体" w:hAnsi="宋体" w:cs="宋体"/>
                <w:sz w:val="24"/>
              </w:rPr>
              <w:sym w:font="Wingdings" w:char="00FE"/>
            </w:r>
            <w:r>
              <w:rPr>
                <w:rFonts w:hint="eastAsia" w:ascii="宋体" w:hAnsi="宋体" w:cs="宋体"/>
                <w:sz w:val="24"/>
              </w:rPr>
              <w:t>否</w:t>
            </w:r>
          </w:p>
          <w:p>
            <w:pPr>
              <w:adjustRightInd w:val="0"/>
              <w:snapToGrid w:val="0"/>
              <w:rPr>
                <w:rFonts w:ascii="宋体" w:hAnsi="宋体" w:cs="宋体"/>
                <w:sz w:val="24"/>
              </w:rPr>
            </w:pPr>
            <w:r>
              <w:rPr>
                <w:rFonts w:hint="eastAsia" w:ascii="宋体" w:hAnsi="宋体" w:cs="宋体"/>
                <w:sz w:val="24"/>
              </w:rPr>
              <w:sym w:font="Wingdings 2" w:char="00A3"/>
            </w:r>
            <w:r>
              <w:rPr>
                <w:rFonts w:hint="eastAsia" w:ascii="宋体" w:hAnsi="宋体" w:cs="宋体"/>
                <w:sz w:val="24"/>
              </w:rPr>
              <w:t>是：</w:t>
            </w:r>
            <w:r>
              <w:rPr>
                <w:rFonts w:hint="eastAsia" w:ascii="宋体" w:hAnsi="宋体" w:cs="宋体"/>
                <w:sz w:val="24"/>
                <w:u w:val="single"/>
              </w:rPr>
              <w:t xml:space="preserve">             </w:t>
            </w:r>
          </w:p>
        </w:tc>
        <w:tc>
          <w:tcPr>
            <w:tcW w:w="2266"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pacing w:val="-6"/>
                <w:sz w:val="24"/>
              </w:rPr>
              <w:t>用地面积（</w:t>
            </w:r>
            <w:r>
              <w:rPr>
                <w:rFonts w:ascii="宋体" w:hAnsi="宋体" w:cs="宋体"/>
                <w:b/>
                <w:spacing w:val="-6"/>
                <w:sz w:val="24"/>
              </w:rPr>
              <w:t>m</w:t>
            </w:r>
            <w:r>
              <w:rPr>
                <w:rFonts w:ascii="宋体" w:hAnsi="宋体" w:cs="宋体"/>
                <w:b/>
                <w:spacing w:val="-6"/>
                <w:sz w:val="24"/>
                <w:vertAlign w:val="superscript"/>
              </w:rPr>
              <w:t>2</w:t>
            </w:r>
            <w:r>
              <w:rPr>
                <w:rFonts w:hint="eastAsia" w:ascii="宋体" w:hAnsi="宋体" w:cs="宋体"/>
                <w:b/>
                <w:spacing w:val="-6"/>
                <w:sz w:val="24"/>
              </w:rPr>
              <w:t>）</w:t>
            </w:r>
          </w:p>
        </w:tc>
        <w:tc>
          <w:tcPr>
            <w:tcW w:w="2907" w:type="dxa"/>
            <w:vAlign w:val="center"/>
          </w:tcPr>
          <w:p>
            <w:pPr>
              <w:adjustRightInd w:val="0"/>
              <w:snapToGrid w:val="0"/>
              <w:jc w:val="center"/>
              <w:rPr>
                <w:color w:val="000000"/>
                <w:sz w:val="24"/>
              </w:rPr>
            </w:pPr>
            <w:r>
              <w:rPr>
                <w:rFonts w:hint="eastAsia"/>
                <w:sz w:val="24"/>
              </w:rPr>
              <w:t>占地面积</w:t>
            </w:r>
            <w:r>
              <w:rPr>
                <w:rFonts w:hint="eastAsia"/>
                <w:sz w:val="24"/>
                <w:lang w:val="en-US" w:eastAsia="zh-CN"/>
              </w:rPr>
              <w:t>5631</w:t>
            </w:r>
            <w:r>
              <w:rPr>
                <w:rFonts w:hint="eastAsia" w:ascii="宋体" w:hAnsi="宋体" w:eastAsia="宋体" w:cs="宋体"/>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06" w:type="dxa"/>
            <w:vAlign w:val="center"/>
          </w:tcPr>
          <w:p>
            <w:pPr>
              <w:autoSpaceDE w:val="0"/>
              <w:autoSpaceDN w:val="0"/>
              <w:adjustRightInd w:val="0"/>
              <w:snapToGrid w:val="0"/>
              <w:jc w:val="center"/>
              <w:rPr>
                <w:rFonts w:ascii="宋体" w:hAnsi="宋体" w:cs="宋体"/>
                <w:b/>
                <w:kern w:val="0"/>
                <w:sz w:val="24"/>
              </w:rPr>
            </w:pPr>
            <w:r>
              <w:rPr>
                <w:rFonts w:hint="eastAsia" w:ascii="宋体" w:hAnsi="宋体" w:cs="宋体"/>
                <w:b/>
                <w:kern w:val="0"/>
                <w:sz w:val="24"/>
              </w:rPr>
              <w:t>专项评价设置情况</w:t>
            </w:r>
          </w:p>
        </w:tc>
        <w:tc>
          <w:tcPr>
            <w:tcW w:w="7864"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1"/>
                <w:szCs w:val="21"/>
                <w:lang w:val="en-US" w:eastAsia="zh-CN"/>
              </w:rPr>
              <w:t xml:space="preserve">  </w:t>
            </w:r>
            <w:r>
              <w:rPr>
                <w:rFonts w:hint="eastAsia" w:ascii="宋体" w:hAnsi="宋体" w:eastAsia="宋体" w:cs="宋体"/>
                <w:sz w:val="24"/>
                <w:szCs w:val="24"/>
              </w:rPr>
              <w:t>根据《建设项目环境影响报告表编制技术指南（污染影响类）（试行）》，大气、地表水、环境风险、生态和海洋不开展专项评价，判定依据见表1-1。土壤、声环境不开展专项评价；本项目所在区域不涉及集中式饮用水水源和热水、矿泉水、温泉等特殊地下水资源保护区，地下水不开展专项评价。</w:t>
            </w:r>
          </w:p>
          <w:p>
            <w:pPr>
              <w:pStyle w:val="166"/>
              <w:rPr>
                <w:rFonts w:hint="eastAsia" w:ascii="宋体" w:hAnsi="宋体" w:eastAsia="宋体" w:cs="宋体"/>
                <w:sz w:val="21"/>
                <w:szCs w:val="21"/>
              </w:rPr>
            </w:pPr>
          </w:p>
          <w:p>
            <w:pPr>
              <w:pStyle w:val="166"/>
              <w:rPr>
                <w:rFonts w:hint="eastAsia" w:ascii="宋体" w:hAnsi="宋体" w:eastAsia="宋体" w:cs="宋体"/>
                <w:sz w:val="21"/>
                <w:szCs w:val="21"/>
              </w:rPr>
            </w:pPr>
          </w:p>
          <w:p>
            <w:pPr>
              <w:pStyle w:val="166"/>
              <w:rPr>
                <w:rFonts w:hint="eastAsia" w:ascii="宋体" w:hAnsi="宋体" w:eastAsia="宋体" w:cs="宋体"/>
                <w:sz w:val="21"/>
                <w:szCs w:val="21"/>
              </w:rPr>
            </w:pPr>
          </w:p>
          <w:p>
            <w:pPr>
              <w:pStyle w:val="166"/>
              <w:rPr>
                <w:rFonts w:hint="eastAsia" w:ascii="宋体" w:hAnsi="宋体" w:eastAsia="宋体" w:cs="宋体"/>
                <w:sz w:val="21"/>
                <w:szCs w:val="21"/>
              </w:rPr>
            </w:pPr>
          </w:p>
          <w:p>
            <w:pPr>
              <w:pStyle w:val="166"/>
              <w:rPr>
                <w:rFonts w:hint="eastAsia" w:ascii="宋体" w:hAnsi="宋体" w:eastAsia="宋体" w:cs="宋体"/>
                <w:sz w:val="21"/>
                <w:szCs w:val="21"/>
              </w:rPr>
            </w:pPr>
          </w:p>
          <w:p>
            <w:pPr>
              <w:pStyle w:val="166"/>
              <w:rPr>
                <w:rFonts w:hint="eastAsia" w:ascii="宋体" w:hAnsi="宋体" w:eastAsia="宋体" w:cs="宋体"/>
                <w:sz w:val="24"/>
                <w:szCs w:val="24"/>
              </w:rPr>
            </w:pPr>
            <w:r>
              <w:rPr>
                <w:rFonts w:hint="eastAsia" w:ascii="宋体" w:hAnsi="宋体" w:eastAsia="宋体" w:cs="宋体"/>
                <w:sz w:val="24"/>
                <w:szCs w:val="24"/>
              </w:rPr>
              <w:t>表1-1  专项评价设置判定情况</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3063"/>
              <w:gridCol w:w="2210"/>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5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专项评价的类别</w:t>
                  </w:r>
                </w:p>
              </w:tc>
              <w:tc>
                <w:tcPr>
                  <w:tcW w:w="2005"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设置原则</w:t>
                  </w:r>
                </w:p>
              </w:tc>
              <w:tc>
                <w:tcPr>
                  <w:tcW w:w="1447"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本项目情况</w:t>
                  </w:r>
                </w:p>
              </w:tc>
              <w:tc>
                <w:tcPr>
                  <w:tcW w:w="68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是否设置专项评价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85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大气</w:t>
                  </w:r>
                </w:p>
              </w:tc>
              <w:tc>
                <w:tcPr>
                  <w:tcW w:w="2005" w:type="pct"/>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bidi="ar"/>
                    </w:rPr>
                    <w:t>排放废气含有毒有害污染物</w:t>
                  </w:r>
                  <w:r>
                    <w:rPr>
                      <w:rFonts w:hint="eastAsia" w:ascii="宋体" w:hAnsi="宋体" w:eastAsia="宋体" w:cs="宋体"/>
                      <w:kern w:val="0"/>
                      <w:sz w:val="24"/>
                      <w:szCs w:val="24"/>
                      <w:vertAlign w:val="superscript"/>
                      <w:lang w:bidi="ar"/>
                    </w:rPr>
                    <w:t>1</w:t>
                  </w:r>
                  <w:r>
                    <w:rPr>
                      <w:rFonts w:hint="eastAsia" w:ascii="宋体" w:hAnsi="宋体" w:eastAsia="宋体" w:cs="宋体"/>
                      <w:kern w:val="0"/>
                      <w:sz w:val="24"/>
                      <w:szCs w:val="24"/>
                      <w:lang w:bidi="ar"/>
                    </w:rPr>
                    <w:t>、二噁英、苯并[</w:t>
                  </w:r>
                  <w:r>
                    <w:rPr>
                      <w:rFonts w:hint="eastAsia" w:ascii="宋体" w:hAnsi="宋体" w:eastAsia="宋体" w:cs="宋体"/>
                      <w:i/>
                      <w:kern w:val="0"/>
                      <w:sz w:val="24"/>
                      <w:szCs w:val="24"/>
                      <w:lang w:bidi="ar"/>
                    </w:rPr>
                    <w:t>a</w:t>
                  </w:r>
                  <w:r>
                    <w:rPr>
                      <w:rFonts w:hint="eastAsia" w:ascii="宋体" w:hAnsi="宋体" w:eastAsia="宋体" w:cs="宋体"/>
                      <w:kern w:val="0"/>
                      <w:sz w:val="24"/>
                      <w:szCs w:val="24"/>
                      <w:lang w:bidi="ar"/>
                    </w:rPr>
                    <w:t>]芘、氰化物、氯气且厂界外500米范围内有环境空气保护目标</w:t>
                  </w:r>
                  <w:r>
                    <w:rPr>
                      <w:rFonts w:hint="eastAsia" w:ascii="宋体" w:hAnsi="宋体" w:eastAsia="宋体" w:cs="宋体"/>
                      <w:kern w:val="0"/>
                      <w:sz w:val="24"/>
                      <w:szCs w:val="24"/>
                      <w:vertAlign w:val="superscript"/>
                      <w:lang w:bidi="ar"/>
                    </w:rPr>
                    <w:t>2</w:t>
                  </w:r>
                  <w:r>
                    <w:rPr>
                      <w:rFonts w:hint="eastAsia" w:ascii="宋体" w:hAnsi="宋体" w:eastAsia="宋体" w:cs="宋体"/>
                      <w:kern w:val="0"/>
                      <w:sz w:val="24"/>
                      <w:szCs w:val="24"/>
                      <w:lang w:bidi="ar"/>
                    </w:rPr>
                    <w:t>的建设项目</w:t>
                  </w:r>
                </w:p>
              </w:tc>
              <w:tc>
                <w:tcPr>
                  <w:tcW w:w="1447"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本项目废气不涉及《有毒有害大气污染物名录（2018年）》的污染物、</w:t>
                  </w:r>
                  <w:r>
                    <w:rPr>
                      <w:rFonts w:hint="eastAsia" w:ascii="宋体" w:hAnsi="宋体" w:eastAsia="宋体" w:cs="宋体"/>
                      <w:kern w:val="0"/>
                      <w:sz w:val="24"/>
                      <w:szCs w:val="24"/>
                      <w:lang w:bidi="ar"/>
                    </w:rPr>
                    <w:t>二噁英、苯并[</w:t>
                  </w:r>
                  <w:r>
                    <w:rPr>
                      <w:rFonts w:hint="eastAsia" w:ascii="宋体" w:hAnsi="宋体" w:eastAsia="宋体" w:cs="宋体"/>
                      <w:i/>
                      <w:kern w:val="0"/>
                      <w:sz w:val="24"/>
                      <w:szCs w:val="24"/>
                      <w:lang w:bidi="ar"/>
                    </w:rPr>
                    <w:t>a</w:t>
                  </w:r>
                  <w:r>
                    <w:rPr>
                      <w:rFonts w:hint="eastAsia" w:ascii="宋体" w:hAnsi="宋体" w:eastAsia="宋体" w:cs="宋体"/>
                      <w:kern w:val="0"/>
                      <w:sz w:val="24"/>
                      <w:szCs w:val="24"/>
                      <w:lang w:bidi="ar"/>
                    </w:rPr>
                    <w:t>]芘、氰化物及氯气</w:t>
                  </w:r>
                </w:p>
              </w:tc>
              <w:tc>
                <w:tcPr>
                  <w:tcW w:w="68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5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地表水</w:t>
                  </w:r>
                </w:p>
              </w:tc>
              <w:tc>
                <w:tcPr>
                  <w:tcW w:w="2005"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新增工业废水直排建设项目（槽罐车外送污水处理厂的除外）；新增废水直排的污水集中处理厂</w:t>
                  </w:r>
                </w:p>
              </w:tc>
              <w:tc>
                <w:tcPr>
                  <w:tcW w:w="1447"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本项目废水纳管排放</w:t>
                  </w:r>
                </w:p>
              </w:tc>
              <w:tc>
                <w:tcPr>
                  <w:tcW w:w="68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85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环境风险</w:t>
                  </w:r>
                </w:p>
              </w:tc>
              <w:tc>
                <w:tcPr>
                  <w:tcW w:w="2005"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有毒有害和易燃易爆危险物质存储量超过临界量</w:t>
                  </w:r>
                  <w:r>
                    <w:rPr>
                      <w:rFonts w:hint="eastAsia" w:ascii="宋体" w:hAnsi="宋体" w:eastAsia="宋体" w:cs="宋体"/>
                      <w:kern w:val="0"/>
                      <w:sz w:val="24"/>
                      <w:szCs w:val="24"/>
                      <w:vertAlign w:val="superscript"/>
                    </w:rPr>
                    <w:t>3</w:t>
                  </w:r>
                  <w:r>
                    <w:rPr>
                      <w:rFonts w:hint="eastAsia" w:ascii="宋体" w:hAnsi="宋体" w:eastAsia="宋体" w:cs="宋体"/>
                      <w:kern w:val="0"/>
                      <w:sz w:val="24"/>
                      <w:szCs w:val="24"/>
                    </w:rPr>
                    <w:t>的建设项目</w:t>
                  </w:r>
                </w:p>
              </w:tc>
              <w:tc>
                <w:tcPr>
                  <w:tcW w:w="1447"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本项目易燃易爆危险物质存储量不超过临界量</w:t>
                  </w:r>
                </w:p>
              </w:tc>
              <w:tc>
                <w:tcPr>
                  <w:tcW w:w="68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85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生态</w:t>
                  </w:r>
                </w:p>
              </w:tc>
              <w:tc>
                <w:tcPr>
                  <w:tcW w:w="2005"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取水口下游500米范围内有重要水生生物的自然产卵场、索饵场、越冬场和 洄游通道的新增河道取水的污染类建设项目</w:t>
                  </w:r>
                </w:p>
              </w:tc>
              <w:tc>
                <w:tcPr>
                  <w:tcW w:w="1447"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本项目未从河道取水，无取水口</w:t>
                  </w:r>
                </w:p>
              </w:tc>
              <w:tc>
                <w:tcPr>
                  <w:tcW w:w="68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海洋</w:t>
                  </w:r>
                </w:p>
              </w:tc>
              <w:tc>
                <w:tcPr>
                  <w:tcW w:w="2005"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直接向海排放污染物的海洋工程建设项目</w:t>
                  </w:r>
                </w:p>
              </w:tc>
              <w:tc>
                <w:tcPr>
                  <w:tcW w:w="1447"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本项目非海洋工程建设项目</w:t>
                  </w:r>
                </w:p>
              </w:tc>
              <w:tc>
                <w:tcPr>
                  <w:tcW w:w="689" w:type="pct"/>
                  <w:noWrap w:val="0"/>
                  <w:vAlign w:val="center"/>
                </w:tcPr>
                <w:p>
                  <w:pPr>
                    <w:autoSpaceDE w:val="0"/>
                    <w:autoSpaceDN w:val="0"/>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否</w:t>
                  </w:r>
                </w:p>
              </w:tc>
            </w:tr>
          </w:tbl>
          <w:p>
            <w:pPr>
              <w:keepNext w:val="0"/>
              <w:keepLines w:val="0"/>
              <w:pageBreakBefore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注：1.废气中有毒有害污染物指纳入《有毒有害大气污染物名录》的污染物（不包括无排放标准的污染物）。</w:t>
            </w:r>
          </w:p>
          <w:p>
            <w:pPr>
              <w:keepNext w:val="0"/>
              <w:keepLines w:val="0"/>
              <w:pageBreakBefore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2.环境空气保护目标指自然保护区、风景名胜区、居住区、文化区和农村地区中人群较集中的区域。</w:t>
            </w:r>
          </w:p>
          <w:p>
            <w:pPr>
              <w:pStyle w:val="2"/>
              <w:keepNext w:val="0"/>
              <w:keepLines w:val="0"/>
              <w:pageBreakBefore w:val="0"/>
              <w:kinsoku/>
              <w:wordWrap/>
              <w:overflowPunct/>
              <w:topLinePunct w:val="0"/>
              <w:bidi w:val="0"/>
              <w:snapToGrid w:val="0"/>
              <w:spacing w:line="240" w:lineRule="auto"/>
              <w:textAlignment w:val="auto"/>
            </w:pPr>
            <w:r>
              <w:rPr>
                <w:rFonts w:hint="eastAsia" w:ascii="宋体" w:hAnsi="宋体" w:eastAsia="宋体" w:cs="宋体"/>
                <w:kern w:val="0"/>
                <w:sz w:val="24"/>
                <w:szCs w:val="24"/>
              </w:rPr>
              <w:t>3.临界量及其计算方法可参考《建设项目环境风险评价技术导则》（HJ 169）附录 B、附录 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06" w:type="dxa"/>
            <w:vAlign w:val="center"/>
          </w:tcPr>
          <w:p>
            <w:pPr>
              <w:autoSpaceDE w:val="0"/>
              <w:autoSpaceDN w:val="0"/>
              <w:adjustRightInd w:val="0"/>
              <w:snapToGrid w:val="0"/>
              <w:jc w:val="center"/>
              <w:rPr>
                <w:rFonts w:ascii="宋体" w:hAnsi="宋体" w:cs="宋体"/>
                <w:b/>
                <w:kern w:val="0"/>
                <w:sz w:val="24"/>
              </w:rPr>
            </w:pPr>
            <w:r>
              <w:rPr>
                <w:rFonts w:hint="eastAsia" w:ascii="宋体" w:hAnsi="宋体" w:cs="宋体"/>
                <w:b/>
                <w:sz w:val="24"/>
              </w:rPr>
              <w:t>规划情况</w:t>
            </w:r>
          </w:p>
        </w:tc>
        <w:tc>
          <w:tcPr>
            <w:tcW w:w="7864" w:type="dxa"/>
            <w:gridSpan w:val="3"/>
            <w:vAlign w:val="center"/>
          </w:tcPr>
          <w:p>
            <w:pPr>
              <w:pStyle w:val="107"/>
              <w:snapToGrid w:val="0"/>
              <w:spacing w:line="360" w:lineRule="auto"/>
              <w:jc w:val="left"/>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规划名称:《市政府办公室关于明确高塍镇工业集中发展区域的通知》</w:t>
            </w:r>
          </w:p>
          <w:p>
            <w:pPr>
              <w:pStyle w:val="107"/>
              <w:snapToGrid w:val="0"/>
              <w:spacing w:line="360" w:lineRule="auto"/>
              <w:jc w:val="left"/>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审查机关:宜兴市人民政府</w:t>
            </w:r>
          </w:p>
          <w:p>
            <w:pPr>
              <w:pStyle w:val="107"/>
              <w:snapToGrid w:val="0"/>
              <w:spacing w:line="360" w:lineRule="auto"/>
              <w:jc w:val="left"/>
              <w:rPr>
                <w:rFonts w:hint="eastAsia" w:ascii="Times New Roman" w:eastAsia="宋体" w:cs="Times New Roman"/>
                <w:b w:val="0"/>
                <w:bCs/>
                <w:lang w:val="en-US" w:eastAsia="zh-CN"/>
              </w:rPr>
            </w:pPr>
            <w:r>
              <w:rPr>
                <w:rFonts w:hint="eastAsia" w:ascii="宋体" w:hAnsi="宋体" w:eastAsia="宋体" w:cs="宋体"/>
                <w:b w:val="0"/>
                <w:bCs/>
                <w:color w:val="000000"/>
                <w:kern w:val="2"/>
                <w:sz w:val="24"/>
                <w:szCs w:val="24"/>
                <w:lang w:val="en-US" w:eastAsia="zh-CN" w:bidi="ar-SA"/>
              </w:rPr>
              <w:t>审批文件名称及文号:关于《市政府办公室关于明确高塍镇工业集中发展区域的通知》的意见(宜政办发(2018)131号)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6" w:type="dxa"/>
            <w:vAlign w:val="center"/>
          </w:tcPr>
          <w:p>
            <w:pPr>
              <w:adjustRightInd w:val="0"/>
              <w:snapToGrid w:val="0"/>
              <w:jc w:val="center"/>
              <w:rPr>
                <w:rFonts w:ascii="宋体" w:hAnsi="宋体" w:cs="宋体"/>
                <w:b/>
                <w:sz w:val="24"/>
              </w:rPr>
            </w:pPr>
            <w:r>
              <w:rPr>
                <w:rFonts w:hint="eastAsia" w:ascii="宋体" w:hAnsi="宋体" w:cs="宋体"/>
                <w:b/>
                <w:sz w:val="24"/>
              </w:rPr>
              <w:t>规划环境影响</w:t>
            </w:r>
          </w:p>
          <w:p>
            <w:pPr>
              <w:adjustRightInd w:val="0"/>
              <w:snapToGrid w:val="0"/>
              <w:jc w:val="center"/>
              <w:rPr>
                <w:rFonts w:ascii="宋体" w:hAnsi="宋体" w:cs="宋体"/>
                <w:b/>
                <w:kern w:val="0"/>
                <w:szCs w:val="21"/>
              </w:rPr>
            </w:pPr>
            <w:r>
              <w:rPr>
                <w:rFonts w:hint="eastAsia" w:ascii="宋体" w:hAnsi="宋体" w:cs="宋体"/>
                <w:b/>
                <w:sz w:val="24"/>
              </w:rPr>
              <w:t>评价情况</w:t>
            </w:r>
          </w:p>
        </w:tc>
        <w:tc>
          <w:tcPr>
            <w:tcW w:w="7864" w:type="dxa"/>
            <w:gridSpan w:val="3"/>
            <w:vAlign w:val="center"/>
          </w:tcPr>
          <w:p>
            <w:pPr>
              <w:autoSpaceDE w:val="0"/>
              <w:autoSpaceDN w:val="0"/>
              <w:adjustRightInd w:val="0"/>
              <w:snapToGrid w:val="0"/>
              <w:jc w:val="left"/>
              <w:rPr>
                <w:rFonts w:hint="eastAsia"/>
                <w:sz w:val="24"/>
              </w:rPr>
            </w:pPr>
          </w:p>
          <w:p>
            <w:pPr>
              <w:autoSpaceDE w:val="0"/>
              <w:autoSpaceDN w:val="0"/>
              <w:adjustRightInd w:val="0"/>
              <w:snapToGrid w:val="0"/>
              <w:jc w:val="left"/>
              <w:rPr>
                <w:rFonts w:hint="eastAsia" w:ascii="Times New Roman" w:cs="Times New Roman"/>
                <w:b w:val="0"/>
                <w:bCs/>
                <w:lang w:val="en-US" w:eastAsia="zh-CN"/>
              </w:rPr>
            </w:pPr>
            <w:r>
              <w:rPr>
                <w:rFonts w:hint="eastAsia" w:cs="Times New Roman"/>
                <w:b w:val="0"/>
                <w:bCs/>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6" w:type="dxa"/>
            <w:vAlign w:val="center"/>
          </w:tcPr>
          <w:p>
            <w:pPr>
              <w:adjustRightInd w:val="0"/>
              <w:snapToGrid w:val="0"/>
              <w:jc w:val="center"/>
              <w:rPr>
                <w:rFonts w:ascii="宋体" w:hAnsi="宋体" w:cs="宋体"/>
                <w:b/>
                <w:sz w:val="24"/>
              </w:rPr>
            </w:pPr>
            <w:r>
              <w:rPr>
                <w:rFonts w:hint="eastAsia" w:ascii="宋体" w:hAnsi="宋体" w:cs="宋体"/>
                <w:b/>
                <w:kern w:val="0"/>
                <w:sz w:val="24"/>
              </w:rPr>
              <w:t>规划及规划环境影响评价符合性分析</w:t>
            </w:r>
          </w:p>
        </w:tc>
        <w:tc>
          <w:tcPr>
            <w:tcW w:w="7864" w:type="dxa"/>
            <w:gridSpan w:val="3"/>
            <w:vAlign w:val="center"/>
          </w:tcPr>
          <w:p>
            <w:pPr>
              <w:pStyle w:val="35"/>
              <w:adjustRightInd w:val="0"/>
              <w:snapToGrid w:val="0"/>
              <w:spacing w:line="360" w:lineRule="auto"/>
              <w:ind w:left="420" w:firstLine="0" w:firstLineChars="0"/>
              <w:rPr>
                <w:b/>
                <w:bCs/>
                <w:sz w:val="24"/>
                <w:szCs w:val="24"/>
              </w:rPr>
            </w:pPr>
            <w:r>
              <w:rPr>
                <w:b/>
                <w:bCs/>
                <w:sz w:val="24"/>
                <w:szCs w:val="24"/>
              </w:rPr>
              <w:t>规划相符性性分析</w:t>
            </w:r>
          </w:p>
          <w:p>
            <w:pPr>
              <w:pStyle w:val="35"/>
              <w:adjustRightInd w:val="0"/>
              <w:snapToGrid w:val="0"/>
              <w:spacing w:line="360" w:lineRule="auto"/>
              <w:ind w:leftChars="0" w:firstLine="480"/>
              <w:rPr>
                <w:sz w:val="24"/>
                <w:szCs w:val="24"/>
              </w:rPr>
            </w:pPr>
            <w:r>
              <w:rPr>
                <w:sz w:val="24"/>
                <w:szCs w:val="24"/>
              </w:rPr>
              <w:t>（1）用地相符性</w:t>
            </w:r>
          </w:p>
          <w:p>
            <w:pPr>
              <w:pStyle w:val="35"/>
              <w:adjustRightInd w:val="0"/>
              <w:snapToGrid w:val="0"/>
              <w:spacing w:line="360" w:lineRule="auto"/>
              <w:ind w:leftChars="0" w:firstLine="480"/>
              <w:rPr>
                <w:sz w:val="24"/>
                <w:szCs w:val="24"/>
              </w:rPr>
            </w:pPr>
            <w:r>
              <w:rPr>
                <w:sz w:val="24"/>
                <w:szCs w:val="24"/>
              </w:rPr>
              <w:t>本项目不属于国土资源部、国家发展和改革委员会发布的《限制用地项目目录（2012 年本）》和《禁止用地项目目录（2012年本）》中限制和禁止类项目，不属于江苏省国土资源厅、江苏省发展和改革委员会、江苏省经济和信息化委员会发布的《江苏省限制用地项目目录（2013年本）》、《江苏省禁止用地项目目录（2013年本）》中禁止和限制类项目，亦不属于其它相关法律法规要求淘汰和限制的产业。</w:t>
            </w:r>
          </w:p>
          <w:p>
            <w:pPr>
              <w:pStyle w:val="35"/>
              <w:adjustRightInd w:val="0"/>
              <w:snapToGrid w:val="0"/>
              <w:spacing w:line="360" w:lineRule="auto"/>
              <w:ind w:leftChars="0" w:firstLine="480"/>
              <w:rPr>
                <w:sz w:val="24"/>
                <w:szCs w:val="24"/>
              </w:rPr>
            </w:pPr>
            <w:r>
              <w:rPr>
                <w:sz w:val="24"/>
                <w:szCs w:val="24"/>
              </w:rPr>
              <w:t>项目位于宜兴市</w:t>
            </w:r>
            <w:r>
              <w:rPr>
                <w:rFonts w:hint="eastAsia"/>
                <w:sz w:val="24"/>
                <w:szCs w:val="24"/>
                <w:lang w:eastAsia="zh-CN"/>
              </w:rPr>
              <w:t>高塍镇工业集中区</w:t>
            </w:r>
            <w:r>
              <w:rPr>
                <w:sz w:val="24"/>
                <w:szCs w:val="24"/>
              </w:rPr>
              <w:t>，所占用地为工业用地，项目用地符合国家相关用地政策。</w:t>
            </w:r>
          </w:p>
          <w:p>
            <w:pPr>
              <w:pStyle w:val="35"/>
              <w:adjustRightInd w:val="0"/>
              <w:snapToGrid w:val="0"/>
              <w:spacing w:line="360" w:lineRule="auto"/>
              <w:ind w:leftChars="0" w:firstLine="480"/>
              <w:rPr>
                <w:sz w:val="24"/>
                <w:szCs w:val="24"/>
              </w:rPr>
            </w:pPr>
            <w:r>
              <w:rPr>
                <w:sz w:val="24"/>
                <w:szCs w:val="24"/>
              </w:rPr>
              <w:t>（2）与产业园规划相符性</w:t>
            </w:r>
          </w:p>
          <w:p>
            <w:pPr>
              <w:pStyle w:val="165"/>
              <w:adjustRightInd w:val="0"/>
              <w:snapToGrid w:val="0"/>
              <w:ind w:left="50" w:right="-80"/>
              <w:rPr>
                <w:rFonts w:ascii="Times New Roman" w:hAnsi="Times New Roman" w:eastAsia="宋体" w:cs="Times New Roman"/>
                <w:bCs w:val="0"/>
                <w:kern w:val="2"/>
                <w:sz w:val="24"/>
                <w:szCs w:val="24"/>
                <w:lang w:val="en-US" w:eastAsia="zh-CN" w:bidi="ar-SA"/>
              </w:rPr>
            </w:pPr>
            <w:r>
              <w:rPr>
                <w:rFonts w:ascii="Times New Roman" w:hAnsi="Times New Roman" w:eastAsia="宋体" w:cs="Times New Roman"/>
                <w:bCs w:val="0"/>
                <w:kern w:val="2"/>
                <w:sz w:val="24"/>
                <w:szCs w:val="24"/>
                <w:lang w:val="en-US" w:eastAsia="zh-CN" w:bidi="ar-SA"/>
              </w:rPr>
              <w:t>本项目位于宜兴市</w:t>
            </w:r>
            <w:r>
              <w:rPr>
                <w:rFonts w:hint="eastAsia" w:ascii="Times New Roman" w:hAnsi="Times New Roman" w:eastAsia="宋体" w:cs="Times New Roman"/>
                <w:bCs w:val="0"/>
                <w:kern w:val="2"/>
                <w:sz w:val="24"/>
                <w:szCs w:val="24"/>
                <w:lang w:val="en-US" w:eastAsia="zh-CN" w:bidi="ar-SA"/>
              </w:rPr>
              <w:t>高塍镇</w:t>
            </w:r>
            <w:r>
              <w:rPr>
                <w:rFonts w:hint="eastAsia" w:eastAsia="宋体" w:cs="Times New Roman"/>
                <w:bCs w:val="0"/>
                <w:kern w:val="2"/>
                <w:sz w:val="24"/>
                <w:szCs w:val="24"/>
                <w:lang w:val="en-US" w:eastAsia="zh-CN" w:bidi="ar-SA"/>
              </w:rPr>
              <w:t>范道桃园工业区</w:t>
            </w:r>
            <w:r>
              <w:rPr>
                <w:rFonts w:ascii="Times New Roman" w:hAnsi="Times New Roman" w:eastAsia="宋体" w:cs="Times New Roman"/>
                <w:bCs w:val="0"/>
                <w:kern w:val="2"/>
                <w:sz w:val="24"/>
                <w:szCs w:val="24"/>
                <w:lang w:val="en-US" w:eastAsia="zh-CN" w:bidi="ar-SA"/>
              </w:rPr>
              <w:t>，具体位置见附图5。根据宜政办发〔2018〕131号文件规定：高塍镇工业集中发展区域分高塍环保创业工业园和范道桃园工业区两个区域。高塍环保创业工业园四至范围为：东至王家路，南至庆源大道、锡宜高速，西至市环保大道，北至市远东大道，规划面积14.36平方公里（21540亩），范道桃园工业区四至范围为：东至市科技大道，南至云爱河，西至积丰河，北至范道河，规划面积4.12平方公里（6180亩）。高塍工业集中区面积共计为18.48平方公里（27720亩）。产业规划定位调整为：以发展汽车制造业为重点，大力发展汽车及新能源汽车研发设计，智能网联车研发设计，汽车整车制造，改装汽车制造，汽车零部件及配件制造，智能车载设备制造，汽车展览展示，汽车用品制造，汽车销售及售后服务等；同时配套节能环保装备及相关材料制造、固危废处置及综合利用、新能源电池制造、电线电缆研发和生产、太阳能光伏材料及配套产品研发和生产等先进制造业，提供相关检修、租赁、科技推广与应用服务等配套服务。</w:t>
            </w:r>
          </w:p>
          <w:p>
            <w:pPr>
              <w:pStyle w:val="2"/>
              <w:adjustRightInd w:val="0"/>
              <w:snapToGrid w:val="0"/>
              <w:spacing w:after="0" w:line="360" w:lineRule="auto"/>
              <w:ind w:firstLine="480" w:firstLineChars="200"/>
              <w:rPr>
                <w:bCs/>
                <w:sz w:val="24"/>
                <w:szCs w:val="22"/>
              </w:rPr>
            </w:pPr>
            <w:r>
              <w:rPr>
                <w:rFonts w:ascii="Times New Roman" w:hAnsi="Times New Roman" w:eastAsia="宋体" w:cs="Times New Roman"/>
                <w:bCs w:val="0"/>
                <w:kern w:val="2"/>
                <w:sz w:val="24"/>
                <w:szCs w:val="24"/>
                <w:lang w:val="en-US" w:eastAsia="zh-CN" w:bidi="ar-SA"/>
              </w:rPr>
              <w:t>本项目位于</w:t>
            </w:r>
            <w:r>
              <w:rPr>
                <w:rFonts w:hint="eastAsia"/>
                <w:color w:val="000000"/>
                <w:sz w:val="24"/>
                <w:lang w:eastAsia="zh-CN"/>
              </w:rPr>
              <w:t>江苏省宜兴市高塍镇范道桃园工业区鑫运来路1号</w:t>
            </w:r>
            <w:r>
              <w:rPr>
                <w:rFonts w:ascii="Times New Roman" w:hAnsi="Times New Roman" w:eastAsia="宋体" w:cs="Times New Roman"/>
                <w:bCs w:val="0"/>
                <w:kern w:val="2"/>
                <w:sz w:val="24"/>
                <w:szCs w:val="24"/>
                <w:lang w:val="en-US" w:eastAsia="zh-CN" w:bidi="ar-SA"/>
              </w:rPr>
              <w:t>，位于高塍镇工业集中发展区域</w:t>
            </w:r>
            <w:r>
              <w:rPr>
                <w:rFonts w:hint="eastAsia" w:ascii="Times New Roman" w:hAnsi="Times New Roman" w:eastAsia="宋体" w:cs="Times New Roman"/>
                <w:bCs w:val="0"/>
                <w:kern w:val="2"/>
                <w:sz w:val="24"/>
                <w:szCs w:val="24"/>
                <w:lang w:val="en-US" w:eastAsia="zh-CN" w:bidi="ar-SA"/>
              </w:rPr>
              <w:t>高塍镇</w:t>
            </w:r>
            <w:r>
              <w:rPr>
                <w:rFonts w:hint="eastAsia" w:eastAsia="宋体" w:cs="Times New Roman"/>
                <w:bCs w:val="0"/>
                <w:kern w:val="2"/>
                <w:sz w:val="24"/>
                <w:szCs w:val="24"/>
                <w:lang w:val="en-US" w:eastAsia="zh-CN" w:bidi="ar-SA"/>
              </w:rPr>
              <w:t>范道桃园工业区</w:t>
            </w:r>
            <w:r>
              <w:rPr>
                <w:rFonts w:ascii="Times New Roman" w:hAnsi="Times New Roman" w:eastAsia="宋体" w:cs="Times New Roman"/>
                <w:bCs w:val="0"/>
                <w:kern w:val="2"/>
                <w:sz w:val="24"/>
                <w:szCs w:val="24"/>
                <w:lang w:val="en-US" w:eastAsia="zh-CN" w:bidi="ar-SA"/>
              </w:rPr>
              <w:t>范围内，</w:t>
            </w:r>
            <w:r>
              <w:rPr>
                <w:rFonts w:hint="eastAsia" w:ascii="Times New Roman" w:hAnsi="Times New Roman" w:eastAsia="宋体" w:cs="Times New Roman"/>
                <w:bCs w:val="0"/>
                <w:kern w:val="2"/>
                <w:sz w:val="24"/>
                <w:szCs w:val="24"/>
                <w:lang w:val="en-US" w:eastAsia="zh-CN" w:bidi="ar-SA"/>
              </w:rPr>
              <w:t>生产产品为</w:t>
            </w:r>
            <w:r>
              <w:rPr>
                <w:rFonts w:hint="eastAsia" w:cs="Times New Roman"/>
                <w:bCs w:val="0"/>
                <w:kern w:val="2"/>
                <w:sz w:val="24"/>
                <w:szCs w:val="24"/>
                <w:lang w:val="en-US" w:eastAsia="zh-CN" w:bidi="ar-SA"/>
              </w:rPr>
              <w:t>太阳能光伏电池板的背板玻璃</w:t>
            </w:r>
            <w:r>
              <w:rPr>
                <w:rFonts w:hint="eastAsia" w:ascii="Times New Roman" w:hAnsi="Times New Roman" w:eastAsia="宋体" w:cs="Times New Roman"/>
                <w:bCs w:val="0"/>
                <w:kern w:val="2"/>
                <w:sz w:val="24"/>
                <w:szCs w:val="24"/>
                <w:lang w:val="en-US" w:eastAsia="zh-CN" w:bidi="ar-SA"/>
              </w:rPr>
              <w:t>，属于</w:t>
            </w:r>
            <w:r>
              <w:rPr>
                <w:rFonts w:hint="eastAsia" w:cs="Times New Roman"/>
                <w:bCs w:val="0"/>
                <w:kern w:val="2"/>
                <w:sz w:val="24"/>
                <w:szCs w:val="24"/>
                <w:lang w:val="en-US" w:eastAsia="zh-CN" w:bidi="ar-SA"/>
              </w:rPr>
              <w:t>太阳能光伏材料制造业</w:t>
            </w:r>
            <w:r>
              <w:rPr>
                <w:rFonts w:hint="eastAsia" w:ascii="Times New Roman" w:hAnsi="Times New Roman" w:eastAsia="宋体" w:cs="Times New Roman"/>
                <w:bCs w:val="0"/>
                <w:kern w:val="2"/>
                <w:sz w:val="24"/>
                <w:szCs w:val="24"/>
                <w:lang w:val="en-US" w:eastAsia="zh-CN" w:bidi="ar-SA"/>
              </w:rPr>
              <w:t>，</w:t>
            </w:r>
            <w:r>
              <w:rPr>
                <w:rFonts w:ascii="Times New Roman" w:hAnsi="Times New Roman" w:eastAsia="宋体" w:cs="Times New Roman"/>
                <w:bCs w:val="0"/>
                <w:kern w:val="2"/>
                <w:sz w:val="24"/>
                <w:szCs w:val="24"/>
                <w:lang w:val="en-US" w:eastAsia="zh-CN" w:bidi="ar-SA"/>
              </w:rPr>
              <w:t>符合高塍镇工业集中发展区域产业定位</w:t>
            </w:r>
            <w:r>
              <w:rPr>
                <w:rFonts w:hint="eastAsia" w:ascii="Times New Roman" w:hAnsi="Times New Roman" w:cs="Times New Roman"/>
                <w:bCs w:val="0"/>
                <w:kern w:val="2"/>
                <w:sz w:val="24"/>
                <w:szCs w:val="24"/>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06" w:type="dxa"/>
            <w:vAlign w:val="center"/>
          </w:tcPr>
          <w:p>
            <w:pPr>
              <w:autoSpaceDE w:val="0"/>
              <w:autoSpaceDN w:val="0"/>
              <w:adjustRightInd w:val="0"/>
              <w:snapToGrid w:val="0"/>
              <w:jc w:val="center"/>
              <w:rPr>
                <w:rFonts w:ascii="宋体" w:hAnsi="宋体" w:cs="宋体"/>
                <w:b/>
                <w:kern w:val="0"/>
                <w:sz w:val="24"/>
              </w:rPr>
            </w:pPr>
            <w:r>
              <w:rPr>
                <w:rFonts w:hint="eastAsia" w:ascii="宋体" w:hAnsi="宋体" w:cs="宋体"/>
                <w:b/>
                <w:kern w:val="0"/>
                <w:sz w:val="24"/>
              </w:rPr>
              <w:t>其他符合性分析</w:t>
            </w:r>
          </w:p>
        </w:tc>
        <w:tc>
          <w:tcPr>
            <w:tcW w:w="7864" w:type="dxa"/>
            <w:gridSpan w:val="3"/>
            <w:vAlign w:val="center"/>
          </w:tcPr>
          <w:p>
            <w:pPr>
              <w:adjustRightInd w:val="0"/>
              <w:snapToGrid w:val="0"/>
              <w:spacing w:line="360" w:lineRule="auto"/>
              <w:ind w:firstLine="482" w:firstLineChars="200"/>
              <w:rPr>
                <w:b/>
                <w:sz w:val="24"/>
              </w:rPr>
            </w:pPr>
            <w:r>
              <w:rPr>
                <w:rFonts w:hint="eastAsia"/>
                <w:b/>
                <w:sz w:val="24"/>
              </w:rPr>
              <w:t>1、与产业政策相符性分析</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bCs/>
                <w:kern w:val="0"/>
                <w:sz w:val="24"/>
              </w:rPr>
              <w:t>根据2019年10月30日国家发展改革委公布的《</w:t>
            </w:r>
            <w:r>
              <w:rPr>
                <w:rFonts w:hint="default" w:ascii="Times New Roman" w:hAnsi="Times New Roman" w:eastAsia="宋体" w:cs="Times New Roman"/>
                <w:sz w:val="24"/>
              </w:rPr>
              <w:t>产业结构调整指导目录（2019年本）</w:t>
            </w:r>
            <w:r>
              <w:rPr>
                <w:rFonts w:hint="default" w:ascii="Times New Roman" w:hAnsi="Times New Roman" w:eastAsia="宋体" w:cs="Times New Roman"/>
                <w:bCs/>
                <w:kern w:val="0"/>
                <w:sz w:val="24"/>
              </w:rPr>
              <w:t>》（国家发展和改革委员会第29号令）可知，本项目不属于其中的</w:t>
            </w:r>
            <w:r>
              <w:rPr>
                <w:rFonts w:hint="default" w:ascii="Times New Roman" w:hAnsi="Times New Roman" w:eastAsia="宋体" w:cs="Times New Roman"/>
                <w:sz w:val="24"/>
              </w:rPr>
              <w:t>限制类和淘汰类，视为允许类。同时，本项目不属于省政府办公厅《江苏省工业和信息产业结构调整指导目录（2012年本）》以及关于修改《江苏省工业和信息产业结构调整指导目录(2012年本)》部分条目的通知（苏政办发〔2013〕9号）以及省经济和信息化委、省发展改革委《江苏省工业和信息产业结构调整限制、淘汰目录和能耗限额》（苏政办发[2015]118号）中的限制类和淘汰类项目。此外，本项目也不属于无锡市政府发布的《无锡市制造业转型发展指导目录（2012年本）》（锡政办发[2013]54号）以及宜兴市发展和改革委员会、宜兴市经济和信息化委员会、宜兴市农林局、宜兴市生态环境局于2018年发布的《宜兴市产业投资指导目录（2018年本）》（宜发改产业[2018]12号）中的限制类和淘汰类，均属于允许类。</w:t>
            </w:r>
          </w:p>
          <w:p>
            <w:pPr>
              <w:pStyle w:val="35"/>
              <w:adjustRightInd w:val="0"/>
              <w:snapToGrid w:val="0"/>
              <w:spacing w:line="360" w:lineRule="auto"/>
              <w:ind w:leftChars="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本项目已由宜兴市行政审批局同意备案，项目代码： </w:t>
            </w:r>
            <w:r>
              <w:rPr>
                <w:rFonts w:hint="default" w:ascii="Times New Roman" w:hAnsi="Times New Roman" w:eastAsia="宋体" w:cs="Times New Roman"/>
                <w:sz w:val="24"/>
                <w:szCs w:val="24"/>
                <w:lang w:eastAsia="zh-CN"/>
              </w:rPr>
              <w:t>2108-320282-89-02-</w:t>
            </w:r>
            <w:r>
              <w:rPr>
                <w:rFonts w:hint="default" w:ascii="Times New Roman" w:hAnsi="Times New Roman" w:eastAsia="宋体" w:cs="Times New Roman"/>
                <w:sz w:val="24"/>
                <w:szCs w:val="24"/>
                <w:lang w:val="en-US" w:eastAsia="zh-CN"/>
              </w:rPr>
              <w:t>932317</w:t>
            </w:r>
            <w:r>
              <w:rPr>
                <w:rFonts w:hint="default" w:ascii="Times New Roman" w:hAnsi="Times New Roman" w:eastAsia="宋体" w:cs="Times New Roman"/>
                <w:sz w:val="24"/>
                <w:szCs w:val="24"/>
              </w:rPr>
              <w:t xml:space="preserve">，项目备案证号：宜行审投备[2021] </w:t>
            </w:r>
            <w:r>
              <w:rPr>
                <w:rFonts w:hint="default" w:ascii="Times New Roman" w:hAnsi="Times New Roman" w:eastAsia="宋体" w:cs="Times New Roman"/>
                <w:sz w:val="24"/>
                <w:szCs w:val="24"/>
                <w:lang w:val="en-US" w:eastAsia="zh-CN"/>
              </w:rPr>
              <w:t>587</w:t>
            </w:r>
            <w:r>
              <w:rPr>
                <w:rFonts w:hint="default" w:ascii="Times New Roman" w:hAnsi="Times New Roman" w:eastAsia="宋体" w:cs="Times New Roman"/>
                <w:sz w:val="24"/>
                <w:szCs w:val="24"/>
              </w:rPr>
              <w:t>号。</w:t>
            </w:r>
          </w:p>
          <w:p>
            <w:pPr>
              <w:pStyle w:val="35"/>
              <w:adjustRightInd w:val="0"/>
              <w:snapToGrid w:val="0"/>
              <w:spacing w:line="360" w:lineRule="auto"/>
              <w:ind w:leftChars="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因此，项目符合国家和地方产业政策。</w:t>
            </w:r>
          </w:p>
          <w:p>
            <w:pPr>
              <w:adjustRightInd w:val="0"/>
              <w:snapToGrid w:val="0"/>
              <w:spacing w:line="360" w:lineRule="auto"/>
              <w:ind w:firstLine="482" w:firstLineChars="200"/>
              <w:jc w:val="left"/>
              <w:rPr>
                <w:b/>
                <w:color w:val="000000"/>
                <w:sz w:val="24"/>
              </w:rPr>
            </w:pPr>
            <w:r>
              <w:rPr>
                <w:rFonts w:hint="eastAsia"/>
                <w:b/>
                <w:color w:val="000000"/>
                <w:sz w:val="24"/>
              </w:rPr>
              <w:t>2、</w:t>
            </w:r>
            <w:r>
              <w:rPr>
                <w:b/>
                <w:color w:val="000000"/>
                <w:sz w:val="24"/>
              </w:rPr>
              <w:t>与“三线一单”相符性分析</w:t>
            </w:r>
          </w:p>
          <w:p>
            <w:pPr>
              <w:pStyle w:val="35"/>
              <w:adjustRightInd w:val="0"/>
              <w:snapToGrid w:val="0"/>
              <w:spacing w:line="360" w:lineRule="auto"/>
              <w:ind w:leftChars="0" w:firstLine="480"/>
              <w:rPr>
                <w:sz w:val="24"/>
                <w:szCs w:val="22"/>
              </w:rPr>
            </w:pPr>
            <w:r>
              <w:rPr>
                <w:sz w:val="24"/>
                <w:szCs w:val="22"/>
              </w:rPr>
              <w:t>（1）生态保护红线</w:t>
            </w:r>
          </w:p>
          <w:p>
            <w:pPr>
              <w:pStyle w:val="35"/>
              <w:adjustRightInd w:val="0"/>
              <w:snapToGrid w:val="0"/>
              <w:spacing w:line="360" w:lineRule="auto"/>
              <w:ind w:leftChars="0" w:firstLine="480"/>
              <w:rPr>
                <w:sz w:val="24"/>
                <w:szCs w:val="22"/>
              </w:rPr>
            </w:pPr>
            <w:r>
              <w:rPr>
                <w:sz w:val="24"/>
                <w:szCs w:val="22"/>
              </w:rPr>
              <w:t>根据《</w:t>
            </w:r>
            <w:r>
              <w:rPr>
                <w:rFonts w:hint="eastAsia"/>
                <w:sz w:val="24"/>
                <w:szCs w:val="22"/>
                <w:lang w:eastAsia="zh-CN"/>
              </w:rPr>
              <w:t>江苏省国家级生态红线规划</w:t>
            </w:r>
            <w:r>
              <w:rPr>
                <w:sz w:val="24"/>
                <w:szCs w:val="22"/>
              </w:rPr>
              <w:t>》（苏政发[2018]74号）、《省政府关于印发江苏省生态红线区域保护规划的通知》（苏政发[2020]</w:t>
            </w:r>
            <w:r>
              <w:rPr>
                <w:rFonts w:hint="eastAsia"/>
                <w:sz w:val="24"/>
                <w:szCs w:val="22"/>
                <w:lang w:val="en-US" w:eastAsia="zh-CN"/>
              </w:rPr>
              <w:t xml:space="preserve"> </w:t>
            </w:r>
            <w:r>
              <w:rPr>
                <w:sz w:val="24"/>
                <w:szCs w:val="22"/>
              </w:rPr>
              <w:t>1号），本项目不在上述文件中规定的国家级生态保护红线范围与生态空间管控区域范围内。距离本项目最近的生态空间管控区为</w:t>
            </w:r>
            <w:r>
              <w:rPr>
                <w:rFonts w:hint="eastAsia"/>
                <w:sz w:val="24"/>
                <w:szCs w:val="22"/>
                <w:lang w:eastAsia="zh-CN"/>
              </w:rPr>
              <w:t>南侧约</w:t>
            </w:r>
            <w:r>
              <w:rPr>
                <w:rFonts w:hint="eastAsia"/>
                <w:sz w:val="24"/>
                <w:szCs w:val="22"/>
                <w:lang w:val="en-US" w:eastAsia="zh-CN"/>
              </w:rPr>
              <w:t>4.45km的三氿重要湿地（西氿），详</w:t>
            </w:r>
            <w:r>
              <w:rPr>
                <w:sz w:val="24"/>
                <w:szCs w:val="22"/>
              </w:rPr>
              <w:t>见表1-</w:t>
            </w:r>
            <w:r>
              <w:rPr>
                <w:rFonts w:hint="eastAsia"/>
                <w:sz w:val="24"/>
                <w:szCs w:val="22"/>
              </w:rPr>
              <w:t>1</w:t>
            </w:r>
            <w:r>
              <w:rPr>
                <w:sz w:val="24"/>
                <w:szCs w:val="22"/>
              </w:rPr>
              <w:t>。</w:t>
            </w:r>
          </w:p>
          <w:p>
            <w:pPr>
              <w:jc w:val="center"/>
              <w:rPr>
                <w:b/>
                <w:snapToGrid w:val="0"/>
                <w:kern w:val="0"/>
                <w:sz w:val="24"/>
                <w:szCs w:val="22"/>
              </w:rPr>
            </w:pPr>
            <w:r>
              <w:rPr>
                <w:b/>
                <w:snapToGrid w:val="0"/>
                <w:kern w:val="0"/>
                <w:sz w:val="24"/>
                <w:szCs w:val="22"/>
              </w:rPr>
              <w:t>表1-</w:t>
            </w:r>
            <w:r>
              <w:rPr>
                <w:rFonts w:hint="eastAsia"/>
                <w:b/>
                <w:snapToGrid w:val="0"/>
                <w:kern w:val="0"/>
                <w:sz w:val="24"/>
                <w:szCs w:val="22"/>
                <w:lang w:val="en-US" w:eastAsia="zh-CN"/>
              </w:rPr>
              <w:t>2</w:t>
            </w:r>
            <w:r>
              <w:rPr>
                <w:b/>
                <w:bCs/>
                <w:sz w:val="24"/>
              </w:rPr>
              <w:t>项目周边涉及生态红线区域</w:t>
            </w:r>
          </w:p>
          <w:tbl>
            <w:tblPr>
              <w:tblStyle w:val="3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684"/>
              <w:gridCol w:w="849"/>
              <w:gridCol w:w="1243"/>
              <w:gridCol w:w="1654"/>
              <w:gridCol w:w="906"/>
              <w:gridCol w:w="906"/>
              <w:gridCol w:w="6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vMerge w:val="restart"/>
                  <w:vAlign w:val="center"/>
                </w:tcPr>
                <w:p>
                  <w:pPr>
                    <w:jc w:val="center"/>
                    <w:rPr>
                      <w:b/>
                      <w:snapToGrid w:val="0"/>
                      <w:kern w:val="0"/>
                      <w:szCs w:val="21"/>
                    </w:rPr>
                  </w:pPr>
                  <w:r>
                    <w:rPr>
                      <w:b/>
                      <w:snapToGrid w:val="0"/>
                      <w:kern w:val="0"/>
                      <w:szCs w:val="21"/>
                    </w:rPr>
                    <w:t>红线区域名称</w:t>
                  </w:r>
                </w:p>
              </w:tc>
              <w:tc>
                <w:tcPr>
                  <w:tcW w:w="447" w:type="pct"/>
                  <w:vMerge w:val="restart"/>
                  <w:vAlign w:val="center"/>
                </w:tcPr>
                <w:p>
                  <w:pPr>
                    <w:jc w:val="center"/>
                    <w:rPr>
                      <w:b/>
                      <w:snapToGrid w:val="0"/>
                      <w:kern w:val="0"/>
                      <w:szCs w:val="21"/>
                    </w:rPr>
                  </w:pPr>
                  <w:r>
                    <w:rPr>
                      <w:b/>
                      <w:snapToGrid w:val="0"/>
                      <w:kern w:val="0"/>
                      <w:szCs w:val="21"/>
                    </w:rPr>
                    <w:t>主导生态功能</w:t>
                  </w:r>
                </w:p>
              </w:tc>
              <w:tc>
                <w:tcPr>
                  <w:tcW w:w="555" w:type="pct"/>
                  <w:vMerge w:val="restart"/>
                  <w:vAlign w:val="center"/>
                </w:tcPr>
                <w:p>
                  <w:pPr>
                    <w:jc w:val="center"/>
                    <w:rPr>
                      <w:b/>
                      <w:snapToGrid w:val="0"/>
                      <w:kern w:val="0"/>
                      <w:szCs w:val="21"/>
                    </w:rPr>
                  </w:pPr>
                  <w:r>
                    <w:rPr>
                      <w:b/>
                      <w:snapToGrid w:val="0"/>
                      <w:kern w:val="0"/>
                      <w:szCs w:val="21"/>
                    </w:rPr>
                    <w:t>县（市、区）</w:t>
                  </w:r>
                </w:p>
              </w:tc>
              <w:tc>
                <w:tcPr>
                  <w:tcW w:w="1893" w:type="pct"/>
                  <w:gridSpan w:val="2"/>
                  <w:vAlign w:val="center"/>
                </w:tcPr>
                <w:p>
                  <w:pPr>
                    <w:jc w:val="center"/>
                    <w:rPr>
                      <w:b/>
                      <w:snapToGrid w:val="0"/>
                      <w:kern w:val="0"/>
                      <w:szCs w:val="21"/>
                    </w:rPr>
                  </w:pPr>
                  <w:r>
                    <w:rPr>
                      <w:b/>
                      <w:snapToGrid w:val="0"/>
                      <w:kern w:val="0"/>
                      <w:szCs w:val="21"/>
                    </w:rPr>
                    <w:t>范围</w:t>
                  </w:r>
                </w:p>
              </w:tc>
              <w:tc>
                <w:tcPr>
                  <w:tcW w:w="1637" w:type="pct"/>
                  <w:gridSpan w:val="3"/>
                  <w:vAlign w:val="center"/>
                </w:tcPr>
                <w:p>
                  <w:pPr>
                    <w:jc w:val="center"/>
                    <w:rPr>
                      <w:b/>
                      <w:snapToGrid w:val="0"/>
                      <w:kern w:val="0"/>
                      <w:szCs w:val="21"/>
                    </w:rPr>
                  </w:pPr>
                  <w:r>
                    <w:rPr>
                      <w:b/>
                      <w:snapToGrid w:val="0"/>
                      <w:kern w:val="0"/>
                      <w:szCs w:val="21"/>
                    </w:rPr>
                    <w:t>面积（km</w:t>
                  </w:r>
                  <w:r>
                    <w:rPr>
                      <w:b/>
                      <w:snapToGrid w:val="0"/>
                      <w:kern w:val="0"/>
                      <w:szCs w:val="21"/>
                      <w:vertAlign w:val="superscript"/>
                    </w:rPr>
                    <w:t>2</w:t>
                  </w:r>
                  <w:r>
                    <w:rPr>
                      <w:rFonts w:hint="eastAsia"/>
                      <w:b/>
                      <w:snapToGrid w:val="0"/>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vMerge w:val="continue"/>
                  <w:vAlign w:val="center"/>
                </w:tcPr>
                <w:p>
                  <w:pPr>
                    <w:jc w:val="center"/>
                    <w:rPr>
                      <w:b/>
                      <w:snapToGrid w:val="0"/>
                      <w:kern w:val="0"/>
                      <w:szCs w:val="21"/>
                    </w:rPr>
                  </w:pPr>
                </w:p>
              </w:tc>
              <w:tc>
                <w:tcPr>
                  <w:tcW w:w="447" w:type="pct"/>
                  <w:vMerge w:val="continue"/>
                  <w:vAlign w:val="center"/>
                </w:tcPr>
                <w:p>
                  <w:pPr>
                    <w:jc w:val="center"/>
                    <w:rPr>
                      <w:b/>
                      <w:snapToGrid w:val="0"/>
                      <w:kern w:val="0"/>
                      <w:szCs w:val="21"/>
                    </w:rPr>
                  </w:pPr>
                </w:p>
              </w:tc>
              <w:tc>
                <w:tcPr>
                  <w:tcW w:w="555" w:type="pct"/>
                  <w:vMerge w:val="continue"/>
                  <w:vAlign w:val="center"/>
                </w:tcPr>
                <w:p>
                  <w:pPr>
                    <w:jc w:val="center"/>
                    <w:rPr>
                      <w:b/>
                      <w:snapToGrid w:val="0"/>
                      <w:kern w:val="0"/>
                      <w:szCs w:val="21"/>
                    </w:rPr>
                  </w:pPr>
                </w:p>
              </w:tc>
              <w:tc>
                <w:tcPr>
                  <w:tcW w:w="812" w:type="pct"/>
                  <w:vAlign w:val="center"/>
                </w:tcPr>
                <w:p>
                  <w:pPr>
                    <w:jc w:val="center"/>
                    <w:rPr>
                      <w:b/>
                      <w:snapToGrid w:val="0"/>
                      <w:kern w:val="0"/>
                      <w:szCs w:val="21"/>
                    </w:rPr>
                  </w:pPr>
                  <w:r>
                    <w:rPr>
                      <w:b/>
                      <w:snapToGrid w:val="0"/>
                      <w:kern w:val="0"/>
                      <w:szCs w:val="21"/>
                    </w:rPr>
                    <w:t>国家级生态保护红线范围</w:t>
                  </w:r>
                </w:p>
              </w:tc>
              <w:tc>
                <w:tcPr>
                  <w:tcW w:w="1081" w:type="pct"/>
                  <w:vAlign w:val="center"/>
                </w:tcPr>
                <w:p>
                  <w:pPr>
                    <w:jc w:val="center"/>
                    <w:rPr>
                      <w:b/>
                      <w:snapToGrid w:val="0"/>
                      <w:kern w:val="0"/>
                      <w:szCs w:val="21"/>
                    </w:rPr>
                  </w:pPr>
                  <w:r>
                    <w:rPr>
                      <w:b/>
                      <w:snapToGrid w:val="0"/>
                      <w:kern w:val="0"/>
                      <w:szCs w:val="21"/>
                    </w:rPr>
                    <w:t>生态空间管控区域范围</w:t>
                  </w:r>
                </w:p>
              </w:tc>
              <w:tc>
                <w:tcPr>
                  <w:tcW w:w="592" w:type="pct"/>
                  <w:vAlign w:val="center"/>
                </w:tcPr>
                <w:p>
                  <w:pPr>
                    <w:jc w:val="center"/>
                    <w:rPr>
                      <w:b/>
                      <w:snapToGrid w:val="0"/>
                      <w:kern w:val="0"/>
                      <w:szCs w:val="21"/>
                    </w:rPr>
                  </w:pPr>
                  <w:r>
                    <w:rPr>
                      <w:b/>
                      <w:snapToGrid w:val="0"/>
                      <w:kern w:val="0"/>
                      <w:szCs w:val="21"/>
                    </w:rPr>
                    <w:t>国家级生态保护红线面积</w:t>
                  </w:r>
                </w:p>
              </w:tc>
              <w:tc>
                <w:tcPr>
                  <w:tcW w:w="592" w:type="pct"/>
                  <w:vAlign w:val="center"/>
                </w:tcPr>
                <w:p>
                  <w:pPr>
                    <w:jc w:val="center"/>
                    <w:rPr>
                      <w:b/>
                      <w:snapToGrid w:val="0"/>
                      <w:kern w:val="0"/>
                      <w:szCs w:val="21"/>
                    </w:rPr>
                  </w:pPr>
                  <w:r>
                    <w:rPr>
                      <w:b/>
                      <w:snapToGrid w:val="0"/>
                      <w:kern w:val="0"/>
                      <w:szCs w:val="21"/>
                    </w:rPr>
                    <w:t>生态空间管控区域面积</w:t>
                  </w:r>
                </w:p>
              </w:tc>
              <w:tc>
                <w:tcPr>
                  <w:tcW w:w="453" w:type="pct"/>
                  <w:vAlign w:val="center"/>
                </w:tcPr>
                <w:p>
                  <w:pPr>
                    <w:jc w:val="center"/>
                    <w:rPr>
                      <w:b/>
                      <w:snapToGrid w:val="0"/>
                      <w:kern w:val="0"/>
                      <w:szCs w:val="21"/>
                    </w:rPr>
                  </w:pPr>
                  <w:r>
                    <w:rPr>
                      <w:b/>
                      <w:snapToGrid w:val="0"/>
                      <w:kern w:val="0"/>
                      <w:szCs w:val="21"/>
                    </w:rPr>
                    <w:t>总面积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6" w:type="pct"/>
                  <w:vAlign w:val="center"/>
                </w:tcPr>
                <w:p>
                  <w:pPr>
                    <w:jc w:val="center"/>
                    <w:rPr>
                      <w:rFonts w:hint="eastAsia" w:eastAsiaTheme="minorEastAsia"/>
                      <w:snapToGrid w:val="0"/>
                      <w:kern w:val="0"/>
                      <w:szCs w:val="21"/>
                      <w:lang w:eastAsia="zh-CN"/>
                    </w:rPr>
                  </w:pPr>
                  <w:r>
                    <w:rPr>
                      <w:rFonts w:hint="eastAsia" w:eastAsiaTheme="minorEastAsia"/>
                      <w:szCs w:val="21"/>
                      <w:lang w:eastAsia="zh-CN"/>
                    </w:rPr>
                    <w:t>三氿重要湿地</w:t>
                  </w:r>
                </w:p>
              </w:tc>
              <w:tc>
                <w:tcPr>
                  <w:tcW w:w="447" w:type="pct"/>
                  <w:vAlign w:val="center"/>
                </w:tcPr>
                <w:p>
                  <w:pPr>
                    <w:jc w:val="center"/>
                    <w:rPr>
                      <w:rFonts w:eastAsiaTheme="minorEastAsia"/>
                      <w:snapToGrid w:val="0"/>
                      <w:kern w:val="0"/>
                      <w:szCs w:val="21"/>
                    </w:rPr>
                  </w:pPr>
                  <w:r>
                    <w:rPr>
                      <w:rFonts w:hint="eastAsia" w:eastAsiaTheme="minorEastAsia"/>
                      <w:snapToGrid w:val="0"/>
                      <w:kern w:val="0"/>
                      <w:szCs w:val="21"/>
                    </w:rPr>
                    <w:t>湿地生态系统保护</w:t>
                  </w:r>
                </w:p>
              </w:tc>
              <w:tc>
                <w:tcPr>
                  <w:tcW w:w="555" w:type="pct"/>
                  <w:vAlign w:val="center"/>
                </w:tcPr>
                <w:p>
                  <w:pPr>
                    <w:jc w:val="center"/>
                    <w:rPr>
                      <w:rFonts w:eastAsiaTheme="minorEastAsia"/>
                      <w:snapToGrid w:val="0"/>
                      <w:kern w:val="0"/>
                      <w:szCs w:val="21"/>
                    </w:rPr>
                  </w:pPr>
                  <w:r>
                    <w:rPr>
                      <w:rFonts w:hint="eastAsia" w:eastAsiaTheme="minorEastAsia"/>
                      <w:snapToGrid w:val="0"/>
                      <w:kern w:val="0"/>
                      <w:szCs w:val="21"/>
                    </w:rPr>
                    <w:t>宜兴市</w:t>
                  </w:r>
                </w:p>
              </w:tc>
              <w:tc>
                <w:tcPr>
                  <w:tcW w:w="812" w:type="pct"/>
                  <w:vAlign w:val="center"/>
                </w:tcPr>
                <w:p>
                  <w:pPr>
                    <w:jc w:val="center"/>
                    <w:rPr>
                      <w:snapToGrid w:val="0"/>
                      <w:kern w:val="0"/>
                      <w:szCs w:val="21"/>
                    </w:rPr>
                  </w:pPr>
                  <w:r>
                    <w:rPr>
                      <w:rFonts w:hint="eastAsia"/>
                      <w:snapToGrid w:val="0"/>
                      <w:kern w:val="0"/>
                      <w:szCs w:val="21"/>
                    </w:rPr>
                    <w:t>/</w:t>
                  </w:r>
                </w:p>
              </w:tc>
              <w:tc>
                <w:tcPr>
                  <w:tcW w:w="1081" w:type="pct"/>
                  <w:vAlign w:val="center"/>
                </w:tcPr>
                <w:p>
                  <w:pPr>
                    <w:jc w:val="center"/>
                    <w:rPr>
                      <w:rFonts w:hint="eastAsia" w:eastAsiaTheme="minorEastAsia"/>
                      <w:snapToGrid w:val="0"/>
                      <w:kern w:val="0"/>
                      <w:szCs w:val="21"/>
                    </w:rPr>
                  </w:pPr>
                  <w:r>
                    <w:rPr>
                      <w:rFonts w:hint="eastAsia" w:eastAsiaTheme="minorEastAsia"/>
                      <w:snapToGrid w:val="0"/>
                      <w:kern w:val="0"/>
                      <w:szCs w:val="21"/>
                      <w:lang w:val="en-US" w:eastAsia="zh-CN"/>
                    </w:rPr>
                    <w:t>西氿团氿东氿的水域部分</w:t>
                  </w:r>
                </w:p>
                <w:p>
                  <w:pPr>
                    <w:jc w:val="center"/>
                    <w:rPr>
                      <w:rFonts w:eastAsiaTheme="minorEastAsia"/>
                      <w:snapToGrid w:val="0"/>
                      <w:kern w:val="0"/>
                      <w:szCs w:val="21"/>
                    </w:rPr>
                  </w:pPr>
                </w:p>
              </w:tc>
              <w:tc>
                <w:tcPr>
                  <w:tcW w:w="592" w:type="pct"/>
                  <w:vAlign w:val="center"/>
                </w:tcPr>
                <w:p>
                  <w:pPr>
                    <w:jc w:val="center"/>
                    <w:rPr>
                      <w:rFonts w:hint="default" w:eastAsiaTheme="minorEastAsia"/>
                      <w:snapToGrid w:val="0"/>
                      <w:kern w:val="0"/>
                      <w:szCs w:val="21"/>
                      <w:lang w:val="en-US" w:eastAsia="zh-CN"/>
                    </w:rPr>
                  </w:pPr>
                  <w:r>
                    <w:rPr>
                      <w:rFonts w:hint="eastAsia" w:eastAsiaTheme="minorEastAsia"/>
                      <w:snapToGrid w:val="0"/>
                      <w:kern w:val="0"/>
                      <w:szCs w:val="21"/>
                      <w:lang w:val="en-US" w:eastAsia="zh-CN"/>
                    </w:rPr>
                    <w:t>/</w:t>
                  </w:r>
                </w:p>
              </w:tc>
              <w:tc>
                <w:tcPr>
                  <w:tcW w:w="592" w:type="pct"/>
                  <w:vAlign w:val="center"/>
                </w:tcPr>
                <w:p>
                  <w:pPr>
                    <w:jc w:val="center"/>
                    <w:rPr>
                      <w:rFonts w:hint="default" w:eastAsiaTheme="minorEastAsia"/>
                      <w:snapToGrid w:val="0"/>
                      <w:kern w:val="0"/>
                      <w:szCs w:val="21"/>
                      <w:lang w:val="en-US" w:eastAsia="zh-CN"/>
                    </w:rPr>
                  </w:pPr>
                  <w:r>
                    <w:rPr>
                      <w:rFonts w:hint="eastAsia" w:eastAsiaTheme="minorEastAsia"/>
                      <w:bCs/>
                      <w:szCs w:val="21"/>
                      <w:lang w:val="en-US" w:eastAsia="zh-CN"/>
                    </w:rPr>
                    <w:t>24.29</w:t>
                  </w:r>
                </w:p>
              </w:tc>
              <w:tc>
                <w:tcPr>
                  <w:tcW w:w="453" w:type="pct"/>
                  <w:vAlign w:val="center"/>
                </w:tcPr>
                <w:p>
                  <w:pPr>
                    <w:jc w:val="center"/>
                    <w:rPr>
                      <w:rFonts w:hint="default" w:eastAsiaTheme="minorEastAsia"/>
                      <w:snapToGrid w:val="0"/>
                      <w:kern w:val="0"/>
                      <w:szCs w:val="21"/>
                      <w:lang w:val="en-US" w:eastAsia="zh-CN"/>
                    </w:rPr>
                  </w:pPr>
                  <w:r>
                    <w:rPr>
                      <w:rFonts w:hint="eastAsia" w:eastAsiaTheme="minorEastAsia"/>
                      <w:bCs/>
                      <w:szCs w:val="21"/>
                      <w:lang w:val="en-US" w:eastAsia="zh-CN"/>
                    </w:rPr>
                    <w:t>24.29</w:t>
                  </w:r>
                </w:p>
              </w:tc>
            </w:tr>
          </w:tbl>
          <w:p>
            <w:pPr>
              <w:pStyle w:val="2"/>
              <w:spacing w:after="0" w:line="360" w:lineRule="auto"/>
              <w:ind w:firstLine="480" w:firstLineChars="200"/>
              <w:rPr>
                <w:rFonts w:ascii="宋体" w:hAnsi="宋体" w:eastAsia="宋体" w:cs="宋体"/>
                <w:sz w:val="24"/>
                <w:szCs w:val="24"/>
              </w:rPr>
            </w:pPr>
            <w:r>
              <w:rPr>
                <w:rFonts w:ascii="宋体" w:hAnsi="宋体" w:eastAsia="宋体" w:cs="宋体"/>
                <w:sz w:val="24"/>
                <w:szCs w:val="24"/>
              </w:rPr>
              <w:t>因此，本项目的建设符合江苏省国家级生态保护红线规划和江苏省生态空间管控区域规划的要求。</w:t>
            </w:r>
          </w:p>
          <w:p>
            <w:pPr>
              <w:pStyle w:val="2"/>
              <w:spacing w:after="0" w:line="360" w:lineRule="auto"/>
              <w:ind w:firstLine="480" w:firstLineChars="200"/>
              <w:rPr>
                <w:sz w:val="24"/>
                <w:szCs w:val="24"/>
                <w:lang w:bidi="ar"/>
              </w:rPr>
            </w:pPr>
            <w:r>
              <w:rPr>
                <w:sz w:val="24"/>
                <w:szCs w:val="24"/>
                <w:lang w:bidi="ar"/>
              </w:rPr>
              <w:t>（2）环境质量底线相符性</w:t>
            </w:r>
          </w:p>
          <w:p>
            <w:pPr>
              <w:keepNext/>
              <w:keepLines/>
              <w:spacing w:line="360" w:lineRule="auto"/>
              <w:ind w:firstLine="480" w:firstLineChars="200"/>
              <w:rPr>
                <w:sz w:val="24"/>
              </w:rPr>
            </w:pPr>
            <w:r>
              <w:rPr>
                <w:sz w:val="24"/>
              </w:rPr>
              <w:t>根据无锡市宜兴生态环境局网站公布的《2020年度宜兴市环境状况公报》，项目所在地的环境质量良好。该项目建设、营运过程中会产生一定的污染物，采取相应的污染防治措施后，环境质量功能可以保持现有水平，符合环境质量底线要求。</w:t>
            </w:r>
          </w:p>
          <w:p>
            <w:pPr>
              <w:pStyle w:val="2"/>
              <w:spacing w:after="0" w:line="360" w:lineRule="auto"/>
              <w:ind w:firstLine="480" w:firstLineChars="200"/>
              <w:rPr>
                <w:sz w:val="24"/>
                <w:szCs w:val="24"/>
                <w:lang w:bidi="ar"/>
              </w:rPr>
            </w:pPr>
            <w:r>
              <w:rPr>
                <w:sz w:val="24"/>
                <w:szCs w:val="24"/>
                <w:lang w:bidi="ar"/>
              </w:rPr>
              <w:t>（3）资源利用上线相符性</w:t>
            </w:r>
          </w:p>
          <w:p>
            <w:pPr>
              <w:keepNext/>
              <w:keepLines/>
              <w:spacing w:line="360" w:lineRule="auto"/>
              <w:ind w:firstLine="480" w:firstLineChars="200"/>
              <w:rPr>
                <w:sz w:val="24"/>
              </w:rPr>
            </w:pPr>
            <w:r>
              <w:rPr>
                <w:sz w:val="24"/>
              </w:rPr>
              <w:t>本项目所使用的能源主要为水、电，物耗及能耗水平较低，项目用电、水等能源来自市政管网供应，余量充足。项目位于宜兴市</w:t>
            </w:r>
            <w:r>
              <w:rPr>
                <w:rFonts w:hint="eastAsia"/>
                <w:sz w:val="24"/>
                <w:lang w:eastAsia="zh-CN"/>
              </w:rPr>
              <w:t>高塍镇工业集中区</w:t>
            </w:r>
            <w:r>
              <w:rPr>
                <w:sz w:val="24"/>
              </w:rPr>
              <w:t>，依托现有厂房，不占用新的土地资源，不改变现有用地性质；项目所用原辅料均外购，未从环境资源中直接获取，市场供应量充足。故本项目不会突破当地资源利用上线。</w:t>
            </w:r>
          </w:p>
          <w:p>
            <w:pPr>
              <w:pStyle w:val="3"/>
              <w:numPr>
                <w:ilvl w:val="0"/>
                <w:numId w:val="2"/>
              </w:numPr>
              <w:adjustRightInd w:val="0"/>
              <w:snapToGrid w:val="0"/>
              <w:spacing w:line="360" w:lineRule="auto"/>
              <w:ind w:left="420" w:leftChars="200"/>
              <w:rPr>
                <w:sz w:val="24"/>
                <w:szCs w:val="24"/>
              </w:rPr>
            </w:pPr>
            <w:r>
              <w:rPr>
                <w:sz w:val="24"/>
                <w:szCs w:val="24"/>
              </w:rPr>
              <w:t>环境准入负面清单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sz w:val="24"/>
              </w:rPr>
            </w:pPr>
            <w:r>
              <w:rPr>
                <w:rFonts w:hint="eastAsia"/>
                <w:sz w:val="24"/>
              </w:rPr>
              <w:t>对照《市场准入负面清单》（2020 年版），本项目不属于禁止准入类和限制准入类项目中。</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sz w:val="24"/>
              </w:rPr>
            </w:pPr>
            <w:r>
              <w:rPr>
                <w:rFonts w:hint="eastAsia"/>
                <w:sz w:val="24"/>
              </w:rPr>
              <w:t>对照《关于印发&lt;长江经济带发展负面清单指南&gt;江苏省实施细则（试行）的通知》（苏长江办发【2019】136 号），该项目不属于长江经济带发展负面清单之列。</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b/>
                <w:spacing w:val="-1"/>
                <w:sz w:val="24"/>
                <w:szCs w:val="24"/>
              </w:rPr>
            </w:pPr>
            <w:r>
              <w:rPr>
                <w:b/>
                <w:spacing w:val="-26"/>
                <w:sz w:val="24"/>
                <w:szCs w:val="24"/>
              </w:rPr>
              <w:t xml:space="preserve">表 </w:t>
            </w:r>
            <w:r>
              <w:rPr>
                <w:rFonts w:ascii="Times New Roman" w:eastAsia="Times New Roman"/>
                <w:b/>
                <w:sz w:val="24"/>
                <w:szCs w:val="24"/>
              </w:rPr>
              <w:t>1-</w:t>
            </w:r>
            <w:r>
              <w:rPr>
                <w:rFonts w:hint="eastAsia"/>
                <w:b/>
                <w:sz w:val="24"/>
                <w:szCs w:val="24"/>
                <w:lang w:val="en-US" w:eastAsia="zh-CN"/>
              </w:rPr>
              <w:t>3</w:t>
            </w:r>
            <w:r>
              <w:rPr>
                <w:rFonts w:ascii="Times New Roman" w:eastAsia="Times New Roman"/>
                <w:b/>
                <w:sz w:val="24"/>
                <w:szCs w:val="24"/>
              </w:rPr>
              <w:t xml:space="preserve"> </w:t>
            </w:r>
            <w:r>
              <w:rPr>
                <w:b/>
                <w:spacing w:val="-1"/>
                <w:sz w:val="24"/>
                <w:szCs w:val="24"/>
              </w:rPr>
              <w:t>环境准入负面清单对照分析表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5190"/>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8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
                      <w:bCs/>
                    </w:rPr>
                  </w:pPr>
                  <w:r>
                    <w:rPr>
                      <w:b/>
                      <w:bCs/>
                    </w:rPr>
                    <w:t>序号</w:t>
                  </w:r>
                </w:p>
              </w:tc>
              <w:tc>
                <w:tcPr>
                  <w:tcW w:w="519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
                      <w:bCs/>
                    </w:rPr>
                  </w:pPr>
                  <w:r>
                    <w:rPr>
                      <w:b/>
                      <w:bCs/>
                    </w:rPr>
                    <w:t>法律、法规、政策文件等</w:t>
                  </w:r>
                </w:p>
              </w:tc>
              <w:tc>
                <w:tcPr>
                  <w:tcW w:w="146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b/>
                      <w:bCs/>
                    </w:rPr>
                  </w:pPr>
                  <w:r>
                    <w:rPr>
                      <w:b/>
                      <w:bCs/>
                    </w:rPr>
                    <w:t>是否属于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lang w:val="en-US" w:eastAsia="zh-CN"/>
                    </w:rPr>
                  </w:pPr>
                  <w:r>
                    <w:rPr>
                      <w:rFonts w:hint="eastAsia"/>
                      <w:lang w:val="en-US" w:eastAsia="zh-CN"/>
                    </w:rPr>
                    <w:t>1</w:t>
                  </w:r>
                </w:p>
              </w:tc>
              <w:tc>
                <w:tcPr>
                  <w:tcW w:w="519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rPr>
                  </w:pPr>
                  <w:r>
                    <w:rPr>
                      <w:rFonts w:hint="eastAsia"/>
                    </w:rPr>
                    <w:t>《市场准入负面清单》（2020 年版）</w:t>
                  </w:r>
                </w:p>
              </w:tc>
              <w:tc>
                <w:tcPr>
                  <w:tcW w:w="146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rPr>
                  </w:pPr>
                  <w: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lang w:val="en-US" w:eastAsia="zh-CN"/>
                    </w:rPr>
                  </w:pPr>
                  <w:r>
                    <w:rPr>
                      <w:rFonts w:hint="eastAsia"/>
                      <w:lang w:val="en-US" w:eastAsia="zh-CN"/>
                    </w:rPr>
                    <w:t>2</w:t>
                  </w:r>
                </w:p>
              </w:tc>
              <w:tc>
                <w:tcPr>
                  <w:tcW w:w="519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rPr>
                  </w:pPr>
                  <w:r>
                    <w:rPr>
                      <w:rFonts w:hint="eastAsia"/>
                    </w:rPr>
                    <w:t>《关于印发&lt;长江经济带发展负面清单指南&gt;江苏省实施细则（试行）的通知》（苏长江办发【2019】136 号）</w:t>
                  </w:r>
                </w:p>
              </w:tc>
              <w:tc>
                <w:tcPr>
                  <w:tcW w:w="1464"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rPr>
                  </w:pPr>
                  <w:r>
                    <w:t>不属于</w:t>
                  </w:r>
                </w:p>
              </w:tc>
            </w:tr>
          </w:tbl>
          <w:p>
            <w:pPr>
              <w:rPr>
                <w:rFonts w:hint="eastAsia"/>
              </w:rPr>
            </w:pPr>
          </w:p>
          <w:p>
            <w:pPr>
              <w:pStyle w:val="35"/>
              <w:adjustRightInd w:val="0"/>
              <w:snapToGrid w:val="0"/>
              <w:spacing w:line="360" w:lineRule="auto"/>
              <w:ind w:leftChars="0" w:firstLine="482"/>
              <w:rPr>
                <w:rFonts w:hint="eastAsia" w:ascii="Times New Roman" w:hAnsi="Times New Roman" w:eastAsia="宋体" w:cs="Times New Roman"/>
                <w:sz w:val="24"/>
              </w:rPr>
            </w:pPr>
            <w:r>
              <w:rPr>
                <w:rFonts w:hint="eastAsia" w:ascii="Times New Roman" w:hAnsi="Times New Roman" w:eastAsia="宋体" w:cs="Times New Roman"/>
                <w:sz w:val="24"/>
              </w:rPr>
              <w:t>综上所述，本项目的实施符合《关于以改善环境质量为核心加强环境影响评价管理的通知》中</w:t>
            </w:r>
            <w:r>
              <w:rPr>
                <w:rFonts w:hint="eastAsia" w:cs="Times New Roman"/>
                <w:sz w:val="24"/>
                <w:lang w:eastAsia="zh-CN"/>
              </w:rPr>
              <w:t>“</w:t>
            </w:r>
            <w:r>
              <w:rPr>
                <w:rFonts w:hint="eastAsia" w:ascii="Times New Roman" w:hAnsi="Times New Roman" w:eastAsia="宋体" w:cs="Times New Roman"/>
                <w:sz w:val="24"/>
              </w:rPr>
              <w:t>三线</w:t>
            </w:r>
            <w:r>
              <w:rPr>
                <w:rFonts w:hint="eastAsia" w:ascii="Times New Roman" w:hAnsi="Times New Roman" w:eastAsia="宋体" w:cs="Times New Roman"/>
                <w:sz w:val="24"/>
                <w:lang w:eastAsia="zh-CN"/>
              </w:rPr>
              <w:t>一</w:t>
            </w:r>
            <w:r>
              <w:rPr>
                <w:rFonts w:hint="eastAsia" w:ascii="Times New Roman" w:hAnsi="Times New Roman" w:eastAsia="宋体" w:cs="Times New Roman"/>
                <w:sz w:val="24"/>
              </w:rPr>
              <w:t>单</w:t>
            </w:r>
            <w:r>
              <w:rPr>
                <w:rFonts w:hint="eastAsia" w:cs="Times New Roman"/>
                <w:sz w:val="24"/>
                <w:lang w:eastAsia="zh-CN"/>
              </w:rPr>
              <w:t>“</w:t>
            </w:r>
            <w:r>
              <w:rPr>
                <w:rFonts w:hint="eastAsia" w:ascii="Times New Roman" w:hAnsi="Times New Roman" w:eastAsia="宋体" w:cs="Times New Roman"/>
                <w:sz w:val="24"/>
              </w:rPr>
              <w:t>的约束要求。</w:t>
            </w:r>
          </w:p>
          <w:p>
            <w:pPr>
              <w:pStyle w:val="35"/>
              <w:adjustRightInd w:val="0"/>
              <w:snapToGrid w:val="0"/>
              <w:spacing w:line="360" w:lineRule="auto"/>
              <w:ind w:leftChars="0" w:firstLine="482"/>
              <w:rPr>
                <w:b/>
                <w:bCs/>
                <w:sz w:val="24"/>
                <w:szCs w:val="24"/>
              </w:rPr>
            </w:pPr>
            <w:r>
              <w:rPr>
                <w:rFonts w:hint="eastAsia"/>
                <w:b/>
                <w:bCs/>
                <w:sz w:val="24"/>
                <w:szCs w:val="24"/>
                <w:lang w:val="en-US" w:eastAsia="zh-CN"/>
              </w:rPr>
              <w:t>3、</w:t>
            </w:r>
            <w:r>
              <w:rPr>
                <w:b/>
                <w:bCs/>
                <w:sz w:val="24"/>
                <w:szCs w:val="24"/>
              </w:rPr>
              <w:t>《江苏省太湖水污染防治条例》相符性分析</w:t>
            </w:r>
          </w:p>
          <w:p>
            <w:pPr>
              <w:pStyle w:val="35"/>
              <w:adjustRightInd w:val="0"/>
              <w:snapToGrid w:val="0"/>
              <w:spacing w:line="360" w:lineRule="auto"/>
              <w:ind w:leftChars="0" w:firstLine="480"/>
              <w:rPr>
                <w:sz w:val="24"/>
                <w:szCs w:val="24"/>
              </w:rPr>
            </w:pPr>
            <w:r>
              <w:rPr>
                <w:sz w:val="24"/>
                <w:szCs w:val="24"/>
              </w:rPr>
              <w:t>根据《江苏省太湖流域三级保护区范围》（苏政办发〔2012〕221号），本项目位于太湖流域一级保护区。根据《江苏省太湖水污染防治条例》（2018 年 5 月 1 日实施）， 太湖流域一、二、三级保护区禁止下列行为：</w:t>
            </w:r>
          </w:p>
          <w:p>
            <w:pPr>
              <w:pStyle w:val="35"/>
              <w:adjustRightInd w:val="0"/>
              <w:snapToGrid w:val="0"/>
              <w:spacing w:line="360" w:lineRule="auto"/>
              <w:ind w:leftChars="0" w:firstLine="480"/>
              <w:rPr>
                <w:sz w:val="24"/>
                <w:szCs w:val="24"/>
              </w:rPr>
            </w:pPr>
            <w:r>
              <w:rPr>
                <w:sz w:val="24"/>
                <w:szCs w:val="24"/>
              </w:rPr>
              <w:t>（一）新建、改建、扩建化学制浆造纸、制革、酿造、染料、印染、电镀以及其他排放含磷、氮等污染物的企业和项目，城镇污水集中处理等环境基础设施项目和第四十六条规定的情形除外；</w:t>
            </w:r>
          </w:p>
          <w:p>
            <w:pPr>
              <w:pStyle w:val="35"/>
              <w:adjustRightInd w:val="0"/>
              <w:snapToGrid w:val="0"/>
              <w:spacing w:line="360" w:lineRule="auto"/>
              <w:ind w:leftChars="0" w:firstLine="480"/>
              <w:rPr>
                <w:sz w:val="24"/>
                <w:szCs w:val="24"/>
              </w:rPr>
            </w:pPr>
            <w:r>
              <w:rPr>
                <w:sz w:val="24"/>
                <w:szCs w:val="24"/>
              </w:rPr>
              <w:t>（二）销售、使用含磷洗涤用品；</w:t>
            </w:r>
          </w:p>
          <w:p>
            <w:pPr>
              <w:pStyle w:val="35"/>
              <w:adjustRightInd w:val="0"/>
              <w:snapToGrid w:val="0"/>
              <w:spacing w:line="360" w:lineRule="auto"/>
              <w:ind w:leftChars="0" w:firstLine="480"/>
              <w:rPr>
                <w:sz w:val="24"/>
                <w:szCs w:val="24"/>
              </w:rPr>
            </w:pPr>
            <w:r>
              <w:rPr>
                <w:sz w:val="24"/>
                <w:szCs w:val="24"/>
              </w:rPr>
              <w:t>（三）向水体排放或者倾倒油类、酸液、碱液、剧毒废渣废液、含放射性废渣废液、含病原体污水、工业废渣以及其他废弃物；</w:t>
            </w:r>
          </w:p>
          <w:p>
            <w:pPr>
              <w:pStyle w:val="35"/>
              <w:adjustRightInd w:val="0"/>
              <w:snapToGrid w:val="0"/>
              <w:spacing w:line="360" w:lineRule="auto"/>
              <w:ind w:leftChars="0" w:firstLine="480"/>
              <w:rPr>
                <w:sz w:val="24"/>
                <w:szCs w:val="24"/>
              </w:rPr>
            </w:pPr>
            <w:r>
              <w:rPr>
                <w:sz w:val="24"/>
                <w:szCs w:val="24"/>
              </w:rPr>
              <w:t>（四）在水体清洗装贮过油类或者有毒有害污染物的车辆、船舶和容器等；</w:t>
            </w:r>
          </w:p>
          <w:p>
            <w:pPr>
              <w:pStyle w:val="35"/>
              <w:adjustRightInd w:val="0"/>
              <w:snapToGrid w:val="0"/>
              <w:spacing w:line="360" w:lineRule="auto"/>
              <w:ind w:leftChars="0" w:firstLine="480"/>
              <w:rPr>
                <w:sz w:val="24"/>
                <w:szCs w:val="24"/>
              </w:rPr>
            </w:pPr>
            <w:r>
              <w:rPr>
                <w:sz w:val="24"/>
                <w:szCs w:val="24"/>
              </w:rPr>
              <w:t>（五）使用农药等有毒物毒杀水生生物；</w:t>
            </w:r>
          </w:p>
          <w:p>
            <w:pPr>
              <w:pStyle w:val="35"/>
              <w:adjustRightInd w:val="0"/>
              <w:snapToGrid w:val="0"/>
              <w:spacing w:line="360" w:lineRule="auto"/>
              <w:ind w:leftChars="0" w:firstLine="480"/>
              <w:rPr>
                <w:sz w:val="24"/>
                <w:szCs w:val="24"/>
              </w:rPr>
            </w:pPr>
            <w:r>
              <w:rPr>
                <w:sz w:val="24"/>
                <w:szCs w:val="24"/>
              </w:rPr>
              <w:t>（六）向水体直接排放人畜粪便、倾倒垃圾；</w:t>
            </w:r>
          </w:p>
          <w:p>
            <w:pPr>
              <w:pStyle w:val="35"/>
              <w:adjustRightInd w:val="0"/>
              <w:snapToGrid w:val="0"/>
              <w:spacing w:line="360" w:lineRule="auto"/>
              <w:ind w:leftChars="0" w:firstLine="480"/>
              <w:rPr>
                <w:sz w:val="24"/>
                <w:szCs w:val="24"/>
              </w:rPr>
            </w:pPr>
            <w:r>
              <w:rPr>
                <w:sz w:val="24"/>
                <w:szCs w:val="24"/>
              </w:rPr>
              <w:t>（七）围湖造地；</w:t>
            </w:r>
          </w:p>
          <w:p>
            <w:pPr>
              <w:pStyle w:val="35"/>
              <w:adjustRightInd w:val="0"/>
              <w:snapToGrid w:val="0"/>
              <w:spacing w:line="360" w:lineRule="auto"/>
              <w:ind w:leftChars="0" w:firstLine="480"/>
              <w:rPr>
                <w:sz w:val="24"/>
                <w:szCs w:val="24"/>
              </w:rPr>
            </w:pPr>
            <w:r>
              <w:rPr>
                <w:sz w:val="24"/>
                <w:szCs w:val="24"/>
              </w:rPr>
              <w:t>（八）违法开山采石，或者进行破坏林木、植被、水生生物的活动；</w:t>
            </w:r>
          </w:p>
          <w:p>
            <w:pPr>
              <w:pStyle w:val="35"/>
              <w:adjustRightInd w:val="0"/>
              <w:snapToGrid w:val="0"/>
              <w:spacing w:line="360" w:lineRule="auto"/>
              <w:ind w:leftChars="0" w:firstLine="480"/>
              <w:rPr>
                <w:sz w:val="24"/>
                <w:szCs w:val="24"/>
              </w:rPr>
            </w:pPr>
            <w:r>
              <w:rPr>
                <w:sz w:val="24"/>
                <w:szCs w:val="24"/>
              </w:rPr>
              <w:t>（九）法律、法规禁止的其他行为。</w:t>
            </w:r>
          </w:p>
          <w:p>
            <w:pPr>
              <w:pStyle w:val="35"/>
              <w:adjustRightInd w:val="0"/>
              <w:snapToGrid w:val="0"/>
              <w:spacing w:line="360" w:lineRule="auto"/>
              <w:ind w:leftChars="0" w:firstLine="480"/>
              <w:rPr>
                <w:sz w:val="24"/>
                <w:szCs w:val="24"/>
              </w:rPr>
            </w:pPr>
            <w:r>
              <w:rPr>
                <w:sz w:val="24"/>
                <w:szCs w:val="24"/>
              </w:rPr>
              <w:t>此外太湖流域一级保护区还限制下列行为：“新建、扩建向水体排放 污染物的项目；在国家和省规定的养殖范围外从事围网、网箱养殖，利用虾窝、地笼网、 机械吸螺、底拖网进行捕捞作业；新建、扩建畜禽养殖场；新建、扩建高尔夫球场、水上游乐等开发项目；从事水上餐饮经营活动；法律、法规禁止的其他可能污染水质的活动”。</w:t>
            </w:r>
          </w:p>
          <w:p>
            <w:pPr>
              <w:pStyle w:val="35"/>
              <w:adjustRightInd w:val="0"/>
              <w:snapToGrid w:val="0"/>
              <w:spacing w:line="360" w:lineRule="auto"/>
              <w:ind w:leftChars="0" w:firstLine="480"/>
              <w:rPr>
                <w:rFonts w:hint="eastAsia"/>
                <w:b/>
                <w:bCs/>
                <w:sz w:val="24"/>
                <w:szCs w:val="24"/>
                <w:lang w:val="en-US" w:eastAsia="zh-CN"/>
              </w:rPr>
            </w:pPr>
            <w:r>
              <w:rPr>
                <w:sz w:val="24"/>
                <w:szCs w:val="24"/>
              </w:rPr>
              <w:t>经查，本项目位于太湖流域一级保护区，不属于以上禁止项目，生产过程无废水产排，符合《江苏省太湖水污染防治条例》（2018 年 5 月 1 日实施）相关规定。</w:t>
            </w:r>
          </w:p>
          <w:p>
            <w:pPr>
              <w:pStyle w:val="35"/>
              <w:adjustRightInd w:val="0"/>
              <w:snapToGrid w:val="0"/>
              <w:spacing w:line="360" w:lineRule="auto"/>
              <w:ind w:left="420" w:firstLine="0" w:firstLineChars="0"/>
              <w:rPr>
                <w:b/>
                <w:bCs/>
                <w:sz w:val="24"/>
                <w:szCs w:val="24"/>
              </w:rPr>
            </w:pPr>
            <w:r>
              <w:rPr>
                <w:rFonts w:hint="eastAsia"/>
                <w:b/>
                <w:bCs/>
                <w:sz w:val="24"/>
                <w:szCs w:val="24"/>
                <w:lang w:val="en-US" w:eastAsia="zh-CN"/>
              </w:rPr>
              <w:t>4、</w:t>
            </w:r>
            <w:r>
              <w:rPr>
                <w:b/>
                <w:bCs/>
                <w:sz w:val="24"/>
                <w:szCs w:val="24"/>
              </w:rPr>
              <w:t>《无锡市水环境保护条例》相符性分析</w:t>
            </w:r>
          </w:p>
          <w:p>
            <w:pPr>
              <w:pStyle w:val="35"/>
              <w:adjustRightInd w:val="0"/>
              <w:snapToGrid w:val="0"/>
              <w:spacing w:line="360" w:lineRule="auto"/>
              <w:ind w:leftChars="0" w:firstLine="480"/>
              <w:rPr>
                <w:sz w:val="24"/>
                <w:szCs w:val="24"/>
              </w:rPr>
            </w:pPr>
            <w:r>
              <w:rPr>
                <w:sz w:val="24"/>
                <w:szCs w:val="24"/>
              </w:rPr>
              <w:t xml:space="preserve">根据《无锡市水环境保护条例》第十六条规定：各类开发建设活动应当符合国家和地方产业政策指导目录和环保准入条件。禁止下列产生水污染的建设行为： </w:t>
            </w:r>
          </w:p>
          <w:p>
            <w:pPr>
              <w:pStyle w:val="35"/>
              <w:adjustRightInd w:val="0"/>
              <w:snapToGrid w:val="0"/>
              <w:spacing w:line="360" w:lineRule="auto"/>
              <w:ind w:leftChars="0" w:firstLine="480"/>
              <w:rPr>
                <w:sz w:val="24"/>
                <w:szCs w:val="24"/>
              </w:rPr>
            </w:pPr>
            <w:r>
              <w:rPr>
                <w:sz w:val="24"/>
                <w:szCs w:val="24"/>
              </w:rPr>
              <w:t xml:space="preserve">（一）新建、改建、扩建化学制浆造纸、制革、酿造、染料、印染、电镀以及其他 排放含磷、氮等污染物的企业和项目； </w:t>
            </w:r>
          </w:p>
          <w:p>
            <w:pPr>
              <w:pStyle w:val="35"/>
              <w:adjustRightInd w:val="0"/>
              <w:snapToGrid w:val="0"/>
              <w:spacing w:line="360" w:lineRule="auto"/>
              <w:ind w:leftChars="0" w:firstLine="480"/>
              <w:rPr>
                <w:sz w:val="24"/>
                <w:szCs w:val="24"/>
              </w:rPr>
            </w:pPr>
            <w:r>
              <w:rPr>
                <w:sz w:val="24"/>
                <w:szCs w:val="24"/>
              </w:rPr>
              <w:t xml:space="preserve">（二）新建、改建、扩建污水不能接入城镇污水集中处理设施的建设项目和经营项目； </w:t>
            </w:r>
          </w:p>
          <w:p>
            <w:pPr>
              <w:pStyle w:val="35"/>
              <w:adjustRightInd w:val="0"/>
              <w:snapToGrid w:val="0"/>
              <w:spacing w:line="360" w:lineRule="auto"/>
              <w:ind w:leftChars="0" w:firstLine="480"/>
              <w:rPr>
                <w:sz w:val="24"/>
                <w:szCs w:val="24"/>
              </w:rPr>
            </w:pPr>
            <w:r>
              <w:rPr>
                <w:sz w:val="24"/>
                <w:szCs w:val="24"/>
              </w:rPr>
              <w:t xml:space="preserve">（三）除污染治理项目外，在工业园区以外新建、扩建工业项目； </w:t>
            </w:r>
          </w:p>
          <w:p>
            <w:pPr>
              <w:pStyle w:val="35"/>
              <w:adjustRightInd w:val="0"/>
              <w:snapToGrid w:val="0"/>
              <w:spacing w:line="360" w:lineRule="auto"/>
              <w:ind w:leftChars="0" w:firstLine="480"/>
              <w:rPr>
                <w:sz w:val="24"/>
                <w:szCs w:val="24"/>
              </w:rPr>
            </w:pPr>
            <w:r>
              <w:rPr>
                <w:sz w:val="24"/>
                <w:szCs w:val="24"/>
              </w:rPr>
              <w:t xml:space="preserve">（四）法律、法规禁止的其他建设行为。 </w:t>
            </w:r>
          </w:p>
          <w:p>
            <w:pPr>
              <w:pStyle w:val="35"/>
              <w:adjustRightInd w:val="0"/>
              <w:snapToGrid w:val="0"/>
              <w:spacing w:line="360" w:lineRule="auto"/>
              <w:ind w:leftChars="0" w:firstLine="480"/>
              <w:rPr>
                <w:sz w:val="24"/>
                <w:szCs w:val="24"/>
              </w:rPr>
            </w:pPr>
            <w:r>
              <w:rPr>
                <w:sz w:val="24"/>
                <w:szCs w:val="24"/>
              </w:rPr>
              <w:t xml:space="preserve">《无锡市水环境保护条例》第二十八条规定：在符合接管标准和具备处理能力的条件下，城镇污水集中处理设施运营单位应当接纳除含有重金属和不易生物降解的有毒污染物外的所有污水。 </w:t>
            </w:r>
          </w:p>
          <w:p>
            <w:pPr>
              <w:pStyle w:val="35"/>
              <w:adjustRightInd w:val="0"/>
              <w:snapToGrid w:val="0"/>
              <w:spacing w:line="360" w:lineRule="auto"/>
              <w:ind w:leftChars="0" w:firstLine="480"/>
              <w:rPr>
                <w:sz w:val="24"/>
                <w:szCs w:val="24"/>
              </w:rPr>
            </w:pPr>
            <w:r>
              <w:rPr>
                <w:sz w:val="24"/>
                <w:szCs w:val="24"/>
              </w:rPr>
              <w:t xml:space="preserve">城镇污水集中处理设施运营单位一般不得通过管网以外方式接纳污水；不具备接管条件或者有其他特殊原因，需要通过管网以外方式接纳污水的，应当经市政行政主管部门批准。 </w:t>
            </w:r>
          </w:p>
          <w:p>
            <w:pPr>
              <w:pStyle w:val="35"/>
              <w:adjustRightInd w:val="0"/>
              <w:snapToGrid w:val="0"/>
              <w:spacing w:line="360" w:lineRule="auto"/>
              <w:ind w:leftChars="0" w:firstLine="480"/>
              <w:rPr>
                <w:sz w:val="24"/>
                <w:szCs w:val="24"/>
              </w:rPr>
            </w:pPr>
            <w:r>
              <w:rPr>
                <w:sz w:val="24"/>
                <w:szCs w:val="24"/>
              </w:rPr>
              <w:t>根据排水方案审查意见书，项目所在地已接管</w:t>
            </w:r>
            <w:r>
              <w:rPr>
                <w:rFonts w:hint="eastAsia"/>
                <w:sz w:val="24"/>
                <w:szCs w:val="24"/>
                <w:lang w:eastAsia="zh-CN"/>
              </w:rPr>
              <w:t>。本项目无生产废水排放，废水主要为职工生活污水，</w:t>
            </w:r>
            <w:r>
              <w:rPr>
                <w:sz w:val="24"/>
                <w:szCs w:val="24"/>
              </w:rPr>
              <w:t>生活污水接管至</w:t>
            </w:r>
            <w:r>
              <w:rPr>
                <w:rFonts w:hint="eastAsia"/>
                <w:sz w:val="24"/>
                <w:szCs w:val="22"/>
                <w:lang w:eastAsia="zh-CN"/>
              </w:rPr>
              <w:t>城市污水处理厂</w:t>
            </w:r>
            <w:r>
              <w:rPr>
                <w:sz w:val="24"/>
                <w:szCs w:val="24"/>
              </w:rPr>
              <w:t xml:space="preserve">集中处理。因此，符合《无锡市水环境保护条例》第十六条和二十八条相关规定。 </w:t>
            </w:r>
          </w:p>
          <w:p>
            <w:pPr>
              <w:pStyle w:val="35"/>
              <w:adjustRightInd w:val="0"/>
              <w:snapToGrid w:val="0"/>
              <w:spacing w:line="360" w:lineRule="auto"/>
              <w:ind w:leftChars="0" w:firstLine="482"/>
              <w:rPr>
                <w:b/>
                <w:bCs/>
                <w:sz w:val="24"/>
                <w:szCs w:val="24"/>
              </w:rPr>
            </w:pPr>
            <w:r>
              <w:rPr>
                <w:rFonts w:hint="eastAsia"/>
                <w:b/>
                <w:bCs/>
                <w:sz w:val="24"/>
                <w:szCs w:val="24"/>
                <w:lang w:val="en-US" w:eastAsia="zh-CN"/>
              </w:rPr>
              <w:t>5、</w:t>
            </w:r>
            <w:r>
              <w:rPr>
                <w:b/>
                <w:bCs/>
                <w:sz w:val="24"/>
                <w:szCs w:val="24"/>
              </w:rPr>
              <w:t>《太湖流域管理条例》相符性分析</w:t>
            </w:r>
          </w:p>
          <w:p>
            <w:pPr>
              <w:pStyle w:val="35"/>
              <w:adjustRightInd w:val="0"/>
              <w:snapToGrid w:val="0"/>
              <w:spacing w:line="360" w:lineRule="auto"/>
              <w:ind w:leftChars="0" w:firstLine="480"/>
              <w:rPr>
                <w:sz w:val="24"/>
                <w:szCs w:val="22"/>
              </w:rPr>
            </w:pPr>
            <w:r>
              <w:rPr>
                <w:sz w:val="24"/>
                <w:szCs w:val="22"/>
              </w:rPr>
              <w:t>《太湖流域管理条例》禁止在太湖流域设置不符合国家产业政策和水环境综合治理要求的造纸、制革、酒精、淀粉、冶金、酿造、印染、电镀等排放水污染物的生产项目， 其中第二十九条规定：新孟河、望虞河以外的其他主要入太湖河道，自河口 1万 m上溯 至 5万 m河道岸线内及其岸线两侧各 1000m范围内，禁止下列行为：（一）新建、扩建化工、医药生产项目；（二）新建、扩建污水集中处理设施排污口以外的排污口；（三） 扩大水产养殖规模。第三十条规定：太湖岸线内和岸线周边 5000m范围内，淀山湖岸线 内和岸线周边 2000m范围内，太浦河、新孟河、望虞河岸线内和岸线两侧各 1000m范围内，其他主要入太湖河道自河口上溯至 1万 m河道岸线内及其岸线两侧各 1000m范围内，禁止下列行为：（一）设置剧毒物质、危险化学品的贮存、输送设施和废物回收场、垃圾场；（二）设置水上餐饮经营设施；（三）新建、扩建高尔夫球场；（四）新 建、扩建畜禽养殖场；（五）新建、扩建向水体排放污染物的建设项目；（六）本条例第二十九条规定的行为。</w:t>
            </w:r>
          </w:p>
          <w:p>
            <w:pPr>
              <w:pStyle w:val="35"/>
              <w:adjustRightInd w:val="0"/>
              <w:snapToGrid w:val="0"/>
              <w:spacing w:line="360" w:lineRule="auto"/>
              <w:ind w:leftChars="0" w:firstLine="480"/>
              <w:rPr>
                <w:sz w:val="24"/>
                <w:szCs w:val="22"/>
              </w:rPr>
            </w:pPr>
            <w:r>
              <w:rPr>
                <w:sz w:val="24"/>
                <w:szCs w:val="22"/>
              </w:rPr>
              <w:t>本项目属于</w:t>
            </w:r>
            <w:r>
              <w:rPr>
                <w:rFonts w:hint="eastAsia"/>
                <w:sz w:val="24"/>
                <w:lang w:eastAsia="zh-CN"/>
              </w:rPr>
              <w:t>太阳能光伏材料制造</w:t>
            </w:r>
            <w:r>
              <w:rPr>
                <w:sz w:val="24"/>
                <w:szCs w:val="22"/>
              </w:rPr>
              <w:t>，不属于造纸、制革、酒精、淀粉、冶金、酿造、印染、电镀等生产项目，且项目无含磷、含氮污染物的生产废水产生及排放，满足《太湖流域管理条例》第二十九条及第三十条的规定，因此项目的建设与《太湖流域管理条例》的相关规定是相符的。</w:t>
            </w:r>
          </w:p>
          <w:p>
            <w:pPr>
              <w:pStyle w:val="35"/>
              <w:adjustRightInd w:val="0"/>
              <w:snapToGrid w:val="0"/>
              <w:spacing w:line="360" w:lineRule="auto"/>
              <w:ind w:leftChars="0" w:firstLine="482"/>
              <w:rPr>
                <w:b/>
                <w:bCs/>
                <w:sz w:val="24"/>
                <w:szCs w:val="22"/>
              </w:rPr>
            </w:pPr>
            <w:r>
              <w:rPr>
                <w:rFonts w:hint="eastAsia"/>
                <w:b/>
                <w:bCs/>
                <w:sz w:val="24"/>
                <w:szCs w:val="22"/>
              </w:rPr>
              <w:t>6、</w:t>
            </w:r>
            <w:r>
              <w:rPr>
                <w:b/>
                <w:bCs/>
                <w:sz w:val="24"/>
                <w:szCs w:val="22"/>
              </w:rPr>
              <w:t>与国务院关于印发打赢蓝天保卫战三年行动计划相符性</w:t>
            </w:r>
          </w:p>
          <w:p>
            <w:pPr>
              <w:pStyle w:val="35"/>
              <w:adjustRightInd w:val="0"/>
              <w:snapToGrid w:val="0"/>
              <w:spacing w:line="360" w:lineRule="auto"/>
              <w:ind w:leftChars="0" w:firstLine="482"/>
              <w:jc w:val="center"/>
              <w:rPr>
                <w:b/>
                <w:bCs/>
                <w:sz w:val="24"/>
                <w:szCs w:val="22"/>
              </w:rPr>
            </w:pPr>
            <w:r>
              <w:rPr>
                <w:b/>
                <w:bCs/>
                <w:sz w:val="24"/>
                <w:szCs w:val="22"/>
              </w:rPr>
              <w:t>表1-</w:t>
            </w:r>
            <w:r>
              <w:rPr>
                <w:rFonts w:hint="eastAsia"/>
                <w:b/>
                <w:bCs/>
                <w:sz w:val="24"/>
                <w:szCs w:val="22"/>
                <w:lang w:val="en-US" w:eastAsia="zh-CN"/>
              </w:rPr>
              <w:t>4</w:t>
            </w:r>
            <w:r>
              <w:rPr>
                <w:b/>
                <w:bCs/>
                <w:sz w:val="24"/>
                <w:szCs w:val="22"/>
              </w:rPr>
              <w:t xml:space="preserve"> 本项目与打赢蓝天保卫战三年行动计划的相符性分析表</w:t>
            </w:r>
          </w:p>
          <w:tbl>
            <w:tblPr>
              <w:tblStyle w:val="3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86"/>
              <w:gridCol w:w="3315"/>
              <w:gridCol w:w="2247"/>
              <w:gridCol w:w="5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pct"/>
                  <w:noWrap w:val="0"/>
                  <w:vAlign w:val="center"/>
                </w:tcPr>
                <w:p>
                  <w:pPr>
                    <w:adjustRightInd w:val="0"/>
                    <w:snapToGrid w:val="0"/>
                    <w:jc w:val="center"/>
                    <w:rPr>
                      <w:b/>
                      <w:bCs/>
                      <w:szCs w:val="21"/>
                    </w:rPr>
                  </w:pPr>
                  <w:r>
                    <w:rPr>
                      <w:b/>
                      <w:bCs/>
                      <w:szCs w:val="21"/>
                    </w:rPr>
                    <w:t>文件</w:t>
                  </w:r>
                  <w:r>
                    <w:rPr>
                      <w:rFonts w:hint="eastAsia"/>
                      <w:b/>
                      <w:bCs/>
                      <w:szCs w:val="21"/>
                    </w:rPr>
                    <w:t>名称</w:t>
                  </w:r>
                </w:p>
              </w:tc>
              <w:tc>
                <w:tcPr>
                  <w:tcW w:w="2227" w:type="pct"/>
                  <w:noWrap w:val="0"/>
                  <w:vAlign w:val="center"/>
                </w:tcPr>
                <w:p>
                  <w:pPr>
                    <w:adjustRightInd w:val="0"/>
                    <w:snapToGrid w:val="0"/>
                    <w:jc w:val="center"/>
                    <w:rPr>
                      <w:b/>
                      <w:bCs/>
                      <w:szCs w:val="21"/>
                    </w:rPr>
                  </w:pPr>
                  <w:r>
                    <w:rPr>
                      <w:b/>
                      <w:bCs/>
                      <w:szCs w:val="21"/>
                    </w:rPr>
                    <w:t>文件要求</w:t>
                  </w:r>
                </w:p>
              </w:tc>
              <w:tc>
                <w:tcPr>
                  <w:tcW w:w="1292" w:type="pct"/>
                  <w:noWrap w:val="0"/>
                  <w:vAlign w:val="center"/>
                </w:tcPr>
                <w:p>
                  <w:pPr>
                    <w:adjustRightInd w:val="0"/>
                    <w:snapToGrid w:val="0"/>
                    <w:jc w:val="center"/>
                    <w:rPr>
                      <w:b/>
                      <w:bCs/>
                      <w:szCs w:val="21"/>
                    </w:rPr>
                  </w:pPr>
                  <w:r>
                    <w:rPr>
                      <w:rFonts w:hint="eastAsia"/>
                      <w:b/>
                      <w:bCs/>
                      <w:szCs w:val="21"/>
                    </w:rPr>
                    <w:t>本</w:t>
                  </w:r>
                  <w:r>
                    <w:rPr>
                      <w:b/>
                      <w:bCs/>
                      <w:szCs w:val="21"/>
                    </w:rPr>
                    <w:t>项目情况</w:t>
                  </w:r>
                </w:p>
              </w:tc>
              <w:tc>
                <w:tcPr>
                  <w:tcW w:w="448" w:type="pct"/>
                  <w:noWrap w:val="0"/>
                  <w:vAlign w:val="center"/>
                </w:tcPr>
                <w:p>
                  <w:pPr>
                    <w:adjustRightInd w:val="0"/>
                    <w:snapToGrid w:val="0"/>
                    <w:jc w:val="center"/>
                    <w:rPr>
                      <w:b/>
                      <w:bCs/>
                      <w:szCs w:val="21"/>
                    </w:rPr>
                  </w:pPr>
                  <w:r>
                    <w:rPr>
                      <w:b/>
                      <w:bCs/>
                      <w:szCs w:val="21"/>
                    </w:rPr>
                    <w:t>符合情况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pct"/>
                  <w:noWrap w:val="0"/>
                  <w:vAlign w:val="center"/>
                </w:tcPr>
                <w:p>
                  <w:pPr>
                    <w:adjustRightInd w:val="0"/>
                    <w:snapToGrid w:val="0"/>
                    <w:jc w:val="center"/>
                    <w:rPr>
                      <w:szCs w:val="21"/>
                    </w:rPr>
                  </w:pPr>
                  <w:r>
                    <w:rPr>
                      <w:szCs w:val="21"/>
                    </w:rPr>
                    <w:t>《江苏省打赢蓝天保卫战三年行动计划实施方案》（苏政发〔2018〕122号）</w:t>
                  </w:r>
                </w:p>
              </w:tc>
              <w:tc>
                <w:tcPr>
                  <w:tcW w:w="2227" w:type="pct"/>
                  <w:noWrap w:val="0"/>
                  <w:vAlign w:val="center"/>
                </w:tcPr>
                <w:p>
                  <w:pPr>
                    <w:adjustRightInd w:val="0"/>
                    <w:snapToGrid w:val="0"/>
                    <w:jc w:val="center"/>
                    <w:rPr>
                      <w:szCs w:val="21"/>
                    </w:rPr>
                  </w:pPr>
                  <w:r>
                    <w:rPr>
                      <w:szCs w:val="21"/>
                    </w:rPr>
                    <w:t>全面开展</w:t>
                  </w:r>
                  <w:r>
                    <w:rPr>
                      <w:rFonts w:hint="eastAsia"/>
                      <w:szCs w:val="21"/>
                      <w:lang w:eastAsia="zh-CN"/>
                    </w:rPr>
                    <w:t>“</w:t>
                  </w:r>
                  <w:r>
                    <w:rPr>
                      <w:szCs w:val="21"/>
                    </w:rPr>
                    <w:t>散乱污</w:t>
                  </w:r>
                  <w:r>
                    <w:rPr>
                      <w:rFonts w:hint="eastAsia"/>
                      <w:szCs w:val="21"/>
                      <w:lang w:eastAsia="zh-CN"/>
                    </w:rPr>
                    <w:t>“</w:t>
                  </w:r>
                  <w:r>
                    <w:rPr>
                      <w:szCs w:val="21"/>
                    </w:rPr>
                    <w:t>企业及集群综合整治行动，根据产业政策、产业布局规划，以及土地、环 保、质量、安全、能耗等要求，制定</w:t>
                  </w:r>
                  <w:r>
                    <w:rPr>
                      <w:rFonts w:hint="eastAsia"/>
                      <w:szCs w:val="21"/>
                      <w:lang w:eastAsia="zh-CN"/>
                    </w:rPr>
                    <w:t>“</w:t>
                  </w:r>
                  <w:r>
                    <w:rPr>
                      <w:szCs w:val="21"/>
                    </w:rPr>
                    <w:t>散乱污</w:t>
                  </w:r>
                  <w:r>
                    <w:rPr>
                      <w:rFonts w:hint="eastAsia"/>
                      <w:szCs w:val="21"/>
                      <w:lang w:eastAsia="zh-CN"/>
                    </w:rPr>
                    <w:t>“</w:t>
                  </w:r>
                  <w:r>
                    <w:rPr>
                      <w:szCs w:val="21"/>
                    </w:rPr>
                    <w:t xml:space="preserve"> 企业及集群整治工作要求。禁止建设生产和使用高VOCs含量的溶剂型涂 料、油墨、胶粘剂等项目。推进重点行业污染治理升级改造。重点区域二氧化硫、氮氧化物、颗粒物、挥发性有机物 （VOCs）全面执行大气污染物特别排放限值。</w:t>
                  </w:r>
                </w:p>
              </w:tc>
              <w:tc>
                <w:tcPr>
                  <w:tcW w:w="1292" w:type="pct"/>
                  <w:noWrap w:val="0"/>
                  <w:vAlign w:val="center"/>
                </w:tcPr>
                <w:p>
                  <w:pPr>
                    <w:adjustRightInd w:val="0"/>
                    <w:snapToGrid w:val="0"/>
                    <w:jc w:val="center"/>
                    <w:rPr>
                      <w:rFonts w:hint="eastAsia" w:eastAsia="宋体"/>
                      <w:szCs w:val="21"/>
                      <w:lang w:eastAsia="zh-CN"/>
                    </w:rPr>
                  </w:pPr>
                  <w:r>
                    <w:rPr>
                      <w:rFonts w:hint="eastAsia"/>
                      <w:szCs w:val="21"/>
                    </w:rPr>
                    <w:t>本</w:t>
                  </w:r>
                  <w:r>
                    <w:rPr>
                      <w:szCs w:val="21"/>
                    </w:rPr>
                    <w:t>项目产生的废气经</w:t>
                  </w:r>
                  <w:r>
                    <w:rPr>
                      <w:rFonts w:hint="eastAsia"/>
                      <w:szCs w:val="21"/>
                      <w:lang w:eastAsia="zh-CN"/>
                    </w:rPr>
                    <w:t>“</w:t>
                  </w:r>
                  <w:r>
                    <w:rPr>
                      <w:rFonts w:hint="eastAsia"/>
                      <w:szCs w:val="21"/>
                      <w:lang w:val="en-US" w:eastAsia="zh-CN"/>
                    </w:rPr>
                    <w:t>集气罩+</w:t>
                  </w:r>
                  <w:r>
                    <w:rPr>
                      <w:rFonts w:hint="eastAsia"/>
                      <w:szCs w:val="21"/>
                    </w:rPr>
                    <w:t>二级活性炭吸附装置</w:t>
                  </w:r>
                  <w:r>
                    <w:rPr>
                      <w:rFonts w:hint="eastAsia"/>
                      <w:szCs w:val="21"/>
                      <w:lang w:eastAsia="zh-CN"/>
                    </w:rPr>
                    <w:t>”</w:t>
                  </w:r>
                  <w:r>
                    <w:rPr>
                      <w:szCs w:val="21"/>
                    </w:rPr>
                    <w:t>处理后通过15m高排气筒排放，</w:t>
                  </w:r>
                  <w:r>
                    <w:rPr>
                      <w:rFonts w:hint="eastAsia"/>
                      <w:szCs w:val="21"/>
                      <w:lang w:val="en-US" w:eastAsia="zh-CN"/>
                    </w:rPr>
                    <w:t>VOCs</w:t>
                  </w:r>
                  <w:r>
                    <w:rPr>
                      <w:rFonts w:hint="eastAsia" w:ascii="Times New Roman" w:hAnsi="Times New Roman" w:cs="Times New Roman"/>
                      <w:szCs w:val="21"/>
                      <w:lang w:eastAsia="zh-CN"/>
                    </w:rPr>
                    <w:t>参照</w:t>
                  </w:r>
                  <w:r>
                    <w:rPr>
                      <w:rFonts w:hint="eastAsia" w:ascii="Times New Roman" w:hAnsi="Times New Roman" w:cs="Times New Roman"/>
                      <w:szCs w:val="21"/>
                    </w:rPr>
                    <w:t>执</w:t>
                  </w:r>
                  <w:r>
                    <w:rPr>
                      <w:rFonts w:hint="eastAsia"/>
                      <w:szCs w:val="21"/>
                      <w:lang w:eastAsia="zh-CN"/>
                    </w:rPr>
                    <w:t>行江</w:t>
                  </w:r>
                  <w:r>
                    <w:rPr>
                      <w:rFonts w:hint="eastAsia"/>
                      <w:szCs w:val="21"/>
                    </w:rPr>
                    <w:t>苏省地方标准《大气污染物综合排放标准》（DB32/4041—2021）中</w:t>
                  </w:r>
                  <w:r>
                    <w:rPr>
                      <w:rFonts w:hint="eastAsia"/>
                      <w:szCs w:val="21"/>
                      <w:lang w:eastAsia="zh-CN"/>
                    </w:rPr>
                    <w:t>表</w:t>
                  </w:r>
                  <w:r>
                    <w:rPr>
                      <w:rFonts w:hint="eastAsia"/>
                      <w:szCs w:val="21"/>
                      <w:lang w:val="en-US" w:eastAsia="zh-CN"/>
                    </w:rPr>
                    <w:t>1</w:t>
                  </w:r>
                  <w:r>
                    <w:rPr>
                      <w:rFonts w:hint="eastAsia"/>
                      <w:szCs w:val="21"/>
                    </w:rPr>
                    <w:t>排放限值</w:t>
                  </w:r>
                  <w:r>
                    <w:rPr>
                      <w:rFonts w:hint="eastAsia"/>
                      <w:szCs w:val="21"/>
                      <w:lang w:eastAsia="zh-CN"/>
                    </w:rPr>
                    <w:t>。</w:t>
                  </w:r>
                </w:p>
              </w:tc>
              <w:tc>
                <w:tcPr>
                  <w:tcW w:w="448"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pct"/>
                  <w:noWrap w:val="0"/>
                  <w:vAlign w:val="center"/>
                </w:tcPr>
                <w:p>
                  <w:pPr>
                    <w:adjustRightInd w:val="0"/>
                    <w:snapToGrid w:val="0"/>
                    <w:jc w:val="center"/>
                    <w:rPr>
                      <w:szCs w:val="21"/>
                    </w:rPr>
                  </w:pPr>
                  <w:r>
                    <w:rPr>
                      <w:szCs w:val="21"/>
                    </w:rPr>
                    <w:t>《市政府关于印发无锡市打赢蓝天保卫战三年行动计划实施方案的通知》（锡政发[2018]45号）</w:t>
                  </w:r>
                </w:p>
              </w:tc>
              <w:tc>
                <w:tcPr>
                  <w:tcW w:w="2227" w:type="pct"/>
                  <w:noWrap w:val="0"/>
                  <w:vAlign w:val="center"/>
                </w:tcPr>
                <w:p>
                  <w:pPr>
                    <w:adjustRightInd w:val="0"/>
                    <w:snapToGrid w:val="0"/>
                    <w:jc w:val="center"/>
                    <w:rPr>
                      <w:szCs w:val="21"/>
                    </w:rPr>
                  </w:pPr>
                  <w:r>
                    <w:rPr>
                      <w:szCs w:val="21"/>
                    </w:rPr>
                    <w:t>大力培育绿色环保产业。壮大绿色产业规模，发展节能环保产业、清洁生产产业、清洁能源产业，培育发展新动能。以宜兴环保产业园为重点，积极支持培育一批具有国际竞争力的大型节能环保龙头企业，支持企业技术创新能力建设，加快掌握重大关键核心技术，促进大气治理重点技术装备等产业化发展和推广应用。积极推行节能环保整体解决方案，加快发展合同能源管理、环境污染第三方治理和社会化监测等新业态，培育一批高水平专业化节能环保服务公司</w:t>
                  </w:r>
                </w:p>
              </w:tc>
              <w:tc>
                <w:tcPr>
                  <w:tcW w:w="1292" w:type="pct"/>
                  <w:noWrap w:val="0"/>
                  <w:vAlign w:val="center"/>
                </w:tcPr>
                <w:p>
                  <w:pPr>
                    <w:adjustRightInd w:val="0"/>
                    <w:snapToGrid w:val="0"/>
                    <w:jc w:val="center"/>
                    <w:rPr>
                      <w:szCs w:val="21"/>
                    </w:rPr>
                  </w:pPr>
                  <w:r>
                    <w:rPr>
                      <w:rFonts w:hint="eastAsia" w:ascii="Times New Roman" w:hAnsi="Times New Roman" w:eastAsia="宋体" w:cs="Times New Roman"/>
                      <w:kern w:val="0"/>
                      <w:szCs w:val="21"/>
                    </w:rPr>
                    <w:t>本项目属于</w:t>
                  </w:r>
                  <w:r>
                    <w:rPr>
                      <w:rFonts w:hint="eastAsia" w:ascii="Times New Roman" w:hAnsi="Times New Roman" w:eastAsia="宋体" w:cs="Times New Roman"/>
                      <w:kern w:val="0"/>
                      <w:szCs w:val="21"/>
                      <w:lang w:eastAsia="zh-CN"/>
                    </w:rPr>
                    <w:t>太阳能光伏材料制造业</w:t>
                  </w:r>
                  <w:r>
                    <w:rPr>
                      <w:rFonts w:hint="eastAsia" w:ascii="Times New Roman" w:hAnsi="Times New Roman" w:eastAsia="宋体" w:cs="Times New Roman"/>
                      <w:kern w:val="0"/>
                      <w:szCs w:val="21"/>
                    </w:rPr>
                    <w:t>，无生产废水排放，生活污水接管；按照要求控制有组织排放，对于固废和危废进行合理有效处置，最大限度减少</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rPr>
                    <w:t>三废</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rPr>
                    <w:t>排放</w:t>
                  </w:r>
                </w:p>
              </w:tc>
              <w:tc>
                <w:tcPr>
                  <w:tcW w:w="448" w:type="pct"/>
                  <w:noWrap w:val="0"/>
                  <w:vAlign w:val="center"/>
                </w:tcPr>
                <w:p>
                  <w:pPr>
                    <w:adjustRightInd w:val="0"/>
                    <w:snapToGrid w:val="0"/>
                    <w:jc w:val="center"/>
                    <w:rPr>
                      <w:szCs w:val="21"/>
                    </w:rPr>
                  </w:pPr>
                  <w:r>
                    <w:rPr>
                      <w:szCs w:val="21"/>
                    </w:rPr>
                    <w:t>符合</w:t>
                  </w:r>
                </w:p>
              </w:tc>
            </w:tr>
          </w:tbl>
          <w:p>
            <w:pPr>
              <w:pStyle w:val="35"/>
              <w:adjustRightInd w:val="0"/>
              <w:snapToGrid w:val="0"/>
              <w:spacing w:line="360" w:lineRule="auto"/>
              <w:ind w:leftChars="0" w:firstLine="0" w:firstLineChars="0"/>
              <w:rPr>
                <w:b/>
                <w:bCs/>
                <w:sz w:val="24"/>
                <w:szCs w:val="22"/>
              </w:rPr>
            </w:pPr>
            <w:r>
              <w:rPr>
                <w:b/>
                <w:bCs/>
                <w:sz w:val="24"/>
                <w:szCs w:val="22"/>
              </w:rPr>
              <w:t>说明：其他与项目不相关的条款未罗列在本表格中。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b w:val="0"/>
                <w:bCs w:val="0"/>
                <w:kern w:val="2"/>
                <w:sz w:val="24"/>
                <w:szCs w:val="22"/>
                <w:lang w:val="en-US" w:eastAsia="zh-CN" w:bidi="ar-SA"/>
              </w:rPr>
              <w:t>综上所述，本项目符合《江苏省打赢蓝天保卫战三年行动计划实施方案》（苏政发〔2018〕122号）及《市政府关于印发无锡市打赢蓝天保卫战三年行动计划实施方案的通知》（锡政发[2018]45号）的相关规定。</w:t>
            </w:r>
          </w:p>
          <w:p>
            <w:pPr>
              <w:pStyle w:val="35"/>
              <w:adjustRightInd w:val="0"/>
              <w:snapToGrid w:val="0"/>
              <w:spacing w:line="360" w:lineRule="auto"/>
              <w:ind w:leftChars="0" w:firstLine="482"/>
              <w:rPr>
                <w:b/>
                <w:bCs/>
                <w:sz w:val="24"/>
                <w:szCs w:val="22"/>
              </w:rPr>
            </w:pPr>
            <w:r>
              <w:rPr>
                <w:rFonts w:hint="eastAsia"/>
                <w:b/>
                <w:bCs/>
                <w:sz w:val="24"/>
                <w:szCs w:val="22"/>
                <w:lang w:val="en-US" w:eastAsia="zh-CN"/>
              </w:rPr>
              <w:t>7</w:t>
            </w:r>
            <w:r>
              <w:rPr>
                <w:rFonts w:hint="eastAsia"/>
                <w:b/>
                <w:bCs/>
                <w:sz w:val="24"/>
                <w:szCs w:val="22"/>
              </w:rPr>
              <w:t>、</w:t>
            </w:r>
            <w:r>
              <w:rPr>
                <w:b/>
                <w:bCs/>
                <w:sz w:val="24"/>
                <w:szCs w:val="22"/>
              </w:rPr>
              <w:t>与“二六三”文件相符性</w:t>
            </w:r>
          </w:p>
          <w:p>
            <w:pPr>
              <w:adjustRightInd w:val="0"/>
              <w:snapToGrid w:val="0"/>
              <w:spacing w:line="360" w:lineRule="auto"/>
              <w:ind w:firstLine="480" w:firstLineChars="200"/>
              <w:jc w:val="left"/>
              <w:rPr>
                <w:bCs/>
                <w:snapToGrid w:val="0"/>
                <w:sz w:val="24"/>
              </w:rPr>
            </w:pPr>
            <w:r>
              <w:rPr>
                <w:snapToGrid w:val="0"/>
                <w:sz w:val="24"/>
              </w:rPr>
              <w:t>根据</w:t>
            </w:r>
            <w:r>
              <w:rPr>
                <w:rFonts w:hint="eastAsia"/>
                <w:snapToGrid w:val="0"/>
                <w:sz w:val="24"/>
              </w:rPr>
              <w:t>《</w:t>
            </w:r>
            <w:r>
              <w:rPr>
                <w:snapToGrid w:val="0"/>
                <w:sz w:val="24"/>
              </w:rPr>
              <w:t>中共江苏省委江苏省人民政府关于印发</w:t>
            </w:r>
            <w:r>
              <w:rPr>
                <w:rFonts w:hint="eastAsia"/>
                <w:snapToGrid w:val="0"/>
                <w:sz w:val="24"/>
              </w:rPr>
              <w:t>&lt;</w:t>
            </w:r>
            <w:r>
              <w:rPr>
                <w:snapToGrid w:val="0"/>
                <w:sz w:val="24"/>
              </w:rPr>
              <w:t>两减六治三提升专项行动方案</w:t>
            </w:r>
            <w:r>
              <w:rPr>
                <w:rFonts w:hint="eastAsia"/>
                <w:snapToGrid w:val="0"/>
                <w:sz w:val="24"/>
              </w:rPr>
              <w:t>&gt;</w:t>
            </w:r>
            <w:r>
              <w:rPr>
                <w:snapToGrid w:val="0"/>
                <w:sz w:val="24"/>
              </w:rPr>
              <w:t>的通知</w:t>
            </w:r>
            <w:r>
              <w:rPr>
                <w:rFonts w:hint="eastAsia"/>
                <w:snapToGrid w:val="0"/>
                <w:sz w:val="24"/>
              </w:rPr>
              <w:t>》</w:t>
            </w:r>
            <w:r>
              <w:rPr>
                <w:snapToGrid w:val="0"/>
                <w:sz w:val="24"/>
              </w:rPr>
              <w:t>（苏发[2016]47号）中江苏省挥发性有机物污染治理专项行动实施方案：</w:t>
            </w:r>
            <w:r>
              <w:rPr>
                <w:bCs/>
                <w:snapToGrid w:val="0"/>
                <w:sz w:val="24"/>
              </w:rPr>
              <w:t>包装印刷、集装箱、交通工具、机械设备、人造板、家具、船舶制造等行业，全面使用低VOCs含量的涂料、胶黏剂、清洗剂、油墨替代原有的有机溶剂。集装箱制造行业在整箱抛（喷）砂、箱内外涂装、底架涂装和木地板涂装等工序全面使用水性等低VOCs含量涂料替代。交通工具制造行业使用高固体分、水性、粉末、无溶剂型等低VOCs含量涂料替代。家具制造行业使用水性、紫外光固化、高固体分等低VOCs含量涂料替代溶剂型涂料。机械设备、钢结构制造行业使用高固体分等低VOCs含量涂料替代。包装印刷行业使用水性、醇溶性、大豆基、紫外光固化等低VOCs含量的油墨替代。人造板制造行业使用低（无）VOCs含量的胶黏剂替代。</w:t>
            </w:r>
          </w:p>
          <w:p>
            <w:pPr>
              <w:pStyle w:val="35"/>
              <w:adjustRightInd w:val="0"/>
              <w:snapToGrid w:val="0"/>
              <w:spacing w:line="360" w:lineRule="auto"/>
              <w:ind w:leftChars="0" w:firstLine="480"/>
              <w:rPr>
                <w:rFonts w:hint="eastAsia"/>
                <w:bCs/>
                <w:snapToGrid w:val="0"/>
                <w:sz w:val="24"/>
                <w:lang w:eastAsia="zh-CN"/>
              </w:rPr>
            </w:pPr>
            <w:r>
              <w:rPr>
                <w:rFonts w:hint="eastAsia"/>
                <w:bCs/>
                <w:snapToGrid w:val="0"/>
                <w:sz w:val="24"/>
                <w:lang w:eastAsia="zh-CN"/>
              </w:rPr>
              <w:t>本项目行业类别为特种玻璃制造，不属于</w:t>
            </w:r>
            <w:r>
              <w:rPr>
                <w:bCs/>
                <w:snapToGrid w:val="0"/>
                <w:sz w:val="24"/>
              </w:rPr>
              <w:t>包装印刷、集装箱、交通工具、机械设备、人造板、家具、船舶制造等行业</w:t>
            </w:r>
            <w:r>
              <w:rPr>
                <w:rFonts w:hint="eastAsia"/>
                <w:bCs/>
                <w:snapToGrid w:val="0"/>
                <w:sz w:val="24"/>
                <w:lang w:eastAsia="zh-CN"/>
              </w:rPr>
              <w:t>。</w:t>
            </w:r>
          </w:p>
          <w:p>
            <w:pPr>
              <w:pStyle w:val="35"/>
              <w:adjustRightInd w:val="0"/>
              <w:snapToGrid w:val="0"/>
              <w:spacing w:line="360" w:lineRule="auto"/>
              <w:ind w:leftChars="0" w:firstLine="480"/>
              <w:rPr>
                <w:bCs/>
                <w:snapToGrid w:val="0"/>
                <w:sz w:val="24"/>
              </w:rPr>
            </w:pPr>
            <w:r>
              <w:rPr>
                <w:rFonts w:hint="eastAsia"/>
                <w:bCs/>
                <w:snapToGrid w:val="0"/>
                <w:sz w:val="24"/>
                <w:lang w:eastAsia="zh-CN"/>
              </w:rPr>
              <w:t>本项目使用的釉料</w:t>
            </w:r>
            <w:r>
              <w:rPr>
                <w:rFonts w:hint="eastAsia"/>
                <w:bCs/>
                <w:snapToGrid w:val="0"/>
                <w:sz w:val="24"/>
                <w:lang w:val="en-US" w:eastAsia="zh-CN"/>
              </w:rPr>
              <w:t>VOCs含量只占2.2%，属于低VOCs含量，</w:t>
            </w:r>
            <w:r>
              <w:rPr>
                <w:bCs/>
                <w:snapToGrid w:val="0"/>
                <w:sz w:val="24"/>
              </w:rPr>
              <w:t>符合《</w:t>
            </w:r>
            <w:r>
              <w:rPr>
                <w:rFonts w:hint="eastAsia"/>
                <w:bCs/>
                <w:snapToGrid w:val="0"/>
                <w:sz w:val="24"/>
                <w:lang w:eastAsia="zh-CN"/>
              </w:rPr>
              <w:t>“</w:t>
            </w:r>
            <w:r>
              <w:rPr>
                <w:bCs/>
                <w:snapToGrid w:val="0"/>
                <w:sz w:val="24"/>
              </w:rPr>
              <w:t>两减六治三提升</w:t>
            </w:r>
            <w:r>
              <w:rPr>
                <w:rFonts w:hint="eastAsia"/>
                <w:bCs/>
                <w:snapToGrid w:val="0"/>
                <w:sz w:val="24"/>
                <w:lang w:eastAsia="zh-CN"/>
              </w:rPr>
              <w:t>“</w:t>
            </w:r>
            <w:r>
              <w:rPr>
                <w:bCs/>
                <w:snapToGrid w:val="0"/>
                <w:sz w:val="24"/>
              </w:rPr>
              <w:t>专项行动方案》</w:t>
            </w:r>
            <w:r>
              <w:rPr>
                <w:snapToGrid w:val="0"/>
                <w:sz w:val="24"/>
              </w:rPr>
              <w:t>（苏发[2016]47号）的</w:t>
            </w:r>
            <w:r>
              <w:rPr>
                <w:bCs/>
                <w:snapToGrid w:val="0"/>
                <w:sz w:val="24"/>
              </w:rPr>
              <w:t>要求。</w:t>
            </w:r>
          </w:p>
          <w:p>
            <w:pPr>
              <w:adjustRightInd w:val="0"/>
              <w:snapToGrid w:val="0"/>
              <w:spacing w:line="360" w:lineRule="auto"/>
              <w:ind w:firstLine="482" w:firstLineChars="200"/>
              <w:jc w:val="left"/>
              <w:rPr>
                <w:b/>
                <w:bCs/>
                <w:kern w:val="0"/>
                <w:sz w:val="24"/>
              </w:rPr>
            </w:pPr>
            <w:r>
              <w:rPr>
                <w:rFonts w:hint="eastAsia"/>
                <w:b/>
                <w:bCs/>
                <w:sz w:val="24"/>
                <w:lang w:val="en-US" w:eastAsia="zh-CN"/>
              </w:rPr>
              <w:t>8、</w:t>
            </w:r>
            <w:r>
              <w:rPr>
                <w:rFonts w:hint="eastAsia"/>
                <w:b/>
                <w:bCs/>
                <w:kern w:val="0"/>
                <w:sz w:val="24"/>
              </w:rPr>
              <w:t>挥发性有机物</w:t>
            </w:r>
            <w:r>
              <w:rPr>
                <w:b/>
                <w:bCs/>
                <w:kern w:val="0"/>
                <w:sz w:val="24"/>
              </w:rPr>
              <w:t>污染防治政策相符性分析</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Cs/>
                <w:kern w:val="0"/>
                <w:sz w:val="24"/>
              </w:rPr>
            </w:pPr>
            <w:r>
              <w:rPr>
                <w:b/>
                <w:bCs/>
                <w:kern w:val="0"/>
                <w:sz w:val="24"/>
              </w:rPr>
              <w:t>表</w:t>
            </w:r>
            <w:r>
              <w:rPr>
                <w:rFonts w:hint="eastAsia"/>
                <w:b/>
                <w:bCs/>
                <w:kern w:val="0"/>
                <w:sz w:val="24"/>
              </w:rPr>
              <w:t>1-</w:t>
            </w:r>
            <w:r>
              <w:rPr>
                <w:rFonts w:hint="eastAsia"/>
                <w:b/>
                <w:bCs/>
                <w:kern w:val="0"/>
                <w:sz w:val="24"/>
                <w:lang w:val="en-US" w:eastAsia="zh-CN"/>
              </w:rPr>
              <w:t xml:space="preserve">5 </w:t>
            </w:r>
            <w:r>
              <w:rPr>
                <w:rFonts w:hint="eastAsia"/>
                <w:b/>
                <w:bCs/>
                <w:kern w:val="0"/>
                <w:sz w:val="24"/>
              </w:rPr>
              <w:t>挥发性有机物</w:t>
            </w:r>
            <w:r>
              <w:rPr>
                <w:b/>
                <w:bCs/>
                <w:kern w:val="0"/>
                <w:sz w:val="24"/>
              </w:rPr>
              <w:t>污染防治政策相符性分析情况表</w:t>
            </w:r>
          </w:p>
          <w:tbl>
            <w:tblPr>
              <w:tblStyle w:val="36"/>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4410"/>
              <w:gridCol w:w="1131"/>
              <w:gridCol w:w="6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871" w:type="pct"/>
                  <w:noWrap w:val="0"/>
                  <w:vAlign w:val="center"/>
                </w:tcPr>
                <w:p>
                  <w:pPr>
                    <w:adjustRightInd w:val="0"/>
                    <w:snapToGrid w:val="0"/>
                    <w:jc w:val="center"/>
                    <w:rPr>
                      <w:b/>
                      <w:bCs/>
                      <w:szCs w:val="21"/>
                    </w:rPr>
                  </w:pPr>
                  <w:r>
                    <w:rPr>
                      <w:b/>
                      <w:bCs/>
                      <w:szCs w:val="21"/>
                    </w:rPr>
                    <w:t>文件</w:t>
                  </w:r>
                  <w:r>
                    <w:rPr>
                      <w:rFonts w:hint="eastAsia"/>
                      <w:b/>
                      <w:bCs/>
                      <w:szCs w:val="21"/>
                    </w:rPr>
                    <w:t>名称</w:t>
                  </w:r>
                </w:p>
              </w:tc>
              <w:tc>
                <w:tcPr>
                  <w:tcW w:w="2908" w:type="pct"/>
                  <w:noWrap w:val="0"/>
                  <w:vAlign w:val="center"/>
                </w:tcPr>
                <w:p>
                  <w:pPr>
                    <w:adjustRightInd w:val="0"/>
                    <w:snapToGrid w:val="0"/>
                    <w:jc w:val="center"/>
                    <w:rPr>
                      <w:b/>
                      <w:bCs/>
                      <w:szCs w:val="21"/>
                    </w:rPr>
                  </w:pPr>
                  <w:r>
                    <w:rPr>
                      <w:b/>
                      <w:bCs/>
                      <w:szCs w:val="21"/>
                    </w:rPr>
                    <w:t>文件要求</w:t>
                  </w:r>
                </w:p>
              </w:tc>
              <w:tc>
                <w:tcPr>
                  <w:tcW w:w="763" w:type="pct"/>
                  <w:noWrap w:val="0"/>
                  <w:vAlign w:val="center"/>
                </w:tcPr>
                <w:p>
                  <w:pPr>
                    <w:adjustRightInd w:val="0"/>
                    <w:snapToGrid w:val="0"/>
                    <w:jc w:val="center"/>
                    <w:rPr>
                      <w:b/>
                      <w:bCs/>
                      <w:szCs w:val="21"/>
                    </w:rPr>
                  </w:pPr>
                  <w:r>
                    <w:rPr>
                      <w:rFonts w:hint="eastAsia"/>
                      <w:b/>
                      <w:bCs/>
                      <w:szCs w:val="21"/>
                    </w:rPr>
                    <w:t>本</w:t>
                  </w:r>
                  <w:r>
                    <w:rPr>
                      <w:b/>
                      <w:bCs/>
                      <w:szCs w:val="21"/>
                    </w:rPr>
                    <w:t>项目情况</w:t>
                  </w:r>
                </w:p>
              </w:tc>
              <w:tc>
                <w:tcPr>
                  <w:tcW w:w="456" w:type="pct"/>
                  <w:noWrap w:val="0"/>
                  <w:vAlign w:val="center"/>
                </w:tcPr>
                <w:p>
                  <w:pPr>
                    <w:adjustRightInd w:val="0"/>
                    <w:snapToGrid w:val="0"/>
                    <w:jc w:val="center"/>
                    <w:rPr>
                      <w:b/>
                      <w:bCs/>
                      <w:szCs w:val="21"/>
                    </w:rPr>
                  </w:pPr>
                  <w:r>
                    <w:rPr>
                      <w:b/>
                      <w:bCs/>
                      <w:szCs w:val="21"/>
                    </w:rPr>
                    <w:t>符合情况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szCs w:val="21"/>
                    </w:rPr>
                  </w:pPr>
                  <w:r>
                    <w:rPr>
                      <w:bCs/>
                      <w:szCs w:val="21"/>
                    </w:rPr>
                    <w:t>《挥发性有机物无组织排放控制标准》</w:t>
                  </w:r>
                  <w:r>
                    <w:rPr>
                      <w:rFonts w:hint="eastAsia"/>
                      <w:bCs/>
                      <w:szCs w:val="21"/>
                    </w:rPr>
                    <w:t>（</w:t>
                  </w:r>
                  <w:r>
                    <w:rPr>
                      <w:bCs/>
                      <w:szCs w:val="21"/>
                    </w:rPr>
                    <w:t>GB 37822-2019</w:t>
                  </w:r>
                  <w:r>
                    <w:rPr>
                      <w:rFonts w:hint="eastAsia"/>
                      <w:bCs/>
                      <w:szCs w:val="21"/>
                    </w:rPr>
                    <w:t>）</w:t>
                  </w:r>
                </w:p>
              </w:tc>
              <w:tc>
                <w:tcPr>
                  <w:tcW w:w="2908" w:type="pct"/>
                  <w:noWrap w:val="0"/>
                  <w:vAlign w:val="center"/>
                </w:tcPr>
                <w:p>
                  <w:pPr>
                    <w:adjustRightInd w:val="0"/>
                    <w:snapToGrid w:val="0"/>
                    <w:jc w:val="center"/>
                    <w:rPr>
                      <w:szCs w:val="21"/>
                    </w:rPr>
                  </w:pPr>
                  <w:r>
                    <w:rPr>
                      <w:szCs w:val="21"/>
                    </w:rPr>
                    <w:t>液态VOCs物料应储存于密闭容器中，采用密闭管道输送或高位槽（罐）等给料方式投加、卸放，无法密闭投加的，应在密闭空间内操作；VOCs质量占比大于10%的产品使用过程应用密闭设备或在密闭空间操作，废气应排至收集处理系统；VOCs废气收集处理系统应在负压下运行、与生产工艺设备同步运行；VOCs废气排放应符合GB 16297或相关行业排放标准的要求；排气筒高度不低于15m，当执行不同排放控制要求的废气合并排气筒排放时，应在废气混合前进行监测并执行相应的排放控制要求</w:t>
                  </w:r>
                </w:p>
              </w:tc>
              <w:tc>
                <w:tcPr>
                  <w:tcW w:w="763" w:type="pct"/>
                  <w:vMerge w:val="restart"/>
                  <w:noWrap w:val="0"/>
                  <w:vAlign w:val="center"/>
                </w:tcPr>
                <w:p>
                  <w:pPr>
                    <w:adjustRightInd w:val="0"/>
                    <w:snapToGrid w:val="0"/>
                    <w:jc w:val="center"/>
                    <w:rPr>
                      <w:rFonts w:hint="eastAsia"/>
                      <w:bCs/>
                      <w:color w:val="auto"/>
                      <w:szCs w:val="21"/>
                      <w:lang w:val="en-US" w:eastAsia="zh-CN"/>
                    </w:rPr>
                  </w:pPr>
                  <w:r>
                    <w:rPr>
                      <w:rFonts w:hint="eastAsia"/>
                      <w:bCs/>
                      <w:color w:val="auto"/>
                      <w:szCs w:val="21"/>
                      <w:lang w:eastAsia="zh-CN"/>
                    </w:rPr>
                    <w:t>本项目属于太阳能光伏材料制造业，项目使用低</w:t>
                  </w:r>
                  <w:r>
                    <w:rPr>
                      <w:rFonts w:hint="eastAsia"/>
                      <w:bCs/>
                      <w:color w:val="auto"/>
                      <w:szCs w:val="21"/>
                      <w:lang w:val="en-US" w:eastAsia="zh-CN"/>
                    </w:rPr>
                    <w:t>VOC</w:t>
                  </w:r>
                </w:p>
                <w:p>
                  <w:pPr>
                    <w:adjustRightInd w:val="0"/>
                    <w:snapToGrid w:val="0"/>
                    <w:jc w:val="center"/>
                    <w:rPr>
                      <w:szCs w:val="21"/>
                    </w:rPr>
                  </w:pPr>
                  <w:r>
                    <w:rPr>
                      <w:rFonts w:hint="eastAsia"/>
                      <w:bCs/>
                      <w:color w:val="auto"/>
                      <w:szCs w:val="21"/>
                      <w:lang w:val="en-US" w:eastAsia="zh-CN"/>
                    </w:rPr>
                    <w:t>s含量的釉料</w:t>
                  </w:r>
                  <w:r>
                    <w:rPr>
                      <w:bCs/>
                      <w:color w:val="auto"/>
                      <w:szCs w:val="21"/>
                    </w:rPr>
                    <w:t>。</w:t>
                  </w:r>
                  <w:r>
                    <w:rPr>
                      <w:color w:val="auto"/>
                      <w:szCs w:val="21"/>
                    </w:rPr>
                    <w:t>项目</w:t>
                  </w:r>
                  <w:r>
                    <w:rPr>
                      <w:rFonts w:hint="eastAsia"/>
                      <w:color w:val="auto"/>
                      <w:szCs w:val="21"/>
                      <w:lang w:eastAsia="zh-CN"/>
                    </w:rPr>
                    <w:t>生产</w:t>
                  </w:r>
                  <w:r>
                    <w:rPr>
                      <w:color w:val="auto"/>
                      <w:szCs w:val="21"/>
                    </w:rPr>
                    <w:t>过程</w:t>
                  </w:r>
                  <w:r>
                    <w:rPr>
                      <w:rFonts w:hint="eastAsia"/>
                      <w:color w:val="auto"/>
                      <w:szCs w:val="21"/>
                      <w:lang w:eastAsia="zh-CN"/>
                    </w:rPr>
                    <w:t>中</w:t>
                  </w:r>
                  <w:r>
                    <w:rPr>
                      <w:color w:val="auto"/>
                      <w:szCs w:val="21"/>
                    </w:rPr>
                    <w:t>废气</w:t>
                  </w:r>
                  <w:r>
                    <w:rPr>
                      <w:rFonts w:hint="eastAsia"/>
                      <w:color w:val="auto"/>
                      <w:szCs w:val="21"/>
                    </w:rPr>
                    <w:t>产生量</w:t>
                  </w:r>
                  <w:r>
                    <w:rPr>
                      <w:rFonts w:hint="eastAsia"/>
                      <w:color w:val="auto"/>
                      <w:szCs w:val="21"/>
                      <w:lang w:eastAsia="zh-CN"/>
                    </w:rPr>
                    <w:t>较少</w:t>
                  </w:r>
                  <w:r>
                    <w:rPr>
                      <w:rFonts w:hint="eastAsia"/>
                      <w:color w:val="auto"/>
                      <w:szCs w:val="21"/>
                    </w:rPr>
                    <w:t>，</w:t>
                  </w:r>
                  <w:r>
                    <w:rPr>
                      <w:rFonts w:hint="eastAsia"/>
                      <w:color w:val="auto"/>
                      <w:szCs w:val="21"/>
                      <w:lang w:eastAsia="zh-CN"/>
                    </w:rPr>
                    <w:t>废气通过“</w:t>
                  </w:r>
                  <w:r>
                    <w:rPr>
                      <w:rFonts w:hint="eastAsia"/>
                      <w:color w:val="auto"/>
                      <w:szCs w:val="21"/>
                      <w:lang w:val="en-US" w:eastAsia="zh-CN"/>
                    </w:rPr>
                    <w:t>集气罩+</w:t>
                  </w:r>
                  <w:r>
                    <w:rPr>
                      <w:rFonts w:hint="eastAsia"/>
                      <w:color w:val="auto"/>
                      <w:szCs w:val="21"/>
                      <w:lang w:eastAsia="zh-CN"/>
                    </w:rPr>
                    <w:t>二级活性炭吸附装置”处理后经过</w:t>
                  </w:r>
                  <w:r>
                    <w:rPr>
                      <w:rFonts w:hint="eastAsia"/>
                      <w:color w:val="auto"/>
                      <w:szCs w:val="21"/>
                      <w:lang w:val="en-US" w:eastAsia="zh-CN"/>
                    </w:rPr>
                    <w:t>15m排气筒DA001排放</w:t>
                  </w:r>
                  <w:r>
                    <w:rPr>
                      <w:rFonts w:hint="eastAsia" w:ascii="Times New Roman" w:hAnsi="Times New Roman" w:cs="Times New Roman"/>
                      <w:color w:val="auto"/>
                      <w:szCs w:val="21"/>
                      <w:lang w:val="en-US" w:eastAsia="zh-CN"/>
                    </w:rPr>
                    <w:t>，</w:t>
                  </w:r>
                  <w:r>
                    <w:rPr>
                      <w:rFonts w:hint="eastAsia"/>
                      <w:bCs/>
                      <w:color w:val="auto"/>
                      <w:szCs w:val="21"/>
                      <w:lang w:eastAsia="zh-CN"/>
                    </w:rPr>
                    <w:t>处理后废气可达标排放</w:t>
                  </w:r>
                  <w:r>
                    <w:rPr>
                      <w:color w:val="auto"/>
                      <w:szCs w:val="21"/>
                    </w:rPr>
                    <w:t>。</w:t>
                  </w:r>
                  <w:r>
                    <w:rPr>
                      <w:rFonts w:hint="eastAsia"/>
                      <w:color w:val="auto"/>
                      <w:szCs w:val="21"/>
                    </w:rPr>
                    <w:t>综上，本项目</w:t>
                  </w:r>
                  <w:r>
                    <w:rPr>
                      <w:color w:val="auto"/>
                      <w:szCs w:val="21"/>
                    </w:rPr>
                    <w:t>满足要求。</w:t>
                  </w:r>
                </w:p>
              </w:tc>
              <w:tc>
                <w:tcPr>
                  <w:tcW w:w="456"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szCs w:val="21"/>
                    </w:rPr>
                  </w:pPr>
                  <w:r>
                    <w:rPr>
                      <w:bCs/>
                      <w:szCs w:val="21"/>
                    </w:rPr>
                    <w:t>《江苏省重点行业挥发性有机污染物控制指南》（苏环办[2014]128号）</w:t>
                  </w:r>
                </w:p>
              </w:tc>
              <w:tc>
                <w:tcPr>
                  <w:tcW w:w="2908" w:type="pct"/>
                  <w:noWrap w:val="0"/>
                  <w:vAlign w:val="center"/>
                </w:tcPr>
                <w:p>
                  <w:pPr>
                    <w:adjustRightInd w:val="0"/>
                    <w:snapToGrid w:val="0"/>
                    <w:jc w:val="center"/>
                    <w:rPr>
                      <w:szCs w:val="21"/>
                    </w:rPr>
                  </w:pPr>
                  <w:r>
                    <w:rPr>
                      <w:bCs/>
                      <w:szCs w:val="21"/>
                    </w:rPr>
                    <w:t>鼓励对排放的VOCs进行回收利用，并优先在生产系统内回用。对浓度、性状差异较大的废气应分类收集，并采用适宜的方式进行有效处理，确保VOCs总去除率满足管理要求，其中有机化工、医药化工、橡胶和塑料制品（有溶剂浸胶工艺）、溶剂型涂料表面涂装、包装印刷业的VOCs总收集、净化处理率均不低于90%，其他行业原则上不低于75%</w:t>
                  </w:r>
                </w:p>
              </w:tc>
              <w:tc>
                <w:tcPr>
                  <w:tcW w:w="763" w:type="pct"/>
                  <w:vMerge w:val="continue"/>
                  <w:noWrap w:val="0"/>
                  <w:vAlign w:val="center"/>
                </w:tcPr>
                <w:p>
                  <w:pPr>
                    <w:adjustRightInd w:val="0"/>
                    <w:snapToGrid w:val="0"/>
                    <w:jc w:val="center"/>
                    <w:rPr>
                      <w:szCs w:val="21"/>
                    </w:rPr>
                  </w:pPr>
                </w:p>
              </w:tc>
              <w:tc>
                <w:tcPr>
                  <w:tcW w:w="456"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szCs w:val="21"/>
                    </w:rPr>
                  </w:pPr>
                  <w:r>
                    <w:rPr>
                      <w:bCs/>
                      <w:szCs w:val="21"/>
                    </w:rPr>
                    <w:t>《江苏省挥发性有机物污染防治管理办法》（江苏省人民政府令第119号）</w:t>
                  </w:r>
                </w:p>
              </w:tc>
              <w:tc>
                <w:tcPr>
                  <w:tcW w:w="2908" w:type="pct"/>
                  <w:noWrap w:val="0"/>
                  <w:vAlign w:val="center"/>
                </w:tcPr>
                <w:p>
                  <w:pPr>
                    <w:adjustRightInd w:val="0"/>
                    <w:snapToGrid w:val="0"/>
                    <w:jc w:val="center"/>
                    <w:rPr>
                      <w:szCs w:val="21"/>
                    </w:rPr>
                  </w:pPr>
                  <w:r>
                    <w:rPr>
                      <w:bCs/>
                      <w:szCs w:val="21"/>
                    </w:rPr>
                    <w:t>挥发性有机物废气的生产经营活动应当在密闭空间或者密闭设备中进行。生产场所、生产设备应当按照环境保护和安全生产等要求设计、安装和有效运行挥发性有机物回收或者净化设施；含有挥发性有机物的物料应当密闭储存、运输、装卸，禁止敞口和露天放置。喷涂、烘干作业应当在装有废气处理或者收集装置的密闭车间内进行；禁止露天喷涂、烘干作业</w:t>
                  </w:r>
                </w:p>
              </w:tc>
              <w:tc>
                <w:tcPr>
                  <w:tcW w:w="763" w:type="pct"/>
                  <w:vMerge w:val="continue"/>
                  <w:noWrap w:val="0"/>
                  <w:vAlign w:val="center"/>
                </w:tcPr>
                <w:p>
                  <w:pPr>
                    <w:adjustRightInd w:val="0"/>
                    <w:snapToGrid w:val="0"/>
                    <w:jc w:val="center"/>
                    <w:rPr>
                      <w:szCs w:val="21"/>
                    </w:rPr>
                  </w:pPr>
                </w:p>
              </w:tc>
              <w:tc>
                <w:tcPr>
                  <w:tcW w:w="456"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bCs/>
                      <w:szCs w:val="21"/>
                    </w:rPr>
                  </w:pPr>
                  <w:r>
                    <w:rPr>
                      <w:bCs/>
                      <w:szCs w:val="21"/>
                    </w:rPr>
                    <w:t>《江苏省政府关于印发江苏省大气污染防治行动计划实施方案的通知》</w:t>
                  </w:r>
                  <w:r>
                    <w:rPr>
                      <w:rFonts w:hint="eastAsia"/>
                      <w:bCs/>
                      <w:szCs w:val="21"/>
                    </w:rPr>
                    <w:t>（</w:t>
                  </w:r>
                  <w:r>
                    <w:rPr>
                      <w:bCs/>
                      <w:szCs w:val="21"/>
                    </w:rPr>
                    <w:t>苏政发[2014]1号</w:t>
                  </w:r>
                  <w:r>
                    <w:rPr>
                      <w:rFonts w:hint="eastAsia"/>
                      <w:bCs/>
                      <w:szCs w:val="21"/>
                    </w:rPr>
                    <w:t>）</w:t>
                  </w:r>
                </w:p>
              </w:tc>
              <w:tc>
                <w:tcPr>
                  <w:tcW w:w="2908" w:type="pct"/>
                  <w:noWrap w:val="0"/>
                  <w:vAlign w:val="center"/>
                </w:tcPr>
                <w:p>
                  <w:pPr>
                    <w:adjustRightInd w:val="0"/>
                    <w:snapToGrid w:val="0"/>
                    <w:jc w:val="center"/>
                    <w:rPr>
                      <w:szCs w:val="21"/>
                    </w:rPr>
                  </w:pPr>
                  <w:r>
                    <w:rPr>
                      <w:bCs/>
                      <w:szCs w:val="21"/>
                    </w:rPr>
                    <w:t>严格执行国家涂料、胶粘剂等产品挥发性有机物限值标准。</w:t>
                  </w:r>
                  <w:r>
                    <w:rPr>
                      <w:szCs w:val="21"/>
                      <w:shd w:val="clear" w:color="auto" w:fill="FFFFFF"/>
                    </w:rPr>
                    <w:t>新建排放二氧化硫、氮氧化物、烟粉尘、挥发性有机物的项目，实行现役源2倍削减量替代。</w:t>
                  </w:r>
                  <w:r>
                    <w:rPr>
                      <w:bCs/>
                      <w:szCs w:val="21"/>
                    </w:rPr>
                    <w:t>苏南5个省辖市率先推广使用无污染或低挥发性的水性涂料、环保型溶剂等，逐步减少高挥发性油性涂料、有机溶剂的生产、销售和使用</w:t>
                  </w:r>
                </w:p>
              </w:tc>
              <w:tc>
                <w:tcPr>
                  <w:tcW w:w="763" w:type="pct"/>
                  <w:vMerge w:val="continue"/>
                  <w:noWrap w:val="0"/>
                  <w:vAlign w:val="center"/>
                </w:tcPr>
                <w:p>
                  <w:pPr>
                    <w:adjustRightInd w:val="0"/>
                    <w:snapToGrid w:val="0"/>
                    <w:jc w:val="center"/>
                    <w:rPr>
                      <w:szCs w:val="21"/>
                    </w:rPr>
                  </w:pPr>
                </w:p>
              </w:tc>
              <w:tc>
                <w:tcPr>
                  <w:tcW w:w="456"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bCs/>
                      <w:szCs w:val="21"/>
                    </w:rPr>
                  </w:pPr>
                  <w:r>
                    <w:rPr>
                      <w:bCs/>
                      <w:szCs w:val="21"/>
                    </w:rPr>
                    <w:t>《江苏省2020年挥发性有机物专项治理工作方案》（苏大气办[2020]2号）</w:t>
                  </w:r>
                </w:p>
              </w:tc>
              <w:tc>
                <w:tcPr>
                  <w:tcW w:w="2908" w:type="pct"/>
                  <w:noWrap w:val="0"/>
                  <w:vAlign w:val="center"/>
                </w:tcPr>
                <w:p>
                  <w:pPr>
                    <w:adjustRightInd w:val="0"/>
                    <w:snapToGrid w:val="0"/>
                    <w:jc w:val="center"/>
                    <w:rPr>
                      <w:bCs/>
                      <w:szCs w:val="21"/>
                    </w:rPr>
                  </w:pPr>
                  <w:r>
                    <w:rPr>
                      <w:rFonts w:hint="eastAsia"/>
                      <w:bCs/>
                      <w:szCs w:val="21"/>
                    </w:rPr>
                    <w:t>6月底前，</w:t>
                  </w:r>
                  <w:r>
                    <w:rPr>
                      <w:bCs/>
                      <w:szCs w:val="21"/>
                    </w:rPr>
                    <w:t>完成挥发性有机物储罐升级改造、生产工艺环节密闭化改造等无组织控制环节整治任务</w:t>
                  </w:r>
                  <w:r>
                    <w:rPr>
                      <w:rFonts w:hint="eastAsia"/>
                      <w:bCs/>
                      <w:szCs w:val="21"/>
                    </w:rPr>
                    <w:t>；各地要组织管理、执法及企业人员宣贯《挥发性有机物无组织排放标准》，进一步明确无组织排放控制要求；VOCs排放量大于等于2千克/小时的企业，除确保排放浓度稳定达标外，去除效率不低于80%</w:t>
                  </w:r>
                </w:p>
              </w:tc>
              <w:tc>
                <w:tcPr>
                  <w:tcW w:w="763" w:type="pct"/>
                  <w:vMerge w:val="continue"/>
                  <w:noWrap w:val="0"/>
                  <w:vAlign w:val="center"/>
                </w:tcPr>
                <w:p>
                  <w:pPr>
                    <w:adjustRightInd w:val="0"/>
                    <w:snapToGrid w:val="0"/>
                    <w:jc w:val="center"/>
                    <w:rPr>
                      <w:szCs w:val="21"/>
                    </w:rPr>
                  </w:pPr>
                </w:p>
              </w:tc>
              <w:tc>
                <w:tcPr>
                  <w:tcW w:w="456"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bCs/>
                      <w:szCs w:val="21"/>
                    </w:rPr>
                  </w:pPr>
                  <w:r>
                    <w:rPr>
                      <w:bCs/>
                      <w:szCs w:val="21"/>
                    </w:rPr>
                    <w:t>《关于印发无锡市2020年挥发性有机物专项治理工作方案的通知》</w:t>
                  </w:r>
                  <w:r>
                    <w:rPr>
                      <w:rFonts w:hint="eastAsia"/>
                      <w:bCs/>
                      <w:szCs w:val="21"/>
                    </w:rPr>
                    <w:t>（</w:t>
                  </w:r>
                  <w:r>
                    <w:rPr>
                      <w:bCs/>
                      <w:szCs w:val="21"/>
                    </w:rPr>
                    <w:t>锡大气办 [2020]3号</w:t>
                  </w:r>
                  <w:r>
                    <w:rPr>
                      <w:rFonts w:hint="eastAsia"/>
                      <w:bCs/>
                      <w:szCs w:val="21"/>
                    </w:rPr>
                    <w:t>）</w:t>
                  </w:r>
                </w:p>
              </w:tc>
              <w:tc>
                <w:tcPr>
                  <w:tcW w:w="2908" w:type="pct"/>
                  <w:noWrap w:val="0"/>
                  <w:vAlign w:val="center"/>
                </w:tcPr>
                <w:p>
                  <w:pPr>
                    <w:adjustRightInd w:val="0"/>
                    <w:snapToGrid w:val="0"/>
                    <w:jc w:val="center"/>
                    <w:rPr>
                      <w:bCs/>
                      <w:szCs w:val="21"/>
                    </w:rPr>
                  </w:pPr>
                  <w:r>
                    <w:rPr>
                      <w:bCs/>
                      <w:szCs w:val="21"/>
                    </w:rPr>
                    <w:t>推广使用水性、高固份、粉末、辐射固化涂料等低VOCs含量的环保型涂料；严格控制含VOCs原料与产品在生产与储运过程中的VOCs排放；对涉及VOCs排放的生产单元或设施进行密闭，废气收集系统保持微负压状态；收集的废气中NMHC初始排放速率≥2kg/h时，处理效率不应低于80%；喷涂废气应设置高效漆雾处理装置</w:t>
                  </w:r>
                </w:p>
              </w:tc>
              <w:tc>
                <w:tcPr>
                  <w:tcW w:w="763" w:type="pct"/>
                  <w:vMerge w:val="continue"/>
                  <w:noWrap w:val="0"/>
                  <w:vAlign w:val="center"/>
                </w:tcPr>
                <w:p>
                  <w:pPr>
                    <w:adjustRightInd w:val="0"/>
                    <w:snapToGrid w:val="0"/>
                    <w:jc w:val="center"/>
                    <w:rPr>
                      <w:szCs w:val="21"/>
                    </w:rPr>
                  </w:pPr>
                </w:p>
              </w:tc>
              <w:tc>
                <w:tcPr>
                  <w:tcW w:w="456"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bCs/>
                      <w:szCs w:val="21"/>
                    </w:rPr>
                  </w:pPr>
                  <w:r>
                    <w:rPr>
                      <w:bCs/>
                      <w:szCs w:val="21"/>
                    </w:rPr>
                    <w:t>《关于印发宜兴市2020年挥发性有机物专项治理工作方案的通知》</w:t>
                  </w:r>
                  <w:r>
                    <w:rPr>
                      <w:rFonts w:hint="eastAsia"/>
                      <w:bCs/>
                      <w:szCs w:val="21"/>
                    </w:rPr>
                    <w:t>（</w:t>
                  </w:r>
                  <w:r>
                    <w:rPr>
                      <w:bCs/>
                      <w:szCs w:val="21"/>
                    </w:rPr>
                    <w:t>宜大气办[2020]3号</w:t>
                  </w:r>
                  <w:r>
                    <w:rPr>
                      <w:rFonts w:hint="eastAsia"/>
                      <w:bCs/>
                      <w:szCs w:val="21"/>
                    </w:rPr>
                    <w:t>）</w:t>
                  </w:r>
                </w:p>
              </w:tc>
              <w:tc>
                <w:tcPr>
                  <w:tcW w:w="2908" w:type="pct"/>
                  <w:noWrap w:val="0"/>
                  <w:vAlign w:val="center"/>
                </w:tcPr>
                <w:p>
                  <w:pPr>
                    <w:adjustRightInd w:val="0"/>
                    <w:snapToGrid w:val="0"/>
                    <w:jc w:val="center"/>
                    <w:rPr>
                      <w:bCs/>
                      <w:szCs w:val="21"/>
                    </w:rPr>
                  </w:pPr>
                  <w:r>
                    <w:rPr>
                      <w:bCs/>
                      <w:szCs w:val="21"/>
                    </w:rPr>
                    <w:t>完成挥发性有机物储罐升级改造、生产工艺环节密闭化改造等无组织控制环节整治任务；禁止建设生产和使用高VOCs含量的溶剂型涂料、油墨、胶粘剂等项目；VOCs排放量大于等于2千克/小时的企业，除确保排放浓度稳定达标外，去除效率不低于80%</w:t>
                  </w:r>
                </w:p>
              </w:tc>
              <w:tc>
                <w:tcPr>
                  <w:tcW w:w="763" w:type="pct"/>
                  <w:vMerge w:val="continue"/>
                  <w:noWrap w:val="0"/>
                  <w:vAlign w:val="center"/>
                </w:tcPr>
                <w:p>
                  <w:pPr>
                    <w:adjustRightInd w:val="0"/>
                    <w:snapToGrid w:val="0"/>
                    <w:jc w:val="center"/>
                    <w:rPr>
                      <w:szCs w:val="21"/>
                    </w:rPr>
                  </w:pPr>
                </w:p>
              </w:tc>
              <w:tc>
                <w:tcPr>
                  <w:tcW w:w="456"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bCs/>
                      <w:szCs w:val="21"/>
                    </w:rPr>
                  </w:pPr>
                  <w:r>
                    <w:rPr>
                      <w:rFonts w:hint="eastAsia"/>
                      <w:bCs/>
                      <w:szCs w:val="21"/>
                    </w:rPr>
                    <w:t>挥发性有机物（</w:t>
                  </w:r>
                  <w:r>
                    <w:rPr>
                      <w:bCs/>
                      <w:szCs w:val="21"/>
                    </w:rPr>
                    <w:t>VOCs</w:t>
                  </w:r>
                  <w:r>
                    <w:rPr>
                      <w:rFonts w:hint="eastAsia"/>
                      <w:bCs/>
                      <w:szCs w:val="21"/>
                    </w:rPr>
                    <w:t>）污染防治技术政策（中华人民共和国生态环境部2013年 第31号）</w:t>
                  </w:r>
                </w:p>
              </w:tc>
              <w:tc>
                <w:tcPr>
                  <w:tcW w:w="2908" w:type="pct"/>
                  <w:noWrap w:val="0"/>
                  <w:vAlign w:val="center"/>
                </w:tcPr>
                <w:p>
                  <w:pPr>
                    <w:adjustRightInd w:val="0"/>
                    <w:snapToGrid w:val="0"/>
                    <w:jc w:val="center"/>
                    <w:rPr>
                      <w:bCs/>
                      <w:szCs w:val="21"/>
                    </w:rPr>
                  </w:pPr>
                  <w:r>
                    <w:rPr>
                      <w:rFonts w:hint="eastAsia"/>
                      <w:bCs/>
                      <w:szCs w:val="21"/>
                    </w:rPr>
                    <w:t>鼓励符合环境标志产品技术要求的水基型、无有机溶剂型、低有机溶剂型的涂料、油墨和胶粘剂等的生产和销售；根据涂装工艺的不同，鼓励使用水性涂料、高固份涂料、粉末涂料、紫外光固化（UV）涂料等环保型涂料；应尽量避免无VOCs净化、回收措施的露天喷涂作业；对于含低浓度VOCs的废气，有回收价值时可采用吸附技术、吸收技术对有机溶剂回收后达标排放；不宜回收时，可采用吸附浓缩燃烧技术、生物技术、吸收技术、等离子体技术或紫外光高级氧化技术等净化后达标排放</w:t>
                  </w:r>
                </w:p>
              </w:tc>
              <w:tc>
                <w:tcPr>
                  <w:tcW w:w="763" w:type="pct"/>
                  <w:vMerge w:val="continue"/>
                  <w:noWrap w:val="0"/>
                  <w:vAlign w:val="center"/>
                </w:tcPr>
                <w:p>
                  <w:pPr>
                    <w:adjustRightInd w:val="0"/>
                    <w:snapToGrid w:val="0"/>
                    <w:jc w:val="center"/>
                    <w:rPr>
                      <w:szCs w:val="21"/>
                    </w:rPr>
                  </w:pPr>
                </w:p>
              </w:tc>
              <w:tc>
                <w:tcPr>
                  <w:tcW w:w="456"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bCs/>
                      <w:szCs w:val="21"/>
                    </w:rPr>
                  </w:pPr>
                  <w:r>
                    <w:rPr>
                      <w:rFonts w:hint="eastAsia"/>
                      <w:bCs/>
                      <w:szCs w:val="21"/>
                    </w:rPr>
                    <w:t>关于印发《重点行业挥发性有机物综合治理方案》的通知（环大气[2019]53号）</w:t>
                  </w:r>
                </w:p>
              </w:tc>
              <w:tc>
                <w:tcPr>
                  <w:tcW w:w="2908" w:type="pct"/>
                  <w:noWrap w:val="0"/>
                  <w:vAlign w:val="center"/>
                </w:tcPr>
                <w:p>
                  <w:pPr>
                    <w:adjustRightInd w:val="0"/>
                    <w:snapToGrid w:val="0"/>
                    <w:jc w:val="center"/>
                    <w:rPr>
                      <w:bCs/>
                      <w:szCs w:val="21"/>
                    </w:rPr>
                  </w:pPr>
                  <w:r>
                    <w:rPr>
                      <w:rFonts w:hint="eastAsia"/>
                      <w:bCs/>
                      <w:szCs w:val="21"/>
                    </w:rPr>
                    <w:t>采用局部集气罩的，距集气罩开口面最远处的VOCs无组织排放位置，控制风速应不低于0.3米/秒，有行业要求的按相关规定执行。实行重点排放源排放浓度与去除效率双重控制。车间或生产设施收集排放的废气，VOCs 初始排放速率大于等于3千克/小时、重点区域大于等于2千克/小时的，应加大控制力度，除确保排放浓度稳定达标外，还应实行去除效率控制，去除效率不低于80%</w:t>
                  </w:r>
                </w:p>
              </w:tc>
              <w:tc>
                <w:tcPr>
                  <w:tcW w:w="763" w:type="pct"/>
                  <w:vMerge w:val="continue"/>
                  <w:noWrap w:val="0"/>
                  <w:vAlign w:val="center"/>
                </w:tcPr>
                <w:p>
                  <w:pPr>
                    <w:adjustRightInd w:val="0"/>
                    <w:snapToGrid w:val="0"/>
                    <w:jc w:val="center"/>
                    <w:rPr>
                      <w:szCs w:val="21"/>
                    </w:rPr>
                  </w:pPr>
                </w:p>
              </w:tc>
              <w:tc>
                <w:tcPr>
                  <w:tcW w:w="456"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bCs/>
                      <w:szCs w:val="21"/>
                    </w:rPr>
                  </w:pPr>
                  <w:r>
                    <w:rPr>
                      <w:rFonts w:hint="eastAsia"/>
                      <w:bCs/>
                      <w:szCs w:val="21"/>
                      <w:lang w:eastAsia="zh-CN"/>
                    </w:rPr>
                    <w:t>“</w:t>
                  </w:r>
                  <w:r>
                    <w:rPr>
                      <w:rFonts w:hint="eastAsia"/>
                      <w:bCs/>
                      <w:szCs w:val="21"/>
                    </w:rPr>
                    <w:t>十三五</w:t>
                  </w:r>
                  <w:r>
                    <w:rPr>
                      <w:rFonts w:hint="eastAsia"/>
                      <w:bCs/>
                      <w:szCs w:val="21"/>
                      <w:lang w:eastAsia="zh-CN"/>
                    </w:rPr>
                    <w:t>“</w:t>
                  </w:r>
                  <w:r>
                    <w:rPr>
                      <w:rFonts w:hint="eastAsia"/>
                      <w:bCs/>
                      <w:szCs w:val="21"/>
                    </w:rPr>
                    <w:t>挥发性有机物污染防治工作方案（环大气[2017]121号）</w:t>
                  </w:r>
                </w:p>
              </w:tc>
              <w:tc>
                <w:tcPr>
                  <w:tcW w:w="2908" w:type="pct"/>
                  <w:noWrap w:val="0"/>
                  <w:vAlign w:val="center"/>
                </w:tcPr>
                <w:p>
                  <w:pPr>
                    <w:adjustRightInd w:val="0"/>
                    <w:snapToGrid w:val="0"/>
                    <w:jc w:val="center"/>
                    <w:rPr>
                      <w:bCs/>
                      <w:szCs w:val="21"/>
                    </w:rPr>
                  </w:pPr>
                  <w:r>
                    <w:rPr>
                      <w:rFonts w:hint="eastAsia"/>
                      <w:bCs/>
                      <w:szCs w:val="21"/>
                    </w:rPr>
                    <w:t>重点地区要严格限制石化、化工、包装印刷、工业涂装等高VOCs 排放建设项目。新建涉VOCs 排放的工业企业要入园区；新、改、扩建涉VOCs 排放项目，应从源头加强控制，使用低（无）VOCs 含量的原辅材料，加强废气收集，安装高效治理设施。PM</w:t>
                  </w:r>
                  <w:r>
                    <w:rPr>
                      <w:rFonts w:hint="eastAsia"/>
                      <w:bCs/>
                      <w:szCs w:val="21"/>
                      <w:vertAlign w:val="subscript"/>
                    </w:rPr>
                    <w:t>2.5</w:t>
                  </w:r>
                  <w:r>
                    <w:rPr>
                      <w:rFonts w:hint="eastAsia"/>
                      <w:bCs/>
                      <w:szCs w:val="21"/>
                    </w:rPr>
                    <w:t>污染严重的地区，冬季可重点对产生芳香烃的行业实施生产调控措施；推广使用低（无）VOCs 含量、低反应活性的原辅材料和产品</w:t>
                  </w:r>
                </w:p>
              </w:tc>
              <w:tc>
                <w:tcPr>
                  <w:tcW w:w="763" w:type="pct"/>
                  <w:vMerge w:val="continue"/>
                  <w:noWrap w:val="0"/>
                  <w:vAlign w:val="center"/>
                </w:tcPr>
                <w:p>
                  <w:pPr>
                    <w:adjustRightInd w:val="0"/>
                    <w:snapToGrid w:val="0"/>
                    <w:jc w:val="center"/>
                    <w:rPr>
                      <w:szCs w:val="21"/>
                    </w:rPr>
                  </w:pPr>
                </w:p>
              </w:tc>
              <w:tc>
                <w:tcPr>
                  <w:tcW w:w="456" w:type="pct"/>
                  <w:noWrap w:val="0"/>
                  <w:vAlign w:val="center"/>
                </w:tcPr>
                <w:p>
                  <w:pPr>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71" w:type="pct"/>
                  <w:noWrap w:val="0"/>
                  <w:vAlign w:val="center"/>
                </w:tcPr>
                <w:p>
                  <w:pPr>
                    <w:adjustRightInd w:val="0"/>
                    <w:snapToGrid w:val="0"/>
                    <w:jc w:val="center"/>
                    <w:rPr>
                      <w:bCs/>
                      <w:szCs w:val="21"/>
                    </w:rPr>
                  </w:pPr>
                  <w:r>
                    <w:rPr>
                      <w:rFonts w:hint="eastAsia"/>
                      <w:bCs/>
                      <w:szCs w:val="21"/>
                    </w:rPr>
                    <w:t>关于印发《2020年挥发性有机物治理攻坚方案》的通知（环大气[2020]33号）</w:t>
                  </w:r>
                </w:p>
              </w:tc>
              <w:tc>
                <w:tcPr>
                  <w:tcW w:w="2908" w:type="pct"/>
                  <w:noWrap w:val="0"/>
                  <w:vAlign w:val="center"/>
                </w:tcPr>
                <w:p>
                  <w:pPr>
                    <w:adjustRightInd w:val="0"/>
                    <w:snapToGrid w:val="0"/>
                    <w:jc w:val="center"/>
                    <w:rPr>
                      <w:bCs/>
                      <w:szCs w:val="21"/>
                    </w:rPr>
                  </w:pPr>
                  <w:r>
                    <w:rPr>
                      <w:rFonts w:hint="eastAsia"/>
                      <w:bCs/>
                      <w:szCs w:val="21"/>
                    </w:rPr>
                    <w:t>除恶臭异味治理外，一般不采用低温等离子、光催化、光氧化等技术；行业排放标准中规定特别排放限值和控制要求的，应按相关规定执行；未制定行业标准的应执行大气污染物综合排放标准和挥发性有机物无组织排放控制标准；已制定更严格地方排放标准的，按地方标准执行。</w:t>
                  </w:r>
                  <w:r>
                    <w:rPr>
                      <w:szCs w:val="21"/>
                    </w:rPr>
                    <w:t>按照</w:t>
                  </w:r>
                  <w:r>
                    <w:rPr>
                      <w:rFonts w:hint="eastAsia"/>
                      <w:szCs w:val="21"/>
                      <w:lang w:eastAsia="zh-CN"/>
                    </w:rPr>
                    <w:t>“</w:t>
                  </w:r>
                  <w:r>
                    <w:rPr>
                      <w:szCs w:val="21"/>
                    </w:rPr>
                    <w:t>应收尽收</w:t>
                  </w:r>
                  <w:r>
                    <w:rPr>
                      <w:rFonts w:hint="eastAsia"/>
                      <w:szCs w:val="21"/>
                      <w:lang w:eastAsia="zh-CN"/>
                    </w:rPr>
                    <w:t>“</w:t>
                  </w:r>
                  <w:r>
                    <w:rPr>
                      <w:szCs w:val="21"/>
                    </w:rPr>
                    <w:t>的原则提升废气收集率。</w:t>
                  </w:r>
                  <w:r>
                    <w:rPr>
                      <w:rFonts w:hint="eastAsia"/>
                      <w:szCs w:val="21"/>
                    </w:rPr>
                    <w:t>合理选择治理技术，对治理难度大、单一治理工艺难以稳定达标的，要采用多种技术的组合工艺</w:t>
                  </w:r>
                </w:p>
              </w:tc>
              <w:tc>
                <w:tcPr>
                  <w:tcW w:w="763" w:type="pct"/>
                  <w:vMerge w:val="continue"/>
                  <w:noWrap w:val="0"/>
                  <w:vAlign w:val="center"/>
                </w:tcPr>
                <w:p>
                  <w:pPr>
                    <w:adjustRightInd w:val="0"/>
                    <w:snapToGrid w:val="0"/>
                    <w:jc w:val="center"/>
                    <w:rPr>
                      <w:szCs w:val="21"/>
                    </w:rPr>
                  </w:pPr>
                </w:p>
              </w:tc>
              <w:tc>
                <w:tcPr>
                  <w:tcW w:w="456" w:type="pct"/>
                  <w:noWrap w:val="0"/>
                  <w:vAlign w:val="center"/>
                </w:tcPr>
                <w:p>
                  <w:pPr>
                    <w:adjustRightInd w:val="0"/>
                    <w:snapToGrid w:val="0"/>
                    <w:jc w:val="center"/>
                    <w:rPr>
                      <w:szCs w:val="21"/>
                    </w:rPr>
                  </w:pPr>
                  <w:r>
                    <w:rPr>
                      <w:szCs w:val="21"/>
                    </w:rPr>
                    <w:t>符合</w:t>
                  </w:r>
                </w:p>
              </w:tc>
            </w:tr>
          </w:tbl>
          <w:p>
            <w:pPr>
              <w:spacing w:line="360" w:lineRule="auto"/>
              <w:rPr>
                <w:b/>
                <w:bCs/>
                <w:kern w:val="0"/>
                <w:sz w:val="24"/>
              </w:rPr>
            </w:pPr>
            <w:r>
              <w:rPr>
                <w:b/>
                <w:bCs/>
                <w:kern w:val="0"/>
                <w:sz w:val="24"/>
              </w:rPr>
              <w:t>综上所述，本项目符合江苏省、无锡市及宜兴市关于</w:t>
            </w:r>
            <w:r>
              <w:rPr>
                <w:rFonts w:hint="eastAsia"/>
                <w:b/>
                <w:bCs/>
                <w:kern w:val="0"/>
                <w:sz w:val="24"/>
              </w:rPr>
              <w:t>挥发性有机物</w:t>
            </w:r>
            <w:r>
              <w:rPr>
                <w:b/>
                <w:bCs/>
                <w:kern w:val="0"/>
                <w:sz w:val="24"/>
              </w:rPr>
              <w:t>污染防治相关文件的要求。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color w:val="auto"/>
                <w:sz w:val="24"/>
              </w:rPr>
            </w:pPr>
            <w:r>
              <w:rPr>
                <w:rFonts w:hint="eastAsia" w:ascii="Times New Roman" w:hAnsi="Times New Roman" w:cs="Times New Roman"/>
                <w:b/>
                <w:bCs/>
                <w:color w:val="auto"/>
                <w:sz w:val="24"/>
                <w:lang w:val="en-US" w:eastAsia="zh-CN"/>
              </w:rPr>
              <w:t>9、</w:t>
            </w:r>
            <w:r>
              <w:rPr>
                <w:rFonts w:ascii="Times New Roman" w:hAnsi="Times New Roman" w:cs="Times New Roman"/>
                <w:b/>
                <w:bCs/>
                <w:color w:val="auto"/>
                <w:sz w:val="24"/>
              </w:rPr>
              <w:t>与</w:t>
            </w:r>
            <w:r>
              <w:rPr>
                <w:rFonts w:hint="eastAsia" w:cs="Times New Roman"/>
                <w:b/>
                <w:bCs/>
                <w:color w:val="auto"/>
                <w:sz w:val="24"/>
                <w:lang w:eastAsia="zh-CN"/>
              </w:rPr>
              <w:t>《</w:t>
            </w:r>
            <w:r>
              <w:rPr>
                <w:rFonts w:hint="eastAsia" w:cs="Times New Roman"/>
                <w:b/>
                <w:bCs/>
                <w:color w:val="auto"/>
                <w:sz w:val="24"/>
                <w:lang w:val="en-US" w:eastAsia="zh-CN"/>
              </w:rPr>
              <w:t>&lt;</w:t>
            </w:r>
            <w:r>
              <w:rPr>
                <w:rFonts w:hint="eastAsia" w:cs="Times New Roman"/>
                <w:b/>
                <w:bCs/>
                <w:color w:val="auto"/>
                <w:sz w:val="24"/>
                <w:lang w:eastAsia="zh-CN"/>
              </w:rPr>
              <w:t>长江经济带发展负面清单指南&gt;宜兴市实施细则（试行）》 （宜政办发〔2021〕67号）</w:t>
            </w:r>
            <w:r>
              <w:rPr>
                <w:rFonts w:hint="default" w:ascii="Times New Roman" w:hAnsi="Times New Roman" w:cs="Times New Roman"/>
                <w:b/>
                <w:bCs/>
                <w:color w:val="auto"/>
                <w:sz w:val="24"/>
              </w:rPr>
              <w:t>相符性</w:t>
            </w:r>
            <w:r>
              <w:rPr>
                <w:rFonts w:ascii="Times New Roman" w:hAnsi="Times New Roman" w:cs="Times New Roman"/>
                <w:b/>
                <w:bCs/>
                <w:color w:val="auto"/>
                <w:sz w:val="24"/>
              </w:rPr>
              <w:t>分析</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表1-</w:t>
            </w:r>
            <w:r>
              <w:rPr>
                <w:rFonts w:hint="eastAsia" w:cs="Times New Roman"/>
                <w:b/>
                <w:bCs/>
                <w:color w:val="auto"/>
                <w:sz w:val="24"/>
                <w:szCs w:val="24"/>
                <w:lang w:val="en-US" w:eastAsia="zh-CN"/>
              </w:rPr>
              <w:t>6</w:t>
            </w:r>
            <w:r>
              <w:rPr>
                <w:rFonts w:hint="default" w:ascii="Times New Roman" w:hAnsi="Times New Roman" w:cs="Times New Roman"/>
                <w:b/>
                <w:bCs/>
                <w:color w:val="auto"/>
                <w:sz w:val="24"/>
                <w:szCs w:val="24"/>
              </w:rPr>
              <w:t xml:space="preserve"> </w:t>
            </w:r>
            <w:r>
              <w:rPr>
                <w:rFonts w:hint="eastAsia" w:cs="Times New Roman"/>
                <w:b/>
                <w:bCs/>
                <w:color w:val="auto"/>
                <w:sz w:val="24"/>
                <w:szCs w:val="24"/>
                <w:lang w:eastAsia="zh-CN"/>
              </w:rPr>
              <w:t xml:space="preserve">《&lt;长江经济带发展负面清单指南&gt;宜兴市实施细则（试行）》 </w:t>
            </w:r>
          </w:p>
          <w:tbl>
            <w:tblPr>
              <w:tblStyle w:val="37"/>
              <w:tblW w:w="0" w:type="auto"/>
              <w:tblInd w:w="5" w:type="dxa"/>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4521"/>
              <w:gridCol w:w="1972"/>
            </w:tblGrid>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tcBorders>
                    <w:tl2br w:val="nil"/>
                    <w:tr2bl w:val="nil"/>
                  </w:tcBorders>
                  <w:vAlign w:val="center"/>
                </w:tcPr>
                <w:p>
                  <w:pPr>
                    <w:jc w:val="center"/>
                    <w:rPr>
                      <w:rFonts w:hint="default" w:eastAsiaTheme="minorEastAsia"/>
                      <w:vertAlign w:val="baseline"/>
                      <w:lang w:val="en-US" w:eastAsia="zh-CN"/>
                    </w:rPr>
                  </w:pPr>
                  <w:r>
                    <w:rPr>
                      <w:rFonts w:hint="eastAsia"/>
                      <w:vertAlign w:val="baseline"/>
                      <w:lang w:val="en-US" w:eastAsia="zh-CN"/>
                    </w:rPr>
                    <w:t>类别</w:t>
                  </w:r>
                </w:p>
              </w:tc>
              <w:tc>
                <w:tcPr>
                  <w:tcW w:w="4521" w:type="dxa"/>
                  <w:tcBorders>
                    <w:tl2br w:val="nil"/>
                    <w:tr2bl w:val="nil"/>
                  </w:tcBorders>
                  <w:vAlign w:val="center"/>
                </w:tcPr>
                <w:p>
                  <w:pPr>
                    <w:jc w:val="center"/>
                    <w:rPr>
                      <w:rFonts w:hint="eastAsia" w:eastAsiaTheme="minorEastAsia"/>
                      <w:vertAlign w:val="baseline"/>
                      <w:lang w:val="en-US" w:eastAsia="zh-CN"/>
                    </w:rPr>
                  </w:pPr>
                  <w:r>
                    <w:rPr>
                      <w:rFonts w:hint="eastAsia"/>
                      <w:vertAlign w:val="baseline"/>
                      <w:lang w:val="en-US" w:eastAsia="zh-CN"/>
                    </w:rPr>
                    <w:t>负面清单</w:t>
                  </w:r>
                </w:p>
              </w:tc>
              <w:tc>
                <w:tcPr>
                  <w:tcW w:w="1972" w:type="dxa"/>
                  <w:tcBorders>
                    <w:tl2br w:val="nil"/>
                    <w:tr2bl w:val="nil"/>
                  </w:tcBorders>
                  <w:vAlign w:val="center"/>
                </w:tcPr>
                <w:p>
                  <w:pPr>
                    <w:jc w:val="center"/>
                    <w:rPr>
                      <w:rFonts w:hint="default" w:eastAsiaTheme="minorEastAsia"/>
                      <w:vertAlign w:val="baseline"/>
                      <w:lang w:val="en-US" w:eastAsia="zh-CN"/>
                    </w:rPr>
                  </w:pPr>
                  <w:r>
                    <w:rPr>
                      <w:rFonts w:hint="eastAsia"/>
                      <w:vertAlign w:val="baseline"/>
                      <w:lang w:val="en-US" w:eastAsia="zh-CN"/>
                    </w:rPr>
                    <w:t>相符性分析</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restart"/>
                  <w:tcBorders>
                    <w:tl2br w:val="nil"/>
                    <w:tr2bl w:val="nil"/>
                  </w:tcBorders>
                  <w:vAlign w:val="center"/>
                </w:tcPr>
                <w:p>
                  <w:pPr>
                    <w:jc w:val="center"/>
                    <w:rPr>
                      <w:rFonts w:hint="eastAsia" w:eastAsiaTheme="minorEastAsia"/>
                      <w:vertAlign w:val="baseline"/>
                      <w:lang w:val="en-US" w:eastAsia="zh-CN"/>
                    </w:rPr>
                  </w:pPr>
                  <w:r>
                    <w:rPr>
                      <w:rFonts w:hint="eastAsia"/>
                      <w:vertAlign w:val="baseline"/>
                      <w:lang w:val="en-US" w:eastAsia="zh-CN"/>
                    </w:rPr>
                    <w:t>区域活动</w:t>
                  </w:r>
                </w:p>
              </w:tc>
              <w:tc>
                <w:tcPr>
                  <w:tcW w:w="4521" w:type="dxa"/>
                  <w:tcBorders>
                    <w:tl2br w:val="nil"/>
                    <w:tr2bl w:val="nil"/>
                  </w:tcBorders>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r>
                    <w:t>禁止在国家确定的生态保护红线和永久基本农田范围内，投资建设除国家重大战略资源勘查项目、生态保护修复和环境及地质灾害治理项目、重大基础设施项目、军事国防项目以及农民基本生产生活等</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vertAlign w:val="baseline"/>
                    </w:rPr>
                  </w:pPr>
                  <w:r>
                    <w:t>必要的民生项目以外的项目，省级生态空间管控区域内项目建设必须符合《江苏省生态空间管控区域规划》 要求。</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eastAsiaTheme="minorEastAsia"/>
                      <w:vertAlign w:val="baseline"/>
                      <w:lang w:val="en-US" w:eastAsia="zh-CN"/>
                    </w:rPr>
                  </w:pPr>
                  <w:r>
                    <w:rPr>
                      <w:rFonts w:hint="eastAsia"/>
                      <w:vertAlign w:val="baseline"/>
                      <w:lang w:val="en-US" w:eastAsia="zh-CN"/>
                    </w:rPr>
                    <w:t>本项目不在国家确定的生态保护红线和永久基本农田范围内，不属于省级生态管控区域。</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continue"/>
                  <w:tcBorders>
                    <w:tl2br w:val="nil"/>
                    <w:tr2bl w:val="nil"/>
                  </w:tcBorders>
                </w:tcPr>
                <w:p>
                  <w:pPr>
                    <w:rPr>
                      <w:vertAlign w:val="baseline"/>
                    </w:rPr>
                  </w:pPr>
                </w:p>
              </w:tc>
              <w:tc>
                <w:tcPr>
                  <w:tcW w:w="4521" w:type="dxa"/>
                  <w:tcBorders>
                    <w:tl2br w:val="nil"/>
                    <w:tr2bl w:val="nil"/>
                  </w:tcBorders>
                </w:tcPr>
                <w:p>
                  <w:pPr>
                    <w:keepNext w:val="0"/>
                    <w:keepLines w:val="0"/>
                    <w:pageBreakBefore w:val="0"/>
                    <w:widowControl w:val="0"/>
                    <w:kinsoku/>
                    <w:wordWrap/>
                    <w:overflowPunct/>
                    <w:topLinePunct w:val="0"/>
                    <w:autoSpaceDE/>
                    <w:autoSpaceDN/>
                    <w:bidi w:val="0"/>
                    <w:adjustRightInd w:val="0"/>
                    <w:snapToGrid/>
                    <w:ind w:firstLine="420" w:firstLineChars="200"/>
                    <w:textAlignment w:val="auto"/>
                    <w:rPr>
                      <w:vertAlign w:val="baseline"/>
                    </w:rPr>
                  </w:pPr>
                  <w:r>
                    <w:t>禁止在合规园区外新建、扩建钢铁、石化、化工、焦化、建材、有色等高污染项目。合规园区名录按照《江苏省长江经济带发展负面清单实施细则（试行）合规园区名录》执行。高污染项目应严格按照《环境保护综合名录》等有关要求执行。</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vertAlign w:val="baseline"/>
                      <w:lang w:val="en-US" w:eastAsia="zh-CN"/>
                    </w:rPr>
                  </w:pPr>
                  <w:r>
                    <w:rPr>
                      <w:rFonts w:hint="eastAsia"/>
                      <w:vertAlign w:val="baseline"/>
                      <w:lang w:val="en-US" w:eastAsia="zh-CN"/>
                    </w:rPr>
                    <w:t>本项目为太阳能光伏材料制造业，不属于高污染项目。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continue"/>
                  <w:tcBorders>
                    <w:tl2br w:val="nil"/>
                    <w:tr2bl w:val="nil"/>
                  </w:tcBorders>
                </w:tcPr>
                <w:p>
                  <w:pPr>
                    <w:rPr>
                      <w:vertAlign w:val="baseline"/>
                    </w:rPr>
                  </w:pPr>
                </w:p>
              </w:tc>
              <w:tc>
                <w:tcPr>
                  <w:tcW w:w="4521" w:type="dxa"/>
                  <w:tcBorders>
                    <w:tl2br w:val="nil"/>
                    <w:tr2bl w:val="nil"/>
                  </w:tcBorders>
                </w:tcPr>
                <w:p>
                  <w:pPr>
                    <w:keepNext w:val="0"/>
                    <w:keepLines w:val="0"/>
                    <w:pageBreakBefore w:val="0"/>
                    <w:widowControl w:val="0"/>
                    <w:kinsoku/>
                    <w:wordWrap/>
                    <w:overflowPunct/>
                    <w:topLinePunct w:val="0"/>
                    <w:autoSpaceDE/>
                    <w:autoSpaceDN/>
                    <w:bidi w:val="0"/>
                    <w:adjustRightInd w:val="0"/>
                    <w:snapToGrid/>
                    <w:ind w:firstLine="420" w:firstLineChars="200"/>
                    <w:textAlignment w:val="auto"/>
                  </w:pPr>
                  <w:r>
                    <w:t>禁止在取消化工定位的园区（集中区）内新建、扩建化工项目。</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vertAlign w:val="baseline"/>
                      <w:lang w:val="en-US" w:eastAsia="zh-CN"/>
                    </w:rPr>
                  </w:pPr>
                  <w:r>
                    <w:rPr>
                      <w:rFonts w:hint="eastAsia"/>
                      <w:vertAlign w:val="baseline"/>
                      <w:lang w:val="en-US" w:eastAsia="zh-CN"/>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continue"/>
                  <w:tcBorders>
                    <w:tl2br w:val="nil"/>
                    <w:tr2bl w:val="nil"/>
                  </w:tcBorders>
                </w:tcPr>
                <w:p>
                  <w:pPr>
                    <w:rPr>
                      <w:vertAlign w:val="baseline"/>
                    </w:rPr>
                  </w:pPr>
                </w:p>
              </w:tc>
              <w:tc>
                <w:tcPr>
                  <w:tcW w:w="4521" w:type="dxa"/>
                  <w:tcBorders>
                    <w:tl2br w:val="nil"/>
                    <w:tr2bl w:val="nil"/>
                  </w:tcBorders>
                </w:tcPr>
                <w:p>
                  <w:pPr>
                    <w:keepNext w:val="0"/>
                    <w:keepLines w:val="0"/>
                    <w:pageBreakBefore w:val="0"/>
                    <w:widowControl w:val="0"/>
                    <w:kinsoku/>
                    <w:wordWrap/>
                    <w:overflowPunct/>
                    <w:topLinePunct w:val="0"/>
                    <w:autoSpaceDE/>
                    <w:autoSpaceDN/>
                    <w:bidi w:val="0"/>
                    <w:adjustRightInd w:val="0"/>
                    <w:snapToGrid/>
                    <w:ind w:firstLine="420" w:firstLineChars="200"/>
                    <w:textAlignment w:val="auto"/>
                  </w:pPr>
                  <w:r>
                    <w:t>禁止在化工集中区内新建、改建、扩建生产和使用《危险化学品目录》中具有爆炸特性化学品的项目。</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vertAlign w:val="baseline"/>
                      <w:lang w:val="en-US" w:eastAsia="zh-CN"/>
                    </w:rPr>
                  </w:pPr>
                  <w:r>
                    <w:rPr>
                      <w:rFonts w:hint="eastAsia"/>
                      <w:vertAlign w:val="baseline"/>
                      <w:lang w:val="en-US" w:eastAsia="zh-CN"/>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continue"/>
                  <w:tcBorders>
                    <w:tl2br w:val="nil"/>
                    <w:tr2bl w:val="nil"/>
                  </w:tcBorders>
                </w:tcPr>
                <w:p>
                  <w:pPr>
                    <w:rPr>
                      <w:vertAlign w:val="baseline"/>
                    </w:rPr>
                  </w:pPr>
                </w:p>
              </w:tc>
              <w:tc>
                <w:tcPr>
                  <w:tcW w:w="4521" w:type="dxa"/>
                  <w:tcBorders>
                    <w:tl2br w:val="nil"/>
                    <w:tr2bl w:val="nil"/>
                  </w:tcBorders>
                </w:tcPr>
                <w:p>
                  <w:pPr>
                    <w:keepNext w:val="0"/>
                    <w:keepLines w:val="0"/>
                    <w:pageBreakBefore w:val="0"/>
                    <w:widowControl w:val="0"/>
                    <w:kinsoku/>
                    <w:wordWrap/>
                    <w:overflowPunct/>
                    <w:topLinePunct w:val="0"/>
                    <w:autoSpaceDE/>
                    <w:autoSpaceDN/>
                    <w:bidi w:val="0"/>
                    <w:adjustRightInd w:val="0"/>
                    <w:snapToGrid/>
                    <w:ind w:firstLine="420" w:firstLineChars="200"/>
                    <w:textAlignment w:val="auto"/>
                  </w:pPr>
                  <w:r>
                    <w:t>禁止在化工企业周边建设不符合安全距离规定的劳动密集型的非化工项目和其他人员密集的公共设施项目。</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vertAlign w:val="baseline"/>
                      <w:lang w:val="en-US" w:eastAsia="zh-CN"/>
                    </w:rPr>
                  </w:pPr>
                  <w:r>
                    <w:rPr>
                      <w:rFonts w:hint="eastAsia"/>
                      <w:vertAlign w:val="baseline"/>
                      <w:lang w:val="en-US" w:eastAsia="zh-CN"/>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continue"/>
                  <w:tcBorders>
                    <w:tl2br w:val="nil"/>
                    <w:tr2bl w:val="nil"/>
                  </w:tcBorders>
                </w:tcPr>
                <w:p>
                  <w:pPr>
                    <w:rPr>
                      <w:vertAlign w:val="baseline"/>
                    </w:rPr>
                  </w:pPr>
                </w:p>
              </w:tc>
              <w:tc>
                <w:tcPr>
                  <w:tcW w:w="45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ind w:firstLine="420" w:firstLineChars="200"/>
                    <w:jc w:val="center"/>
                    <w:textAlignment w:val="auto"/>
                  </w:pPr>
                  <w:r>
                    <w:t>禁止在太湖流域一、二、三级保护区内开展《江苏省太湖水污染防治条例》禁止的投资建设活动</w:t>
                  </w:r>
                  <w:r>
                    <w:rPr>
                      <w:rFonts w:hint="eastAsia"/>
                      <w:lang w:eastAsia="zh-CN"/>
                    </w:rPr>
                    <w:t>（《</w:t>
                  </w:r>
                  <w:r>
                    <w:t>江苏省太湖流域战略性新兴产业类别目录（2018年本）》明确的要求除外）。</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vertAlign w:val="baseline"/>
                      <w:lang w:val="en-US" w:eastAsia="zh-CN"/>
                    </w:rPr>
                  </w:pPr>
                  <w:r>
                    <w:rPr>
                      <w:rFonts w:hint="eastAsia"/>
                      <w:vertAlign w:val="baseline"/>
                      <w:lang w:val="en-US" w:eastAsia="zh-CN"/>
                    </w:rPr>
                    <w:t>本项目所在地属于太湖流域二级保护区，不属于《江苏省太湖水污染防治条例》禁止的投资建设活动。</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continue"/>
                  <w:tcBorders>
                    <w:tl2br w:val="nil"/>
                    <w:tr2bl w:val="nil"/>
                  </w:tcBorders>
                </w:tcPr>
                <w:p>
                  <w:pPr>
                    <w:rPr>
                      <w:vertAlign w:val="baseline"/>
                    </w:rPr>
                  </w:pPr>
                </w:p>
              </w:tc>
              <w:tc>
                <w:tcPr>
                  <w:tcW w:w="4521" w:type="dxa"/>
                  <w:tcBorders>
                    <w:tl2br w:val="nil"/>
                    <w:tr2bl w:val="nil"/>
                  </w:tcBorders>
                </w:tcPr>
                <w:p>
                  <w:pPr>
                    <w:keepNext w:val="0"/>
                    <w:keepLines w:val="0"/>
                    <w:pageBreakBefore w:val="0"/>
                    <w:widowControl w:val="0"/>
                    <w:kinsoku/>
                    <w:wordWrap/>
                    <w:overflowPunct/>
                    <w:topLinePunct w:val="0"/>
                    <w:autoSpaceDE/>
                    <w:autoSpaceDN/>
                    <w:bidi w:val="0"/>
                    <w:adjustRightInd w:val="0"/>
                    <w:snapToGrid/>
                    <w:ind w:firstLine="420" w:firstLineChars="200"/>
                    <w:textAlignment w:val="auto"/>
                  </w:pPr>
                  <w:r>
                    <w:t>园区外化工企业项目按照《关于加强全省化工园区化工集中区外化工生产企业规范化管理的通知》（苏化治〔2021〕4号）执行。</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vertAlign w:val="baseline"/>
                      <w:lang w:val="en-US" w:eastAsia="zh-CN"/>
                    </w:rPr>
                  </w:pPr>
                  <w:r>
                    <w:rPr>
                      <w:rFonts w:hint="eastAsia"/>
                      <w:vertAlign w:val="baseline"/>
                      <w:lang w:val="en-US" w:eastAsia="zh-CN"/>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continue"/>
                  <w:tcBorders>
                    <w:tl2br w:val="nil"/>
                    <w:tr2bl w:val="nil"/>
                  </w:tcBorders>
                </w:tcPr>
                <w:p>
                  <w:pPr>
                    <w:rPr>
                      <w:vertAlign w:val="baseline"/>
                    </w:rPr>
                  </w:pPr>
                </w:p>
              </w:tc>
              <w:tc>
                <w:tcPr>
                  <w:tcW w:w="45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ind w:firstLine="420" w:firstLineChars="200"/>
                    <w:jc w:val="center"/>
                    <w:textAlignment w:val="auto"/>
                  </w:pPr>
                  <w:r>
                    <w:t>宜南山区内建设项目必须符合《宜南山区保护和开发管控规划》要求。</w:t>
                  </w:r>
                </w:p>
              </w:tc>
              <w:tc>
                <w:tcPr>
                  <w:tcW w:w="197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vertAlign w:val="baseline"/>
                      <w:lang w:val="en-US" w:eastAsia="zh-CN"/>
                    </w:rPr>
                  </w:pPr>
                  <w:r>
                    <w:rPr>
                      <w:rFonts w:hint="eastAsia"/>
                      <w:vertAlign w:val="baseline"/>
                      <w:lang w:val="en-US" w:eastAsia="zh-CN"/>
                    </w:rPr>
                    <w:t>本项目位于高塍镇工业集中区，不属于宜南山区。</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tcBorders>
                    <w:tl2br w:val="nil"/>
                    <w:tr2bl w:val="nil"/>
                  </w:tcBorders>
                  <w:vAlign w:val="center"/>
                </w:tcPr>
                <w:p>
                  <w:pPr>
                    <w:jc w:val="center"/>
                    <w:rPr>
                      <w:vertAlign w:val="baseline"/>
                    </w:rPr>
                  </w:pPr>
                  <w:r>
                    <w:rPr>
                      <w:rFonts w:hint="eastAsia"/>
                      <w:vertAlign w:val="baseline"/>
                      <w:lang w:val="en-US" w:eastAsia="zh-CN"/>
                    </w:rPr>
                    <w:t>产业发展</w:t>
                  </w:r>
                </w:p>
              </w:tc>
              <w:tc>
                <w:tcPr>
                  <w:tcW w:w="4521" w:type="dxa"/>
                  <w:tcBorders>
                    <w:tl2br w:val="nil"/>
                    <w:tr2bl w:val="nil"/>
                  </w:tcBorders>
                </w:tcPr>
                <w:p>
                  <w:pPr>
                    <w:keepNext w:val="0"/>
                    <w:keepLines w:val="0"/>
                    <w:pageBreakBefore w:val="0"/>
                    <w:widowControl w:val="0"/>
                    <w:kinsoku/>
                    <w:wordWrap/>
                    <w:overflowPunct/>
                    <w:topLinePunct w:val="0"/>
                    <w:autoSpaceDE/>
                    <w:autoSpaceDN/>
                    <w:bidi w:val="0"/>
                    <w:adjustRightInd w:val="0"/>
                    <w:snapToGrid/>
                    <w:ind w:firstLine="420" w:firstLineChars="200"/>
                    <w:textAlignment w:val="auto"/>
                  </w:pPr>
                  <w:r>
                    <w:rPr>
                      <w:rFonts w:hint="eastAsia"/>
                      <w:lang w:eastAsia="zh-CN"/>
                    </w:rPr>
                    <w:t>（</w:t>
                  </w:r>
                  <w:r>
                    <w:rPr>
                      <w:rFonts w:hint="eastAsia"/>
                      <w:lang w:val="en-US" w:eastAsia="zh-CN"/>
                    </w:rPr>
                    <w:t>一</w:t>
                  </w:r>
                  <w:r>
                    <w:rPr>
                      <w:rFonts w:hint="eastAsia"/>
                      <w:lang w:eastAsia="zh-CN"/>
                    </w:rPr>
                    <w:t>）</w:t>
                  </w:r>
                  <w:r>
                    <w:t>禁止新建、扩建尿素、磷铵、电石、烧碱、聚氯乙烯、纯碱新增产能项目。</w:t>
                  </w:r>
                </w:p>
                <w:p>
                  <w:pPr>
                    <w:keepNext w:val="0"/>
                    <w:keepLines w:val="0"/>
                    <w:pageBreakBefore w:val="0"/>
                    <w:widowControl w:val="0"/>
                    <w:kinsoku/>
                    <w:wordWrap/>
                    <w:overflowPunct/>
                    <w:topLinePunct w:val="0"/>
                    <w:autoSpaceDE/>
                    <w:autoSpaceDN/>
                    <w:bidi w:val="0"/>
                    <w:adjustRightInd w:val="0"/>
                    <w:snapToGrid/>
                    <w:ind w:firstLine="420" w:firstLineChars="200"/>
                    <w:textAlignment w:val="auto"/>
                  </w:pPr>
                  <w:r>
                    <w:t>（二）禁止新建、改建、扩建高毒、高残留以及对环境影响大的农药原药项目，禁止新建、扩建农药、医药和染料中间体化工项目。</w:t>
                  </w:r>
                </w:p>
                <w:p>
                  <w:pPr>
                    <w:keepNext w:val="0"/>
                    <w:keepLines w:val="0"/>
                    <w:pageBreakBefore w:val="0"/>
                    <w:widowControl w:val="0"/>
                    <w:kinsoku/>
                    <w:wordWrap/>
                    <w:overflowPunct/>
                    <w:topLinePunct w:val="0"/>
                    <w:autoSpaceDE/>
                    <w:autoSpaceDN/>
                    <w:bidi w:val="0"/>
                    <w:adjustRightInd w:val="0"/>
                    <w:snapToGrid/>
                    <w:ind w:firstLine="420" w:firstLineChars="200"/>
                    <w:textAlignment w:val="auto"/>
                  </w:pPr>
                  <w:r>
                    <w:rPr>
                      <w:rFonts w:hint="eastAsia"/>
                      <w:lang w:eastAsia="zh-CN"/>
                    </w:rPr>
                    <w:t>（</w:t>
                  </w:r>
                  <w:r>
                    <w:t>三）禁止新建不符合行业准入条件的合成氨、对二甲苯二硫化碳、氟化氢、轮胎等项目。</w:t>
                  </w: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eastAsia" w:eastAsiaTheme="minorEastAsia"/>
                      <w:lang w:eastAsia="zh-CN"/>
                    </w:rPr>
                  </w:pPr>
                  <w:r>
                    <w:t>（四）禁止新建、扩建不符合国家石化、现代煤化工等产业布局规划的项目，禁止新建独立焦化项目</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ind w:firstLine="420" w:firstLineChars="200"/>
                    <w:textAlignment w:val="auto"/>
                  </w:pPr>
                  <w:r>
                    <w:rPr>
                      <w:rFonts w:hint="eastAsia"/>
                      <w:lang w:eastAsia="zh-CN"/>
                    </w:rPr>
                    <w:t>（</w:t>
                  </w:r>
                  <w:r>
                    <w:rPr>
                      <w:rFonts w:hint="eastAsia"/>
                    </w:rPr>
                    <w:t>五）禁止新建、扩建不符合国家产能置换要求的严重过剩产能行业的项目。</w:t>
                  </w:r>
                </w:p>
                <w:p>
                  <w:pPr>
                    <w:keepNext w:val="0"/>
                    <w:keepLines w:val="0"/>
                    <w:pageBreakBefore w:val="0"/>
                    <w:widowControl w:val="0"/>
                    <w:kinsoku/>
                    <w:wordWrap/>
                    <w:overflowPunct/>
                    <w:topLinePunct w:val="0"/>
                    <w:autoSpaceDE/>
                    <w:autoSpaceDN/>
                    <w:bidi w:val="0"/>
                    <w:adjustRightInd w:val="0"/>
                    <w:snapToGrid/>
                    <w:ind w:firstLine="420" w:firstLineChars="200"/>
                    <w:textAlignment w:val="auto"/>
                    <w:rPr>
                      <w:rFonts w:hint="eastAsia"/>
                    </w:rPr>
                  </w:pPr>
                  <w:r>
                    <w:rPr>
                      <w:rFonts w:hint="eastAsia"/>
                    </w:rPr>
                    <w:t>（六）禁止新建、扩建不符合《江苏省林牧渔业、工业、服务业和生活用水定额（2019年修订）》的项目。</w:t>
                  </w:r>
                </w:p>
                <w:p>
                  <w:pPr>
                    <w:keepNext w:val="0"/>
                    <w:keepLines w:val="0"/>
                    <w:pageBreakBefore w:val="0"/>
                    <w:widowControl w:val="0"/>
                    <w:kinsoku/>
                    <w:wordWrap/>
                    <w:overflowPunct/>
                    <w:topLinePunct w:val="0"/>
                    <w:autoSpaceDE/>
                    <w:autoSpaceDN/>
                    <w:bidi w:val="0"/>
                    <w:adjustRightInd w:val="0"/>
                    <w:snapToGrid/>
                    <w:ind w:firstLine="420" w:firstLineChars="200"/>
                    <w:textAlignment w:val="auto"/>
                  </w:pPr>
                  <w:r>
                    <w:rPr>
                      <w:rFonts w:hint="eastAsia"/>
                    </w:rPr>
                    <w:t>（七）禁止新建、扩建国家《产业结构调整指导目录（2019年本）》《外商投资准入特别管理措施（负面清单）（2020年版）》《江苏省化工产业结构调整限制、淘汰和禁止目录（2020年本）》等上级政策中明确的限制类、淘汏类、禁止类项目，法律法规和相关政策明令禁止的落后产能项目以及明令淘汰的安全生产落后工艺及装备项目。</w:t>
                  </w:r>
                </w:p>
              </w:tc>
              <w:tc>
                <w:tcPr>
                  <w:tcW w:w="1972" w:type="dxa"/>
                  <w:tcBorders>
                    <w:tl2br w:val="nil"/>
                    <w:tr2bl w:val="nil"/>
                  </w:tcBorders>
                  <w:vAlign w:val="center"/>
                </w:tcPr>
                <w:p>
                  <w:pPr>
                    <w:jc w:val="center"/>
                    <w:rPr>
                      <w:vertAlign w:val="baseline"/>
                    </w:rPr>
                  </w:pPr>
                  <w:r>
                    <w:rPr>
                      <w:rFonts w:hint="eastAsia"/>
                      <w:vertAlign w:val="baseline"/>
                    </w:rPr>
                    <w:t>本项目属于</w:t>
                  </w:r>
                  <w:r>
                    <w:rPr>
                      <w:rFonts w:hint="eastAsia"/>
                      <w:vertAlign w:val="baseline"/>
                      <w:lang w:eastAsia="zh-CN"/>
                    </w:rPr>
                    <w:t>太阳能光伏材料制造业</w:t>
                  </w:r>
                  <w:r>
                    <w:rPr>
                      <w:rFonts w:hint="eastAsia"/>
                      <w:vertAlign w:val="baseline"/>
                    </w:rPr>
                    <w:t>，不属于以上禁止类项目，且本项目用水定额可达</w:t>
                  </w:r>
                  <w:r>
                    <w:rPr>
                      <w:rFonts w:hint="default" w:ascii="Times New Roman" w:hAnsi="Times New Roman" w:cs="Times New Roman"/>
                      <w:vertAlign w:val="baseline"/>
                    </w:rPr>
                    <w:t xml:space="preserve"> I</w:t>
                  </w:r>
                  <w:r>
                    <w:rPr>
                      <w:rFonts w:hint="eastAsia"/>
                      <w:vertAlign w:val="baseline"/>
                    </w:rPr>
                    <w:t>级，符合《江苏省林牧 渔业、工业、服务业和生 活用水定额(2019年修订)》要求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restart"/>
                  <w:tcBorders>
                    <w:tl2br w:val="nil"/>
                    <w:tr2bl w:val="nil"/>
                  </w:tcBorders>
                  <w:vAlign w:val="center"/>
                </w:tcPr>
                <w:p>
                  <w:pPr>
                    <w:jc w:val="center"/>
                    <w:rPr>
                      <w:vertAlign w:val="baseline"/>
                    </w:rPr>
                  </w:pPr>
                  <w:r>
                    <w:rPr>
                      <w:rFonts w:hint="eastAsia"/>
                      <w:vertAlign w:val="baseline"/>
                      <w:lang w:val="en-US" w:eastAsia="zh-CN"/>
                    </w:rPr>
                    <w:t>其  他</w:t>
                  </w:r>
                </w:p>
              </w:tc>
              <w:tc>
                <w:tcPr>
                  <w:tcW w:w="45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ind w:firstLine="420" w:firstLineChars="200"/>
                    <w:jc w:val="center"/>
                    <w:textAlignment w:val="auto"/>
                  </w:pPr>
                  <w:r>
                    <w:t>（一）</w:t>
                  </w:r>
                  <w:r>
                    <w:rPr>
                      <w:rFonts w:hint="eastAsia"/>
                      <w:lang w:eastAsia="zh-CN"/>
                    </w:rPr>
                    <w:t>“</w:t>
                  </w:r>
                  <w:r>
                    <w:t>两高</w:t>
                  </w:r>
                  <w:r>
                    <w:rPr>
                      <w:rFonts w:hint="eastAsia"/>
                      <w:lang w:eastAsia="zh-CN"/>
                    </w:rPr>
                    <w:t>”</w:t>
                  </w:r>
                  <w:r>
                    <w:t>项目、商品混凝土、铜加工、PC构建（混凝土预制件）、固危废处置和利用、新上中频炉等根据我市产业发展导向需要管控的项目，必须报行业主管部门牵头论证后实施。</w:t>
                  </w:r>
                </w:p>
              </w:tc>
              <w:tc>
                <w:tcPr>
                  <w:tcW w:w="1972" w:type="dxa"/>
                  <w:tcBorders>
                    <w:tl2br w:val="nil"/>
                    <w:tr2bl w:val="nil"/>
                  </w:tcBorders>
                  <w:vAlign w:val="center"/>
                </w:tcPr>
                <w:p>
                  <w:pPr>
                    <w:jc w:val="center"/>
                    <w:rPr>
                      <w:rFonts w:hint="eastAsia" w:eastAsiaTheme="minorEastAsia"/>
                      <w:vertAlign w:val="baseline"/>
                      <w:lang w:val="en-US" w:eastAsia="zh-CN"/>
                    </w:rPr>
                  </w:pPr>
                  <w:r>
                    <w:rPr>
                      <w:rFonts w:hint="eastAsia"/>
                      <w:vertAlign w:val="baseline"/>
                      <w:lang w:val="en-US" w:eastAsia="zh-CN"/>
                    </w:rPr>
                    <w:t>本项目不属于</w:t>
                  </w:r>
                  <w:r>
                    <w:rPr>
                      <w:rFonts w:hint="eastAsia"/>
                      <w:lang w:eastAsia="zh-CN"/>
                    </w:rPr>
                    <w:t>“</w:t>
                  </w:r>
                  <w:r>
                    <w:t>两高</w:t>
                  </w:r>
                  <w:r>
                    <w:rPr>
                      <w:rFonts w:hint="eastAsia"/>
                      <w:lang w:eastAsia="zh-CN"/>
                    </w:rPr>
                    <w:t>”</w:t>
                  </w:r>
                  <w:r>
                    <w:t>项目</w:t>
                  </w:r>
                  <w:r>
                    <w:rPr>
                      <w:rFonts w:hint="eastAsia"/>
                      <w:lang w:eastAsia="zh-CN"/>
                    </w:rPr>
                    <w:t>、</w:t>
                  </w:r>
                  <w:r>
                    <w:t>商品混凝土、铜加工、PC构建（混凝土预制件）、固危废处置和利用、新上中频炉等</w:t>
                  </w:r>
                  <w:r>
                    <w:rPr>
                      <w:rFonts w:hint="eastAsia"/>
                      <w:lang w:val="en-US" w:eastAsia="zh-CN"/>
                    </w:rPr>
                    <w:t>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continue"/>
                  <w:tcBorders>
                    <w:tl2br w:val="nil"/>
                    <w:tr2bl w:val="nil"/>
                  </w:tcBorders>
                </w:tcPr>
                <w:p>
                  <w:pPr>
                    <w:rPr>
                      <w:vertAlign w:val="baseline"/>
                    </w:rPr>
                  </w:pPr>
                </w:p>
              </w:tc>
              <w:tc>
                <w:tcPr>
                  <w:tcW w:w="45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ind w:firstLine="420" w:firstLineChars="200"/>
                    <w:jc w:val="center"/>
                    <w:textAlignment w:val="auto"/>
                  </w:pPr>
                  <w:r>
                    <w:t>（二）省级以上园区入园项目原则上必须符合园区产业定位；工业园区或集中区外新建、改建、扩建工业项目必须报市级项目审批部门论证。</w:t>
                  </w:r>
                </w:p>
              </w:tc>
              <w:tc>
                <w:tcPr>
                  <w:tcW w:w="1972" w:type="dxa"/>
                  <w:tcBorders>
                    <w:tl2br w:val="nil"/>
                    <w:tr2bl w:val="nil"/>
                  </w:tcBorders>
                  <w:vAlign w:val="center"/>
                </w:tcPr>
                <w:p>
                  <w:pPr>
                    <w:jc w:val="center"/>
                    <w:rPr>
                      <w:rFonts w:hint="default" w:eastAsiaTheme="minorEastAsia"/>
                      <w:vertAlign w:val="baseline"/>
                      <w:lang w:val="en-US" w:eastAsia="zh-CN"/>
                    </w:rPr>
                  </w:pPr>
                  <w:r>
                    <w:rPr>
                      <w:rFonts w:hint="eastAsia"/>
                      <w:vertAlign w:val="baseline"/>
                      <w:lang w:val="en-US" w:eastAsia="zh-CN"/>
                    </w:rPr>
                    <w:t>本项目位于宜兴市高塍镇工业集中区，该区属于宜兴市级工业区，符合要求。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0" w:type="dxa"/>
                  <w:vMerge w:val="continue"/>
                  <w:tcBorders>
                    <w:tl2br w:val="nil"/>
                    <w:tr2bl w:val="nil"/>
                  </w:tcBorders>
                </w:tcPr>
                <w:p>
                  <w:pPr>
                    <w:rPr>
                      <w:vertAlign w:val="baseline"/>
                    </w:rPr>
                  </w:pPr>
                </w:p>
              </w:tc>
              <w:tc>
                <w:tcPr>
                  <w:tcW w:w="45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ind w:firstLine="420" w:firstLineChars="200"/>
                    <w:jc w:val="center"/>
                    <w:textAlignment w:val="auto"/>
                  </w:pPr>
                  <w:r>
                    <w:t>（三）严格执行《宜兴市人民政府关于调整高污染燃料禁燃区的通告》相关规定，禁止在燃气管网和集中供热管网覆盖范围内，新、改、扩建燃用煤炭、重油、渣油、成型生物质燃料的设施。</w:t>
                  </w:r>
                </w:p>
              </w:tc>
              <w:tc>
                <w:tcPr>
                  <w:tcW w:w="1972" w:type="dxa"/>
                  <w:tcBorders>
                    <w:tl2br w:val="nil"/>
                    <w:tr2bl w:val="nil"/>
                  </w:tcBorders>
                  <w:vAlign w:val="center"/>
                </w:tcPr>
                <w:p>
                  <w:pPr>
                    <w:jc w:val="center"/>
                    <w:rPr>
                      <w:rFonts w:hint="default" w:eastAsiaTheme="minorEastAsia"/>
                      <w:vertAlign w:val="baseline"/>
                      <w:lang w:val="en-US" w:eastAsia="zh-CN"/>
                    </w:rPr>
                  </w:pPr>
                  <w:r>
                    <w:rPr>
                      <w:rFonts w:hint="eastAsia"/>
                      <w:vertAlign w:val="baseline"/>
                      <w:lang w:val="en-US" w:eastAsia="zh-CN"/>
                    </w:rPr>
                    <w:t>本项目不使用</w:t>
                  </w:r>
                  <w:r>
                    <w:t>煤炭、重油、渣油、成型生物质燃料</w:t>
                  </w:r>
                  <w:r>
                    <w:rPr>
                      <w:rFonts w:hint="eastAsia"/>
                      <w:vertAlign w:val="baseline"/>
                      <w:lang w:val="en-US" w:eastAsia="zh-CN"/>
                    </w:rPr>
                    <w:t>。</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50" w:type="dxa"/>
                  <w:vMerge w:val="continue"/>
                  <w:tcBorders>
                    <w:tl2br w:val="nil"/>
                    <w:tr2bl w:val="nil"/>
                  </w:tcBorders>
                </w:tcPr>
                <w:p>
                  <w:pPr>
                    <w:rPr>
                      <w:vertAlign w:val="baseline"/>
                    </w:rPr>
                  </w:pPr>
                </w:p>
              </w:tc>
              <w:tc>
                <w:tcPr>
                  <w:tcW w:w="45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ind w:firstLine="420" w:firstLineChars="200"/>
                    <w:jc w:val="center"/>
                    <w:textAlignment w:val="auto"/>
                  </w:pPr>
                  <w:r>
                    <w:t>（四）严格执行《宜兴市固危废处置工作方案》，禁止新、扩建原料来源于宜兴市域以外的危险废物贮存场、焚烧、填埋处置项目；原则上严格控制原料主要来源为市域外的固体废物资源再利用项目；危险废物贮存、处置、综合利用类项目必须进入符合园区产业定位和准入条件的工业园区或集中区。禁止在太湖一级保护区内新、扩建固废资源综合利用、处置项目（</w:t>
                  </w:r>
                  <w:r>
                    <w:rPr>
                      <w:rFonts w:hint="eastAsia"/>
                      <w:lang w:eastAsia="zh-CN"/>
                    </w:rPr>
                    <w:t>“</w:t>
                  </w:r>
                  <w:r>
                    <w:t>治太</w:t>
                  </w:r>
                  <w:r>
                    <w:rPr>
                      <w:rFonts w:hint="eastAsia"/>
                      <w:lang w:eastAsia="zh-CN"/>
                    </w:rPr>
                    <w:t>”</w:t>
                  </w:r>
                  <w:r>
                    <w:t>项目、民生项目除外）。</w:t>
                  </w:r>
                </w:p>
              </w:tc>
              <w:tc>
                <w:tcPr>
                  <w:tcW w:w="1972" w:type="dxa"/>
                  <w:tcBorders>
                    <w:tl2br w:val="nil"/>
                    <w:tr2bl w:val="nil"/>
                  </w:tcBorders>
                  <w:vAlign w:val="center"/>
                </w:tcPr>
                <w:p>
                  <w:pPr>
                    <w:jc w:val="center"/>
                    <w:rPr>
                      <w:rFonts w:hint="default" w:eastAsiaTheme="minorEastAsia"/>
                      <w:vertAlign w:val="baseline"/>
                      <w:lang w:val="en-US" w:eastAsia="zh-CN"/>
                    </w:rPr>
                  </w:pPr>
                  <w:r>
                    <w:rPr>
                      <w:rFonts w:hint="eastAsia"/>
                      <w:vertAlign w:val="baseline"/>
                      <w:lang w:val="en-US" w:eastAsia="zh-CN"/>
                    </w:rPr>
                    <w:t>本项目属于</w:t>
                  </w:r>
                  <w:r>
                    <w:rPr>
                      <w:rFonts w:hint="eastAsia"/>
                      <w:vertAlign w:val="baseline"/>
                      <w:lang w:eastAsia="zh-CN"/>
                    </w:rPr>
                    <w:t>太阳能光伏材料制造业</w:t>
                  </w:r>
                  <w:r>
                    <w:rPr>
                      <w:rFonts w:hint="eastAsia"/>
                      <w:vertAlign w:val="baseline"/>
                      <w:lang w:val="en-US" w:eastAsia="zh-CN"/>
                    </w:rPr>
                    <w:t>，不属于以上禁止类项目。</w:t>
                  </w:r>
                </w:p>
              </w:tc>
            </w:tr>
          </w:tbl>
          <w:p>
            <w:pPr>
              <w:pStyle w:val="2"/>
              <w:keepNext w:val="0"/>
              <w:keepLines w:val="0"/>
              <w:pageBreakBefore w:val="0"/>
              <w:widowControl/>
              <w:kinsoku/>
              <w:wordWrap/>
              <w:overflowPunct/>
              <w:topLinePunct w:val="0"/>
              <w:autoSpaceDE/>
              <w:autoSpaceDN/>
              <w:bidi w:val="0"/>
              <w:adjustRightInd/>
              <w:snapToGrid w:val="0"/>
              <w:spacing w:line="360" w:lineRule="auto"/>
              <w:ind w:right="113" w:firstLine="480" w:firstLineChars="200"/>
              <w:textAlignment w:val="auto"/>
            </w:pPr>
            <w:r>
              <w:rPr>
                <w:rFonts w:ascii="宋体" w:hAnsi="宋体" w:eastAsia="宋体" w:cs="宋体"/>
                <w:sz w:val="24"/>
                <w:szCs w:val="24"/>
              </w:rPr>
              <w:t>综上，本项目</w:t>
            </w:r>
            <w:r>
              <w:rPr>
                <w:rFonts w:hint="eastAsia" w:ascii="宋体" w:hAnsi="宋体" w:cs="宋体"/>
                <w:sz w:val="24"/>
                <w:szCs w:val="24"/>
                <w:lang w:val="en-US" w:eastAsia="zh-CN"/>
              </w:rPr>
              <w:t>符合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&lt;</w:t>
            </w:r>
            <w:r>
              <w:rPr>
                <w:rFonts w:hint="eastAsia" w:ascii="宋体" w:hAnsi="宋体" w:eastAsia="宋体" w:cs="宋体"/>
                <w:sz w:val="24"/>
                <w:szCs w:val="24"/>
                <w:lang w:eastAsia="zh-CN"/>
              </w:rPr>
              <w:t>长江经济带发展负面清单指南&gt;宜兴市实施细则（试行）》 （宜政办发〔2021〕67号）</w:t>
            </w:r>
            <w:r>
              <w:rPr>
                <w:rFonts w:hint="eastAsia" w:ascii="宋体" w:hAnsi="宋体" w:cs="宋体"/>
                <w:sz w:val="24"/>
                <w:szCs w:val="24"/>
                <w:lang w:val="en-US" w:eastAsia="zh-CN"/>
              </w:rPr>
              <w:t>相关文件的要求</w:t>
            </w:r>
            <w:r>
              <w:rPr>
                <w:rFonts w:ascii="宋体" w:hAnsi="宋体" w:eastAsia="宋体" w:cs="宋体"/>
                <w:sz w:val="24"/>
                <w:szCs w:val="24"/>
              </w:rPr>
              <w:t>。</w:t>
            </w:r>
          </w:p>
          <w:p>
            <w:pPr>
              <w:pStyle w:val="107"/>
              <w:snapToGrid w:val="0"/>
              <w:spacing w:line="360" w:lineRule="auto"/>
              <w:ind w:firstLine="482" w:firstLineChars="200"/>
              <w:rPr>
                <w:rFonts w:hint="eastAsia" w:ascii="宋体" w:hAnsi="宋体" w:eastAsia="宋体" w:cs="宋体"/>
                <w:kern w:val="0"/>
                <w:szCs w:val="21"/>
                <w:lang w:eastAsia="zh-CN"/>
              </w:rPr>
            </w:pPr>
          </w:p>
          <w:p>
            <w:pPr>
              <w:pStyle w:val="107"/>
              <w:snapToGrid w:val="0"/>
              <w:spacing w:line="360" w:lineRule="auto"/>
              <w:ind w:firstLine="482" w:firstLineChars="200"/>
              <w:rPr>
                <w:rFonts w:hint="eastAsia" w:ascii="宋体" w:hAnsi="宋体" w:eastAsia="宋体" w:cs="宋体"/>
                <w:kern w:val="0"/>
                <w:szCs w:val="21"/>
                <w:lang w:eastAsia="zh-CN"/>
              </w:rPr>
            </w:pPr>
          </w:p>
          <w:p>
            <w:pPr>
              <w:pStyle w:val="107"/>
              <w:snapToGrid w:val="0"/>
              <w:spacing w:line="360" w:lineRule="auto"/>
              <w:ind w:firstLine="482" w:firstLineChars="200"/>
              <w:rPr>
                <w:rFonts w:hint="eastAsia" w:ascii="宋体" w:hAnsi="宋体" w:eastAsia="宋体" w:cs="宋体"/>
                <w:kern w:val="0"/>
                <w:szCs w:val="21"/>
                <w:lang w:eastAsia="zh-CN"/>
              </w:rPr>
            </w:pPr>
          </w:p>
          <w:p>
            <w:pPr>
              <w:pStyle w:val="107"/>
              <w:snapToGrid w:val="0"/>
              <w:spacing w:line="360" w:lineRule="auto"/>
              <w:rPr>
                <w:rFonts w:hint="eastAsia" w:ascii="宋体" w:hAnsi="宋体" w:eastAsia="宋体" w:cs="宋体"/>
                <w:kern w:val="0"/>
                <w:szCs w:val="21"/>
                <w:lang w:eastAsia="zh-CN"/>
              </w:rPr>
            </w:pPr>
          </w:p>
        </w:tc>
      </w:tr>
    </w:tbl>
    <w:p>
      <w:pPr>
        <w:spacing w:line="360" w:lineRule="auto"/>
        <w:outlineLvl w:val="0"/>
        <w:rPr>
          <w:rFonts w:eastAsia="黑体"/>
          <w:sz w:val="30"/>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32"/>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6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390" w:type="dxa"/>
            <w:vAlign w:val="center"/>
          </w:tcPr>
          <w:p>
            <w:pPr>
              <w:pStyle w:val="32"/>
              <w:adjustRightInd w:val="0"/>
              <w:snapToGrid w:val="0"/>
              <w:spacing w:before="0" w:beforeAutospacing="0" w:after="0" w:afterAutospacing="0"/>
              <w:jc w:val="center"/>
              <w:rPr>
                <w:rFonts w:cs="宋体"/>
                <w:b/>
                <w:szCs w:val="24"/>
              </w:rPr>
            </w:pPr>
            <w:r>
              <w:rPr>
                <w:rFonts w:hint="eastAsia" w:cs="宋体"/>
                <w:b/>
                <w:szCs w:val="24"/>
              </w:rPr>
              <w:t>建设内容</w:t>
            </w:r>
          </w:p>
        </w:tc>
        <w:tc>
          <w:tcPr>
            <w:tcW w:w="8666" w:type="dxa"/>
          </w:tcPr>
          <w:p>
            <w:pPr>
              <w:spacing w:line="360" w:lineRule="auto"/>
              <w:ind w:left="480"/>
              <w:rPr>
                <w:b/>
                <w:sz w:val="24"/>
              </w:rPr>
            </w:pPr>
            <w:r>
              <w:rPr>
                <w:b/>
                <w:sz w:val="24"/>
              </w:rPr>
              <w:t>1、项目由来</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sz w:val="24"/>
                <w:lang w:val="en-US" w:eastAsia="zh-CN"/>
              </w:rPr>
            </w:pPr>
            <w:r>
              <w:rPr>
                <w:rFonts w:hint="eastAsia"/>
                <w:sz w:val="24"/>
                <w:lang w:eastAsia="zh-CN"/>
              </w:rPr>
              <w:t>中建材(宜兴)新能源有限公司前身为远东光电股份有限公司，远东光电股份有限公司成立于2004年，原名为宜兴市金运通微晶科技有限公司，位于宜兴市高塍镇桃园工业集中区，是一家专业从事微晶玻璃行业尖端产品研究、开发和制造的高新技术企业。2011年10月份宜兴市金运通微晶科技有限公司更名为远东光电股份有限公司。2016年6月，在宜兴市委市政府、高塍镇委镇政府的支持下，在宜兴产业扶持资金的撬动下，远东光电与凯盛科技集团、保利协鑫集团正式启动战略重组。2016年10月中建材(宜兴)新能源有限公司正式成立，2016年10月31日中建材(宜兴)新能源有限公司收购了远东光电股份有限公司的部分厂房和部分生产线(太阳能涂膜玻璃生产线)。</w:t>
            </w:r>
            <w:r>
              <w:rPr>
                <w:rFonts w:hint="eastAsia"/>
                <w:sz w:val="24"/>
                <w:lang w:val="en-US" w:eastAsia="zh-CN"/>
              </w:rPr>
              <w:t>2020年6月</w:t>
            </w:r>
            <w:r>
              <w:rPr>
                <w:rFonts w:hint="eastAsia"/>
                <w:sz w:val="24"/>
                <w:lang w:eastAsia="zh-CN"/>
              </w:rPr>
              <w:t>中建材(宜兴)新能源有限公司经宜兴市行政审批局同意，购置国产激光打孔机、丝网印刷机、钢化炉等设备，采用先进的激光打孔技术、丝网印刷技术、超薄钢化技术，对原有公用设施进行适应性改造，形成了双玻背板生产线年加工能力达</w:t>
            </w:r>
            <w:r>
              <w:rPr>
                <w:rFonts w:hint="eastAsia"/>
                <w:sz w:val="24"/>
                <w:lang w:val="en-US" w:eastAsia="zh-CN"/>
              </w:rPr>
              <w:t>650万平方米。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本项目为中建材(宜兴)新能源有限公司的</w:t>
            </w:r>
            <w:r>
              <w:rPr>
                <w:rFonts w:hint="eastAsia" w:cs="Times New Roman"/>
                <w:kern w:val="2"/>
                <w:sz w:val="24"/>
                <w:szCs w:val="24"/>
                <w:lang w:val="en-US" w:eastAsia="zh-CN" w:bidi="ar-SA"/>
              </w:rPr>
              <w:t>改</w:t>
            </w:r>
            <w:r>
              <w:rPr>
                <w:rFonts w:hint="eastAsia" w:ascii="Times New Roman" w:hAnsi="Times New Roman" w:eastAsia="宋体" w:cs="Times New Roman"/>
                <w:kern w:val="2"/>
                <w:sz w:val="24"/>
                <w:szCs w:val="24"/>
                <w:lang w:val="en-US" w:eastAsia="zh-CN" w:bidi="ar-SA"/>
              </w:rPr>
              <w:t>建项目，经宜兴市行政审批局同意，</w:t>
            </w:r>
            <w:r>
              <w:rPr>
                <w:rFonts w:hint="eastAsia" w:cs="Times New Roman"/>
                <w:kern w:val="2"/>
                <w:sz w:val="24"/>
                <w:szCs w:val="24"/>
                <w:lang w:val="en-US" w:eastAsia="zh-CN" w:bidi="ar-SA"/>
              </w:rPr>
              <w:t>对原有上片机器人系统、磨边机、激光打孔机、丝网印刷机、烘干机、钢化炉等生产工艺设备进行更新改造，采用先进的激光打孔技术、丝网印刷技术、薄玻璃钢化技术提高生产线的成品率和产量，降低单位产品能耗，提高生产线自动化水平，改造完成后可达年双玻组件用背板玻璃840万m</w:t>
            </w:r>
            <w:r>
              <w:rPr>
                <w:rFonts w:hint="eastAsia" w:cs="Times New Roman"/>
                <w:kern w:val="2"/>
                <w:sz w:val="24"/>
                <w:szCs w:val="24"/>
                <w:vertAlign w:val="superscript"/>
                <w:lang w:val="en-US" w:eastAsia="zh-CN" w:bidi="ar-SA"/>
              </w:rPr>
              <w:t>2</w:t>
            </w:r>
            <w:r>
              <w:rPr>
                <w:rFonts w:hint="eastAsia" w:cs="Times New Roman"/>
                <w:kern w:val="2"/>
                <w:sz w:val="24"/>
                <w:szCs w:val="24"/>
                <w:vertAlign w:val="baseline"/>
                <w:lang w:val="en-US" w:eastAsia="zh-CN" w:bidi="ar-SA"/>
              </w:rPr>
              <w:t>的生产能力。</w:t>
            </w:r>
          </w:p>
          <w:p>
            <w:pPr>
              <w:pStyle w:val="2"/>
              <w:keepNext w:val="0"/>
              <w:keepLines w:val="0"/>
              <w:pageBreakBefore w:val="0"/>
              <w:kinsoku/>
              <w:wordWrap/>
              <w:overflowPunct/>
              <w:topLinePunct w:val="0"/>
              <w:autoSpaceDE/>
              <w:autoSpaceDN/>
              <w:bidi w:val="0"/>
              <w:adjustRightInd/>
              <w:spacing w:line="360" w:lineRule="auto"/>
              <w:ind w:firstLine="480" w:firstLineChars="200"/>
              <w:textAlignment w:val="auto"/>
              <w:rPr>
                <w:sz w:val="24"/>
              </w:rPr>
            </w:pPr>
            <w:r>
              <w:rPr>
                <w:sz w:val="24"/>
              </w:rPr>
              <w:t>根据《国民经济行业分类》（GB/T4754-2017），本项目属于</w:t>
            </w:r>
            <w:r>
              <w:rPr>
                <w:rFonts w:hint="eastAsia"/>
                <w:sz w:val="24"/>
                <w:lang w:val="en-US" w:eastAsia="zh-CN"/>
              </w:rPr>
              <w:t>C3042 特种玻璃制造</w:t>
            </w:r>
            <w:r>
              <w:rPr>
                <w:sz w:val="24"/>
              </w:rPr>
              <w:t>。依据《中华人民共和国环境影响评价法》和《建设项目环境保护管理条例》（国令第682号）及《建设项目环境影响评价分类管理名录》（环境保护部令第44号，2021年1月1日起施行）的有关规定，</w:t>
            </w:r>
            <w:r>
              <w:rPr>
                <w:rFonts w:hint="eastAsia"/>
                <w:sz w:val="24"/>
                <w:lang w:eastAsia="zh-CN"/>
              </w:rPr>
              <w:t>本</w:t>
            </w:r>
            <w:r>
              <w:rPr>
                <w:sz w:val="24"/>
              </w:rPr>
              <w:t>项目属于“</w:t>
            </w:r>
            <w:r>
              <w:rPr>
                <w:rFonts w:hint="eastAsia"/>
                <w:sz w:val="24"/>
                <w:lang w:eastAsia="zh-CN"/>
              </w:rPr>
              <w:t>二十七</w:t>
            </w:r>
            <w:r>
              <w:rPr>
                <w:sz w:val="24"/>
              </w:rPr>
              <w:t>、</w:t>
            </w:r>
            <w:r>
              <w:rPr>
                <w:rFonts w:hint="eastAsia"/>
                <w:sz w:val="24"/>
                <w:lang w:val="en-US" w:eastAsia="zh-CN"/>
              </w:rPr>
              <w:t>57-304玻璃制造</w:t>
            </w:r>
            <w:r>
              <w:rPr>
                <w:sz w:val="24"/>
              </w:rPr>
              <w:t>”类别，应当编制环境影响报告表，需编制环境影响报告表。为此，</w:t>
            </w:r>
            <w:r>
              <w:rPr>
                <w:rFonts w:hint="eastAsia"/>
                <w:sz w:val="24"/>
                <w:lang w:eastAsia="zh-CN"/>
              </w:rPr>
              <w:t>中建材（宜兴）新能源有限公司</w:t>
            </w:r>
            <w:r>
              <w:rPr>
                <w:sz w:val="24"/>
              </w:rPr>
              <w:t>委托</w:t>
            </w:r>
            <w:r>
              <w:rPr>
                <w:rFonts w:hint="eastAsia"/>
                <w:sz w:val="24"/>
                <w:lang w:eastAsia="zh-CN"/>
              </w:rPr>
              <w:t>浙江环耀环境建设有限公司</w:t>
            </w:r>
            <w:r>
              <w:rPr>
                <w:sz w:val="24"/>
              </w:rPr>
              <w:t>承担该项目的环境影响评价报告表的编制工作；</w:t>
            </w:r>
            <w:r>
              <w:rPr>
                <w:rFonts w:hint="eastAsia"/>
                <w:sz w:val="24"/>
                <w:lang w:eastAsia="zh-CN"/>
              </w:rPr>
              <w:t>浙江环耀环境建设有限公司</w:t>
            </w:r>
            <w:r>
              <w:rPr>
                <w:sz w:val="24"/>
              </w:rPr>
              <w:t>在现场踏勘和资料收集的基础上，根据环评技术导则及其它相关文件，编制了该项目的环境影响报告表，现提交给建设单位上报审批。</w:t>
            </w:r>
          </w:p>
          <w:p>
            <w:pPr>
              <w:numPr>
                <w:ilvl w:val="0"/>
                <w:numId w:val="3"/>
              </w:numPr>
              <w:spacing w:line="360" w:lineRule="auto"/>
              <w:ind w:firstLine="482" w:firstLineChars="200"/>
              <w:rPr>
                <w:b/>
                <w:bCs/>
                <w:sz w:val="24"/>
              </w:rPr>
            </w:pPr>
            <w:r>
              <w:rPr>
                <w:rFonts w:hint="eastAsia"/>
                <w:b/>
                <w:bCs/>
                <w:sz w:val="24"/>
              </w:rPr>
              <w:t>项目概况</w:t>
            </w:r>
          </w:p>
          <w:p>
            <w:pPr>
              <w:spacing w:line="360" w:lineRule="auto"/>
              <w:ind w:firstLine="480" w:firstLineChars="200"/>
              <w:rPr>
                <w:sz w:val="24"/>
              </w:rPr>
            </w:pPr>
            <w:r>
              <w:rPr>
                <w:sz w:val="24"/>
              </w:rPr>
              <w:t>项目名称：</w:t>
            </w:r>
            <w:r>
              <w:rPr>
                <w:rFonts w:hint="eastAsia"/>
                <w:sz w:val="24"/>
                <w:lang w:eastAsia="zh-CN"/>
              </w:rPr>
              <w:t>双玻组件用背板玻璃深加工技术改造项目</w:t>
            </w:r>
            <w:r>
              <w:rPr>
                <w:sz w:val="24"/>
              </w:rPr>
              <w:t>；</w:t>
            </w:r>
          </w:p>
          <w:p>
            <w:pPr>
              <w:spacing w:line="360" w:lineRule="auto"/>
              <w:ind w:firstLine="480" w:firstLineChars="200"/>
              <w:rPr>
                <w:sz w:val="24"/>
              </w:rPr>
            </w:pPr>
            <w:r>
              <w:rPr>
                <w:sz w:val="24"/>
              </w:rPr>
              <w:t>建设单位：</w:t>
            </w:r>
            <w:r>
              <w:rPr>
                <w:rFonts w:hint="eastAsia"/>
                <w:sz w:val="24"/>
                <w:lang w:eastAsia="zh-CN"/>
              </w:rPr>
              <w:t>中建材（宜兴）新能源有限公司</w:t>
            </w:r>
            <w:r>
              <w:rPr>
                <w:sz w:val="24"/>
              </w:rPr>
              <w:t>；</w:t>
            </w:r>
          </w:p>
          <w:p>
            <w:pPr>
              <w:spacing w:line="360" w:lineRule="auto"/>
              <w:ind w:firstLine="480" w:firstLineChars="200"/>
            </w:pPr>
            <w:r>
              <w:rPr>
                <w:sz w:val="24"/>
              </w:rPr>
              <w:t>建设性质：</w:t>
            </w:r>
            <w:r>
              <w:rPr>
                <w:rFonts w:hint="eastAsia"/>
                <w:sz w:val="24"/>
                <w:lang w:eastAsia="zh-CN"/>
              </w:rPr>
              <w:t>改建</w:t>
            </w:r>
            <w:r>
              <w:rPr>
                <w:sz w:val="24"/>
              </w:rPr>
              <w:t>；</w:t>
            </w:r>
          </w:p>
          <w:p>
            <w:pPr>
              <w:spacing w:line="360" w:lineRule="auto"/>
              <w:ind w:firstLine="480" w:firstLineChars="200"/>
              <w:rPr>
                <w:sz w:val="24"/>
              </w:rPr>
            </w:pPr>
            <w:r>
              <w:rPr>
                <w:sz w:val="24"/>
              </w:rPr>
              <w:t>建设地点：</w:t>
            </w:r>
            <w:r>
              <w:rPr>
                <w:rFonts w:hint="eastAsia"/>
                <w:sz w:val="24"/>
                <w:lang w:eastAsia="zh-CN"/>
              </w:rPr>
              <w:t>无锡市宜兴市高塍镇桃园工业区鑫运来路</w:t>
            </w:r>
            <w:r>
              <w:rPr>
                <w:rFonts w:hint="eastAsia"/>
                <w:sz w:val="24"/>
                <w:lang w:val="en-US" w:eastAsia="zh-CN"/>
              </w:rPr>
              <w:t>1号</w:t>
            </w:r>
            <w:r>
              <w:rPr>
                <w:rFonts w:hint="eastAsia"/>
                <w:sz w:val="24"/>
              </w:rPr>
              <w:t>（现有厂区</w:t>
            </w:r>
            <w:r>
              <w:rPr>
                <w:sz w:val="24"/>
              </w:rPr>
              <w:t>）；</w:t>
            </w:r>
          </w:p>
          <w:p>
            <w:pPr>
              <w:spacing w:line="360" w:lineRule="auto"/>
              <w:ind w:firstLine="480" w:firstLineChars="200"/>
              <w:rPr>
                <w:color w:val="000000"/>
                <w:sz w:val="24"/>
              </w:rPr>
            </w:pPr>
            <w:r>
              <w:rPr>
                <w:rFonts w:hint="eastAsia"/>
                <w:color w:val="000000"/>
                <w:sz w:val="24"/>
              </w:rPr>
              <w:t>建</w:t>
            </w:r>
            <w:r>
              <w:rPr>
                <w:rFonts w:hint="eastAsia"/>
                <w:sz w:val="24"/>
              </w:rPr>
              <w:t>设规模：</w:t>
            </w:r>
            <w:r>
              <w:rPr>
                <w:rFonts w:hint="eastAsia"/>
                <w:color w:val="000000"/>
                <w:sz w:val="24"/>
              </w:rPr>
              <w:t>本项目年产</w:t>
            </w:r>
            <w:r>
              <w:rPr>
                <w:rFonts w:hint="eastAsia"/>
                <w:color w:val="000000"/>
                <w:sz w:val="24"/>
                <w:lang w:eastAsia="zh-CN"/>
              </w:rPr>
              <w:t>双玻组件用背板玻璃</w:t>
            </w:r>
            <w:r>
              <w:rPr>
                <w:rFonts w:hint="eastAsia"/>
                <w:color w:val="000000"/>
                <w:sz w:val="24"/>
                <w:lang w:val="en-US" w:eastAsia="zh-CN"/>
              </w:rPr>
              <w:t>840万m</w:t>
            </w:r>
            <w:r>
              <w:rPr>
                <w:rFonts w:hint="eastAsia"/>
                <w:color w:val="000000"/>
                <w:sz w:val="24"/>
                <w:vertAlign w:val="superscript"/>
                <w:lang w:val="en-US" w:eastAsia="zh-CN"/>
              </w:rPr>
              <w:t>2</w:t>
            </w:r>
            <w:r>
              <w:rPr>
                <w:rFonts w:hint="eastAsia"/>
                <w:color w:val="000000"/>
                <w:sz w:val="24"/>
              </w:rPr>
              <w:t>；</w:t>
            </w:r>
          </w:p>
          <w:p>
            <w:pPr>
              <w:spacing w:line="360" w:lineRule="auto"/>
              <w:ind w:left="1679" w:leftChars="228" w:hanging="1200" w:hangingChars="500"/>
              <w:rPr>
                <w:rFonts w:hint="eastAsia"/>
                <w:color w:val="000000"/>
                <w:sz w:val="24"/>
                <w:lang w:eastAsia="zh-CN"/>
              </w:rPr>
            </w:pPr>
            <w:r>
              <w:rPr>
                <w:rFonts w:hint="eastAsia"/>
                <w:color w:val="000000"/>
                <w:sz w:val="24"/>
              </w:rPr>
              <w:t>生产工艺：</w:t>
            </w:r>
            <w:r>
              <w:rPr>
                <w:rFonts w:hint="eastAsia"/>
                <w:color w:val="000000"/>
                <w:sz w:val="24"/>
                <w:lang w:eastAsia="zh-CN"/>
              </w:rPr>
              <w:t>背板薄玻璃</w:t>
            </w:r>
            <w:r>
              <w:rPr>
                <w:rFonts w:hint="eastAsia"/>
                <w:color w:val="000000"/>
                <w:sz w:val="24"/>
              </w:rPr>
              <w:t>→</w:t>
            </w:r>
            <w:r>
              <w:rPr>
                <w:rFonts w:hint="eastAsia"/>
                <w:color w:val="000000"/>
                <w:sz w:val="24"/>
                <w:lang w:eastAsia="zh-CN"/>
              </w:rPr>
              <w:t>上片</w:t>
            </w:r>
            <w:r>
              <w:rPr>
                <w:rFonts w:hint="eastAsia"/>
                <w:color w:val="000000"/>
                <w:sz w:val="24"/>
              </w:rPr>
              <w:t>→</w:t>
            </w:r>
            <w:r>
              <w:rPr>
                <w:rFonts w:hint="eastAsia"/>
                <w:color w:val="000000"/>
                <w:sz w:val="24"/>
                <w:lang w:eastAsia="zh-CN"/>
              </w:rPr>
              <w:t>磨边</w:t>
            </w:r>
            <w:r>
              <w:rPr>
                <w:rFonts w:hint="eastAsia"/>
                <w:color w:val="000000"/>
                <w:sz w:val="24"/>
              </w:rPr>
              <w:t>→</w:t>
            </w:r>
            <w:r>
              <w:rPr>
                <w:rFonts w:hint="eastAsia"/>
                <w:color w:val="000000"/>
                <w:sz w:val="24"/>
                <w:lang w:eastAsia="zh-CN"/>
              </w:rPr>
              <w:t>激光打孔</w:t>
            </w:r>
            <w:r>
              <w:rPr>
                <w:rFonts w:hint="eastAsia"/>
                <w:color w:val="000000"/>
                <w:sz w:val="24"/>
              </w:rPr>
              <w:t>→</w:t>
            </w:r>
            <w:r>
              <w:rPr>
                <w:rFonts w:hint="eastAsia"/>
                <w:color w:val="000000"/>
                <w:sz w:val="24"/>
                <w:lang w:eastAsia="zh-CN"/>
              </w:rPr>
              <w:t>清洗</w:t>
            </w:r>
            <w:r>
              <w:rPr>
                <w:rFonts w:hint="eastAsia"/>
                <w:color w:val="000000"/>
                <w:sz w:val="24"/>
              </w:rPr>
              <w:t>→</w:t>
            </w:r>
            <w:r>
              <w:rPr>
                <w:rFonts w:hint="eastAsia"/>
                <w:color w:val="000000"/>
                <w:sz w:val="24"/>
                <w:lang w:eastAsia="zh-CN"/>
              </w:rPr>
              <w:t>丝网印刷</w:t>
            </w:r>
            <w:r>
              <w:rPr>
                <w:rFonts w:hint="eastAsia"/>
                <w:color w:val="000000"/>
                <w:sz w:val="24"/>
              </w:rPr>
              <w:t>→</w:t>
            </w:r>
            <w:r>
              <w:rPr>
                <w:rFonts w:hint="eastAsia"/>
                <w:color w:val="000000"/>
                <w:sz w:val="24"/>
                <w:lang w:eastAsia="zh-CN"/>
              </w:rPr>
              <w:t>烘干</w:t>
            </w:r>
            <w:r>
              <w:rPr>
                <w:rFonts w:hint="eastAsia"/>
                <w:color w:val="000000"/>
                <w:sz w:val="24"/>
              </w:rPr>
              <w:t>→</w:t>
            </w:r>
            <w:r>
              <w:rPr>
                <w:rFonts w:hint="eastAsia"/>
                <w:color w:val="000000"/>
                <w:sz w:val="24"/>
                <w:lang w:eastAsia="zh-CN"/>
              </w:rPr>
              <w:t>钢化</w:t>
            </w:r>
            <w:r>
              <w:rPr>
                <w:rFonts w:hint="eastAsia"/>
                <w:color w:val="000000"/>
                <w:sz w:val="24"/>
              </w:rPr>
              <w:t>→</w:t>
            </w:r>
            <w:r>
              <w:rPr>
                <w:rFonts w:hint="eastAsia"/>
                <w:color w:val="000000"/>
                <w:sz w:val="24"/>
                <w:lang w:eastAsia="zh-CN"/>
              </w:rPr>
              <w:t>清洗</w:t>
            </w:r>
            <w:r>
              <w:rPr>
                <w:rFonts w:hint="eastAsia"/>
                <w:color w:val="000000"/>
                <w:sz w:val="24"/>
              </w:rPr>
              <w:t>→</w:t>
            </w:r>
            <w:r>
              <w:rPr>
                <w:rFonts w:hint="eastAsia"/>
                <w:color w:val="000000"/>
                <w:sz w:val="24"/>
                <w:lang w:eastAsia="zh-CN"/>
              </w:rPr>
              <w:t>检测</w:t>
            </w:r>
            <w:r>
              <w:rPr>
                <w:rFonts w:hint="eastAsia"/>
                <w:color w:val="000000"/>
                <w:sz w:val="24"/>
              </w:rPr>
              <w:t>→</w:t>
            </w:r>
            <w:r>
              <w:rPr>
                <w:rFonts w:hint="eastAsia"/>
                <w:color w:val="000000"/>
                <w:sz w:val="24"/>
                <w:lang w:eastAsia="zh-CN"/>
              </w:rPr>
              <w:t>堆垛</w:t>
            </w:r>
          </w:p>
          <w:p>
            <w:pPr>
              <w:spacing w:line="360" w:lineRule="auto"/>
              <w:ind w:firstLine="480" w:firstLineChars="200"/>
              <w:rPr>
                <w:sz w:val="24"/>
              </w:rPr>
            </w:pPr>
            <w:r>
              <w:rPr>
                <w:sz w:val="24"/>
              </w:rPr>
              <w:t>投资总额：</w:t>
            </w:r>
            <w:r>
              <w:rPr>
                <w:rFonts w:hint="eastAsia"/>
                <w:sz w:val="24"/>
                <w:lang w:val="en-US" w:eastAsia="zh-CN"/>
              </w:rPr>
              <w:t>2780</w:t>
            </w:r>
            <w:r>
              <w:rPr>
                <w:sz w:val="24"/>
              </w:rPr>
              <w:t>万元</w:t>
            </w:r>
            <w:r>
              <w:rPr>
                <w:rFonts w:hint="eastAsia"/>
                <w:sz w:val="24"/>
              </w:rPr>
              <w:t>，</w:t>
            </w:r>
            <w:r>
              <w:rPr>
                <w:sz w:val="24"/>
              </w:rPr>
              <w:t>其中环保投资</w:t>
            </w:r>
            <w:r>
              <w:rPr>
                <w:rFonts w:hint="eastAsia"/>
                <w:sz w:val="24"/>
                <w:lang w:val="en-US" w:eastAsia="zh-CN"/>
              </w:rPr>
              <w:t>25</w:t>
            </w:r>
            <w:r>
              <w:rPr>
                <w:sz w:val="24"/>
              </w:rPr>
              <w:t>万元；</w:t>
            </w:r>
          </w:p>
          <w:p>
            <w:pPr>
              <w:spacing w:line="360" w:lineRule="auto"/>
              <w:ind w:firstLine="480" w:firstLineChars="200"/>
              <w:rPr>
                <w:sz w:val="24"/>
              </w:rPr>
            </w:pPr>
            <w:r>
              <w:rPr>
                <w:color w:val="000000"/>
                <w:sz w:val="24"/>
              </w:rPr>
              <w:t>工作制度：</w:t>
            </w:r>
            <w:r>
              <w:rPr>
                <w:sz w:val="24"/>
              </w:rPr>
              <w:t>年工作300天，</w:t>
            </w:r>
            <w:r>
              <w:rPr>
                <w:rFonts w:hint="eastAsia"/>
                <w:sz w:val="24"/>
                <w:lang w:eastAsia="zh-CN"/>
              </w:rPr>
              <w:t>二</w:t>
            </w:r>
            <w:r>
              <w:rPr>
                <w:sz w:val="24"/>
              </w:rPr>
              <w:t>班制</w:t>
            </w:r>
            <w:r>
              <w:rPr>
                <w:rFonts w:hint="eastAsia"/>
                <w:sz w:val="24"/>
                <w:lang w:val="en-US" w:eastAsia="zh-CN"/>
              </w:rPr>
              <w:t>12</w:t>
            </w:r>
            <w:r>
              <w:rPr>
                <w:sz w:val="24"/>
              </w:rPr>
              <w:t>小时</w:t>
            </w:r>
            <w:r>
              <w:rPr>
                <w:rFonts w:hint="eastAsia"/>
                <w:sz w:val="24"/>
                <w:lang w:val="en-US" w:eastAsia="zh-CN"/>
              </w:rPr>
              <w:t>/班</w:t>
            </w:r>
            <w:r>
              <w:rPr>
                <w:sz w:val="24"/>
              </w:rPr>
              <w:t>生产，年工作</w:t>
            </w:r>
            <w:r>
              <w:rPr>
                <w:rFonts w:hint="eastAsia"/>
                <w:sz w:val="24"/>
                <w:lang w:val="en-US" w:eastAsia="zh-CN"/>
              </w:rPr>
              <w:t>7200</w:t>
            </w:r>
            <w:r>
              <w:rPr>
                <w:sz w:val="24"/>
              </w:rPr>
              <w:t>小时</w:t>
            </w:r>
            <w:r>
              <w:rPr>
                <w:rFonts w:hint="eastAsia"/>
                <w:sz w:val="24"/>
              </w:rPr>
              <w:t>；</w:t>
            </w:r>
          </w:p>
          <w:p>
            <w:pPr>
              <w:spacing w:line="360" w:lineRule="auto"/>
              <w:ind w:firstLine="480" w:firstLineChars="200"/>
              <w:rPr>
                <w:color w:val="000000"/>
                <w:sz w:val="24"/>
              </w:rPr>
            </w:pPr>
            <w:r>
              <w:rPr>
                <w:rFonts w:hint="eastAsia"/>
                <w:sz w:val="24"/>
              </w:rPr>
              <w:t>职工人数：</w:t>
            </w:r>
            <w:r>
              <w:rPr>
                <w:rFonts w:hint="eastAsia"/>
                <w:sz w:val="24"/>
                <w:highlight w:val="none"/>
                <w:lang w:val="en-US" w:eastAsia="zh-CN"/>
              </w:rPr>
              <w:t>公司原有职工330人，本项目职工100人</w:t>
            </w:r>
            <w:r>
              <w:rPr>
                <w:rFonts w:hint="eastAsia"/>
                <w:color w:val="000000"/>
                <w:sz w:val="24"/>
              </w:rPr>
              <w:t>。</w:t>
            </w:r>
          </w:p>
          <w:p>
            <w:pPr>
              <w:spacing w:line="360" w:lineRule="auto"/>
              <w:ind w:firstLine="480" w:firstLineChars="200"/>
              <w:rPr>
                <w:sz w:val="24"/>
              </w:rPr>
            </w:pPr>
            <w:r>
              <w:rPr>
                <w:rFonts w:hint="eastAsia"/>
                <w:color w:val="000000"/>
                <w:sz w:val="24"/>
              </w:rPr>
              <w:t>其他</w:t>
            </w:r>
            <w:r>
              <w:rPr>
                <w:color w:val="000000"/>
                <w:sz w:val="24"/>
              </w:rPr>
              <w:t>：</w:t>
            </w:r>
            <w:r>
              <w:rPr>
                <w:rFonts w:hint="eastAsia"/>
                <w:sz w:val="24"/>
              </w:rPr>
              <w:t>公司</w:t>
            </w:r>
            <w:r>
              <w:rPr>
                <w:sz w:val="24"/>
              </w:rPr>
              <w:t>不设食堂、宿舍、浴室，职工就餐</w:t>
            </w:r>
            <w:r>
              <w:rPr>
                <w:rFonts w:hint="eastAsia"/>
                <w:sz w:val="24"/>
              </w:rPr>
              <w:t>外卖解决。</w:t>
            </w:r>
          </w:p>
          <w:p>
            <w:pPr>
              <w:spacing w:line="360" w:lineRule="auto"/>
              <w:ind w:left="480"/>
              <w:rPr>
                <w:b/>
                <w:bCs/>
                <w:sz w:val="24"/>
              </w:rPr>
            </w:pPr>
            <w:r>
              <w:rPr>
                <w:b/>
                <w:sz w:val="24"/>
              </w:rPr>
              <w:t>3、</w:t>
            </w:r>
            <w:r>
              <w:rPr>
                <w:rFonts w:hint="eastAsia"/>
                <w:b/>
                <w:bCs/>
                <w:sz w:val="24"/>
              </w:rPr>
              <w:t>原辅材料及主要设备</w:t>
            </w:r>
          </w:p>
          <w:p>
            <w:pPr>
              <w:adjustRightInd w:val="0"/>
              <w:snapToGrid w:val="0"/>
              <w:spacing w:line="360" w:lineRule="auto"/>
              <w:ind w:firstLine="480" w:firstLineChars="200"/>
              <w:rPr>
                <w:sz w:val="24"/>
              </w:rPr>
            </w:pPr>
            <w:r>
              <w:rPr>
                <w:sz w:val="24"/>
              </w:rPr>
              <w:t>本项目主要原辅材料消耗情况见表</w:t>
            </w:r>
            <w:r>
              <w:rPr>
                <w:rFonts w:hint="eastAsia"/>
                <w:sz w:val="24"/>
              </w:rPr>
              <w:t>2-1</w:t>
            </w:r>
            <w:r>
              <w:rPr>
                <w:sz w:val="24"/>
              </w:rPr>
              <w:t>，原辅材料理化性质详见表</w:t>
            </w:r>
            <w:r>
              <w:rPr>
                <w:rFonts w:hint="eastAsia"/>
                <w:sz w:val="24"/>
              </w:rPr>
              <w:t>2-2，</w:t>
            </w:r>
            <w:r>
              <w:rPr>
                <w:sz w:val="24"/>
              </w:rPr>
              <w:t>主要生产设备见表</w:t>
            </w:r>
            <w:r>
              <w:rPr>
                <w:rFonts w:hint="eastAsia"/>
                <w:sz w:val="24"/>
              </w:rPr>
              <w:t>2</w:t>
            </w:r>
            <w:r>
              <w:rPr>
                <w:sz w:val="24"/>
              </w:rPr>
              <w:t>-3</w:t>
            </w:r>
            <w:r>
              <w:rPr>
                <w:rFonts w:hint="eastAsia"/>
                <w:sz w:val="24"/>
              </w:rPr>
              <w:t>。</w:t>
            </w:r>
          </w:p>
          <w:p>
            <w:pPr>
              <w:adjustRightInd w:val="0"/>
              <w:snapToGrid w:val="0"/>
              <w:jc w:val="center"/>
              <w:rPr>
                <w:b/>
                <w:sz w:val="24"/>
              </w:rPr>
            </w:pPr>
            <w:r>
              <w:rPr>
                <w:rFonts w:hint="eastAsia"/>
                <w:b/>
                <w:sz w:val="24"/>
              </w:rPr>
              <w:t>表2-1主要原辅材料表</w:t>
            </w:r>
          </w:p>
          <w:tbl>
            <w:tblPr>
              <w:tblStyle w:val="36"/>
              <w:tblW w:w="829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770"/>
              <w:gridCol w:w="1811"/>
              <w:gridCol w:w="1410"/>
              <w:gridCol w:w="1264"/>
              <w:gridCol w:w="13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Mar>
                    <w:left w:w="0" w:type="dxa"/>
                    <w:right w:w="0" w:type="dxa"/>
                  </w:tcMar>
                  <w:vAlign w:val="center"/>
                </w:tcPr>
                <w:p>
                  <w:pPr>
                    <w:widowControl/>
                    <w:adjustRightInd w:val="0"/>
                    <w:snapToGrid w:val="0"/>
                    <w:jc w:val="center"/>
                    <w:textAlignment w:val="center"/>
                    <w:rPr>
                      <w:b/>
                      <w:bCs/>
                      <w:szCs w:val="22"/>
                    </w:rPr>
                  </w:pPr>
                  <w:r>
                    <w:rPr>
                      <w:b/>
                      <w:bCs/>
                      <w:szCs w:val="22"/>
                    </w:rPr>
                    <w:t>序号</w:t>
                  </w:r>
                </w:p>
              </w:tc>
              <w:tc>
                <w:tcPr>
                  <w:tcW w:w="1770" w:type="dxa"/>
                  <w:tcMar>
                    <w:left w:w="0" w:type="dxa"/>
                    <w:right w:w="0" w:type="dxa"/>
                  </w:tcMar>
                  <w:vAlign w:val="center"/>
                </w:tcPr>
                <w:p>
                  <w:pPr>
                    <w:widowControl/>
                    <w:adjustRightInd w:val="0"/>
                    <w:snapToGrid w:val="0"/>
                    <w:jc w:val="center"/>
                    <w:textAlignment w:val="center"/>
                    <w:rPr>
                      <w:b/>
                      <w:bCs/>
                      <w:szCs w:val="22"/>
                    </w:rPr>
                  </w:pPr>
                  <w:r>
                    <w:rPr>
                      <w:b/>
                      <w:bCs/>
                      <w:szCs w:val="22"/>
                    </w:rPr>
                    <w:t>原材料名称</w:t>
                  </w:r>
                </w:p>
              </w:tc>
              <w:tc>
                <w:tcPr>
                  <w:tcW w:w="1811" w:type="dxa"/>
                  <w:tcMar>
                    <w:left w:w="0" w:type="dxa"/>
                    <w:right w:w="0" w:type="dxa"/>
                  </w:tcMar>
                  <w:vAlign w:val="center"/>
                </w:tcPr>
                <w:p>
                  <w:pPr>
                    <w:widowControl/>
                    <w:adjustRightInd w:val="0"/>
                    <w:snapToGrid w:val="0"/>
                    <w:jc w:val="center"/>
                    <w:textAlignment w:val="center"/>
                    <w:rPr>
                      <w:b/>
                      <w:bCs/>
                      <w:szCs w:val="22"/>
                    </w:rPr>
                  </w:pPr>
                  <w:r>
                    <w:rPr>
                      <w:b/>
                      <w:bCs/>
                      <w:szCs w:val="22"/>
                    </w:rPr>
                    <w:t>规格</w:t>
                  </w:r>
                </w:p>
              </w:tc>
              <w:tc>
                <w:tcPr>
                  <w:tcW w:w="1410" w:type="dxa"/>
                  <w:tcMar>
                    <w:left w:w="0" w:type="dxa"/>
                    <w:right w:w="0" w:type="dxa"/>
                  </w:tcMar>
                  <w:vAlign w:val="center"/>
                </w:tcPr>
                <w:p>
                  <w:pPr>
                    <w:widowControl/>
                    <w:adjustRightInd w:val="0"/>
                    <w:snapToGrid w:val="0"/>
                    <w:jc w:val="center"/>
                    <w:textAlignment w:val="center"/>
                    <w:rPr>
                      <w:b/>
                      <w:bCs/>
                      <w:szCs w:val="22"/>
                    </w:rPr>
                  </w:pPr>
                  <w:r>
                    <w:rPr>
                      <w:b/>
                      <w:bCs/>
                      <w:szCs w:val="22"/>
                    </w:rPr>
                    <w:t>数量（t/a）</w:t>
                  </w:r>
                </w:p>
              </w:tc>
              <w:tc>
                <w:tcPr>
                  <w:tcW w:w="1264" w:type="dxa"/>
                  <w:tcMar>
                    <w:left w:w="0" w:type="dxa"/>
                    <w:right w:w="0" w:type="dxa"/>
                  </w:tcMar>
                  <w:vAlign w:val="center"/>
                </w:tcPr>
                <w:p>
                  <w:pPr>
                    <w:widowControl/>
                    <w:adjustRightInd w:val="0"/>
                    <w:snapToGrid w:val="0"/>
                    <w:jc w:val="center"/>
                    <w:textAlignment w:val="center"/>
                    <w:rPr>
                      <w:b/>
                      <w:bCs/>
                      <w:szCs w:val="22"/>
                    </w:rPr>
                  </w:pPr>
                  <w:r>
                    <w:rPr>
                      <w:b/>
                      <w:bCs/>
                      <w:szCs w:val="22"/>
                    </w:rPr>
                    <w:t>包装方式</w:t>
                  </w:r>
                </w:p>
              </w:tc>
              <w:tc>
                <w:tcPr>
                  <w:tcW w:w="1395" w:type="dxa"/>
                  <w:tcMar>
                    <w:left w:w="0" w:type="dxa"/>
                    <w:right w:w="0" w:type="dxa"/>
                  </w:tcMar>
                  <w:vAlign w:val="center"/>
                </w:tcPr>
                <w:p>
                  <w:pPr>
                    <w:widowControl/>
                    <w:adjustRightInd w:val="0"/>
                    <w:snapToGrid w:val="0"/>
                    <w:jc w:val="center"/>
                    <w:textAlignment w:val="center"/>
                    <w:rPr>
                      <w:b/>
                      <w:bCs/>
                      <w:szCs w:val="22"/>
                    </w:rPr>
                  </w:pPr>
                  <w:r>
                    <w:rPr>
                      <w:b/>
                      <w:bCs/>
                      <w:szCs w:val="22"/>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Mar>
                    <w:left w:w="0" w:type="dxa"/>
                    <w:right w:w="0" w:type="dxa"/>
                  </w:tcMar>
                  <w:vAlign w:val="center"/>
                </w:tcPr>
                <w:p>
                  <w:pPr>
                    <w:widowControl/>
                    <w:adjustRightInd w:val="0"/>
                    <w:snapToGrid w:val="0"/>
                    <w:jc w:val="center"/>
                    <w:textAlignment w:val="center"/>
                    <w:rPr>
                      <w:szCs w:val="22"/>
                    </w:rPr>
                  </w:pPr>
                  <w:r>
                    <w:rPr>
                      <w:szCs w:val="22"/>
                    </w:rPr>
                    <w:t>1</w:t>
                  </w:r>
                </w:p>
              </w:tc>
              <w:tc>
                <w:tcPr>
                  <w:tcW w:w="1770" w:type="dxa"/>
                  <w:tcMar>
                    <w:left w:w="0" w:type="dxa"/>
                    <w:right w:w="0" w:type="dxa"/>
                  </w:tcMar>
                  <w:vAlign w:val="center"/>
                </w:tcPr>
                <w:p>
                  <w:pPr>
                    <w:widowControl/>
                    <w:adjustRightInd w:val="0"/>
                    <w:snapToGrid w:val="0"/>
                    <w:jc w:val="center"/>
                    <w:textAlignment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背板薄玻璃</w:t>
                  </w:r>
                </w:p>
              </w:tc>
              <w:tc>
                <w:tcPr>
                  <w:tcW w:w="1811" w:type="dxa"/>
                  <w:tcMar>
                    <w:left w:w="0" w:type="dxa"/>
                    <w:right w:w="0" w:type="dxa"/>
                  </w:tcMar>
                  <w:vAlign w:val="center"/>
                </w:tcPr>
                <w:p>
                  <w:pPr>
                    <w:widowControl/>
                    <w:adjustRightInd w:val="0"/>
                    <w:snapToGrid w:val="0"/>
                    <w:jc w:val="center"/>
                    <w:textAlignment w:val="center"/>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厚度1.4-2.5mm</w:t>
                  </w:r>
                </w:p>
              </w:tc>
              <w:tc>
                <w:tcPr>
                  <w:tcW w:w="1410" w:type="dxa"/>
                  <w:tcMar>
                    <w:left w:w="0" w:type="dxa"/>
                    <w:right w:w="0" w:type="dxa"/>
                  </w:tcMar>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885万m</w:t>
                  </w:r>
                  <w:r>
                    <w:rPr>
                      <w:rFonts w:hint="eastAsia"/>
                      <w:szCs w:val="22"/>
                      <w:vertAlign w:val="superscript"/>
                      <w:lang w:val="en-US" w:eastAsia="zh-CN"/>
                    </w:rPr>
                    <w:t>2</w:t>
                  </w:r>
                  <w:r>
                    <w:rPr>
                      <w:rFonts w:hint="eastAsia"/>
                      <w:szCs w:val="22"/>
                      <w:lang w:val="en-US" w:eastAsia="zh-CN"/>
                    </w:rPr>
                    <w:t>/a</w:t>
                  </w:r>
                </w:p>
              </w:tc>
              <w:tc>
                <w:tcPr>
                  <w:tcW w:w="1264" w:type="dxa"/>
                  <w:tcMar>
                    <w:left w:w="0" w:type="dxa"/>
                    <w:right w:w="0" w:type="dxa"/>
                  </w:tcMar>
                  <w:vAlign w:val="center"/>
                </w:tcPr>
                <w:p>
                  <w:pPr>
                    <w:widowControl/>
                    <w:adjustRightInd w:val="0"/>
                    <w:snapToGrid w:val="0"/>
                    <w:jc w:val="center"/>
                    <w:textAlignment w:val="center"/>
                    <w:rPr>
                      <w:szCs w:val="22"/>
                    </w:rPr>
                  </w:pPr>
                </w:p>
              </w:tc>
              <w:tc>
                <w:tcPr>
                  <w:tcW w:w="1395" w:type="dxa"/>
                  <w:tcMar>
                    <w:left w:w="0" w:type="dxa"/>
                    <w:right w:w="0" w:type="dxa"/>
                  </w:tcMar>
                  <w:vAlign w:val="center"/>
                </w:tcPr>
                <w:p>
                  <w:pPr>
                    <w:widowControl/>
                    <w:adjustRightInd w:val="0"/>
                    <w:snapToGrid w:val="0"/>
                    <w:jc w:val="center"/>
                    <w:textAlignment w:val="center"/>
                    <w:rPr>
                      <w:szCs w:val="22"/>
                    </w:rPr>
                  </w:pPr>
                  <w:r>
                    <w:rPr>
                      <w:rFonts w:hint="eastAsia"/>
                      <w:szCs w:val="22"/>
                      <w:lang w:eastAsia="zh-CN"/>
                    </w:rPr>
                    <w:t>自制</w:t>
                  </w:r>
                  <w:r>
                    <w:rPr>
                      <w:szCs w:val="22"/>
                    </w:rPr>
                    <w:t>，汽运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49" w:type="dxa"/>
                  <w:tcMar>
                    <w:left w:w="0" w:type="dxa"/>
                    <w:right w:w="0" w:type="dxa"/>
                  </w:tcMar>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2</w:t>
                  </w:r>
                </w:p>
              </w:tc>
              <w:tc>
                <w:tcPr>
                  <w:tcW w:w="1770" w:type="dxa"/>
                  <w:tcMar>
                    <w:left w:w="0" w:type="dxa"/>
                    <w:right w:w="0" w:type="dxa"/>
                  </w:tcMar>
                  <w:vAlign w:val="center"/>
                </w:tcPr>
                <w:p>
                  <w:pPr>
                    <w:widowControl/>
                    <w:adjustRightInd w:val="0"/>
                    <w:snapToGrid w:val="0"/>
                    <w:jc w:val="center"/>
                    <w:textAlignment w:val="center"/>
                    <w:rPr>
                      <w:rFonts w:hint="eastAsia" w:ascii="宋体" w:hAnsi="宋体" w:eastAsia="宋体"/>
                      <w:szCs w:val="21"/>
                      <w:lang w:eastAsia="zh-CN"/>
                    </w:rPr>
                  </w:pPr>
                  <w:r>
                    <w:rPr>
                      <w:rFonts w:hint="eastAsia" w:ascii="宋体" w:hAnsi="宋体"/>
                      <w:szCs w:val="21"/>
                      <w:lang w:eastAsia="zh-CN"/>
                    </w:rPr>
                    <w:t>釉料</w:t>
                  </w:r>
                </w:p>
              </w:tc>
              <w:tc>
                <w:tcPr>
                  <w:tcW w:w="1811" w:type="dxa"/>
                  <w:tcMar>
                    <w:left w:w="0" w:type="dxa"/>
                    <w:right w:w="0" w:type="dxa"/>
                  </w:tcMar>
                  <w:vAlign w:val="center"/>
                </w:tcPr>
                <w:p>
                  <w:pPr>
                    <w:widowControl/>
                    <w:adjustRightInd w:val="0"/>
                    <w:snapToGrid w:val="0"/>
                    <w:jc w:val="center"/>
                    <w:textAlignment w:val="center"/>
                    <w:rPr>
                      <w:rFonts w:hint="eastAsia" w:ascii="宋体" w:hAnsi="宋体" w:eastAsia="宋体"/>
                      <w:szCs w:val="21"/>
                    </w:rPr>
                  </w:pPr>
                </w:p>
              </w:tc>
              <w:tc>
                <w:tcPr>
                  <w:tcW w:w="1410" w:type="dxa"/>
                  <w:tcMar>
                    <w:left w:w="0" w:type="dxa"/>
                    <w:right w:w="0" w:type="dxa"/>
                  </w:tcMar>
                  <w:vAlign w:val="center"/>
                </w:tcPr>
                <w:p>
                  <w:pPr>
                    <w:widowControl/>
                    <w:adjustRightInd w:val="0"/>
                    <w:snapToGrid w:val="0"/>
                    <w:jc w:val="center"/>
                    <w:textAlignment w:val="center"/>
                    <w:rPr>
                      <w:rFonts w:hint="default"/>
                      <w:szCs w:val="22"/>
                      <w:lang w:val="en-US" w:eastAsia="zh-CN"/>
                    </w:rPr>
                  </w:pPr>
                  <w:r>
                    <w:rPr>
                      <w:rFonts w:hint="eastAsia"/>
                      <w:szCs w:val="22"/>
                      <w:lang w:val="en-US" w:eastAsia="zh-CN"/>
                    </w:rPr>
                    <w:t>61t/a</w:t>
                  </w:r>
                </w:p>
              </w:tc>
              <w:tc>
                <w:tcPr>
                  <w:tcW w:w="1264" w:type="dxa"/>
                  <w:tcMar>
                    <w:left w:w="0" w:type="dxa"/>
                    <w:right w:w="0" w:type="dxa"/>
                  </w:tcMar>
                  <w:vAlign w:val="center"/>
                </w:tcPr>
                <w:p>
                  <w:pPr>
                    <w:widowControl/>
                    <w:adjustRightInd w:val="0"/>
                    <w:snapToGrid w:val="0"/>
                    <w:jc w:val="center"/>
                    <w:textAlignment w:val="center"/>
                    <w:rPr>
                      <w:szCs w:val="22"/>
                    </w:rPr>
                  </w:pPr>
                  <w:r>
                    <w:rPr>
                      <w:rFonts w:hint="eastAsia"/>
                      <w:szCs w:val="22"/>
                      <w:lang w:eastAsia="zh-CN"/>
                    </w:rPr>
                    <w:t>液态，</w:t>
                  </w:r>
                  <w:r>
                    <w:rPr>
                      <w:rFonts w:hint="eastAsia"/>
                      <w:szCs w:val="22"/>
                      <w:lang w:val="en-US" w:eastAsia="zh-CN"/>
                    </w:rPr>
                    <w:t>20kg/桶装</w:t>
                  </w:r>
                </w:p>
              </w:tc>
              <w:tc>
                <w:tcPr>
                  <w:tcW w:w="1395" w:type="dxa"/>
                  <w:tcMar>
                    <w:left w:w="0" w:type="dxa"/>
                    <w:right w:w="0" w:type="dxa"/>
                  </w:tcMar>
                  <w:vAlign w:val="center"/>
                </w:tcPr>
                <w:p>
                  <w:pPr>
                    <w:widowControl/>
                    <w:adjustRightInd w:val="0"/>
                    <w:snapToGrid w:val="0"/>
                    <w:jc w:val="center"/>
                    <w:textAlignment w:val="center"/>
                    <w:rPr>
                      <w:szCs w:val="22"/>
                    </w:rPr>
                  </w:pPr>
                  <w:r>
                    <w:rPr>
                      <w:rFonts w:hint="eastAsia"/>
                      <w:szCs w:val="22"/>
                      <w:lang w:eastAsia="zh-CN"/>
                    </w:rPr>
                    <w:t>外购</w:t>
                  </w:r>
                  <w:r>
                    <w:rPr>
                      <w:szCs w:val="22"/>
                    </w:rPr>
                    <w:t>，汽运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49" w:type="dxa"/>
                  <w:tcMar>
                    <w:left w:w="0" w:type="dxa"/>
                    <w:right w:w="0" w:type="dxa"/>
                  </w:tcMar>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3</w:t>
                  </w:r>
                </w:p>
              </w:tc>
              <w:tc>
                <w:tcPr>
                  <w:tcW w:w="1770" w:type="dxa"/>
                  <w:tcMar>
                    <w:left w:w="0" w:type="dxa"/>
                    <w:right w:w="0" w:type="dxa"/>
                  </w:tcMar>
                  <w:vAlign w:val="center"/>
                </w:tcPr>
                <w:p>
                  <w:pPr>
                    <w:widowControl/>
                    <w:adjustRightInd w:val="0"/>
                    <w:snapToGrid w:val="0"/>
                    <w:jc w:val="center"/>
                    <w:textAlignment w:val="center"/>
                    <w:rPr>
                      <w:rFonts w:hint="eastAsia" w:ascii="宋体" w:hAnsi="宋体" w:eastAsia="宋体"/>
                      <w:szCs w:val="21"/>
                      <w:lang w:eastAsia="zh-CN"/>
                    </w:rPr>
                  </w:pPr>
                  <w:r>
                    <w:rPr>
                      <w:rFonts w:hint="eastAsia" w:ascii="宋体" w:hAnsi="宋体"/>
                      <w:szCs w:val="21"/>
                      <w:lang w:eastAsia="zh-CN"/>
                    </w:rPr>
                    <w:t>包装材料</w:t>
                  </w:r>
                </w:p>
              </w:tc>
              <w:tc>
                <w:tcPr>
                  <w:tcW w:w="1811" w:type="dxa"/>
                  <w:tcMar>
                    <w:left w:w="0" w:type="dxa"/>
                    <w:right w:w="0" w:type="dxa"/>
                  </w:tcMar>
                  <w:vAlign w:val="center"/>
                </w:tcPr>
                <w:p>
                  <w:pPr>
                    <w:widowControl/>
                    <w:adjustRightInd w:val="0"/>
                    <w:snapToGrid w:val="0"/>
                    <w:jc w:val="center"/>
                    <w:textAlignment w:val="center"/>
                    <w:rPr>
                      <w:rFonts w:hint="eastAsia" w:ascii="宋体" w:hAnsi="宋体" w:eastAsia="宋体"/>
                      <w:szCs w:val="21"/>
                    </w:rPr>
                  </w:pPr>
                </w:p>
              </w:tc>
              <w:tc>
                <w:tcPr>
                  <w:tcW w:w="1410" w:type="dxa"/>
                  <w:tcMar>
                    <w:left w:w="0" w:type="dxa"/>
                    <w:right w:w="0" w:type="dxa"/>
                  </w:tcMar>
                  <w:vAlign w:val="center"/>
                </w:tcPr>
                <w:p>
                  <w:pPr>
                    <w:widowControl/>
                    <w:adjustRightInd w:val="0"/>
                    <w:snapToGrid w:val="0"/>
                    <w:jc w:val="center"/>
                    <w:textAlignment w:val="center"/>
                    <w:rPr>
                      <w:rFonts w:hint="default"/>
                      <w:szCs w:val="22"/>
                      <w:lang w:val="en-US" w:eastAsia="zh-CN"/>
                    </w:rPr>
                  </w:pPr>
                  <w:r>
                    <w:rPr>
                      <w:rFonts w:hint="eastAsia"/>
                      <w:szCs w:val="22"/>
                      <w:lang w:val="en-US" w:eastAsia="zh-CN"/>
                    </w:rPr>
                    <w:t>2.8万套/a</w:t>
                  </w:r>
                </w:p>
              </w:tc>
              <w:tc>
                <w:tcPr>
                  <w:tcW w:w="1264" w:type="dxa"/>
                  <w:tcMar>
                    <w:left w:w="0" w:type="dxa"/>
                    <w:right w:w="0" w:type="dxa"/>
                  </w:tcMar>
                  <w:vAlign w:val="center"/>
                </w:tcPr>
                <w:p>
                  <w:pPr>
                    <w:widowControl/>
                    <w:adjustRightInd w:val="0"/>
                    <w:snapToGrid w:val="0"/>
                    <w:jc w:val="center"/>
                    <w:textAlignment w:val="center"/>
                    <w:rPr>
                      <w:rFonts w:hint="default" w:eastAsia="宋体"/>
                      <w:szCs w:val="22"/>
                      <w:lang w:val="en-US" w:eastAsia="zh-CN"/>
                    </w:rPr>
                  </w:pPr>
                </w:p>
              </w:tc>
              <w:tc>
                <w:tcPr>
                  <w:tcW w:w="1395" w:type="dxa"/>
                  <w:tcMar>
                    <w:left w:w="0" w:type="dxa"/>
                    <w:right w:w="0" w:type="dxa"/>
                  </w:tcMar>
                  <w:vAlign w:val="center"/>
                </w:tcPr>
                <w:p>
                  <w:pPr>
                    <w:widowControl/>
                    <w:adjustRightInd w:val="0"/>
                    <w:snapToGrid w:val="0"/>
                    <w:jc w:val="center"/>
                    <w:textAlignment w:val="center"/>
                    <w:rPr>
                      <w:szCs w:val="22"/>
                    </w:rPr>
                  </w:pPr>
                  <w:r>
                    <w:rPr>
                      <w:rFonts w:hint="eastAsia"/>
                      <w:szCs w:val="22"/>
                      <w:lang w:eastAsia="zh-CN"/>
                    </w:rPr>
                    <w:t>外购</w:t>
                  </w:r>
                  <w:r>
                    <w:rPr>
                      <w:szCs w:val="22"/>
                    </w:rPr>
                    <w:t>，汽运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tcMar>
                    <w:left w:w="0" w:type="dxa"/>
                    <w:right w:w="0" w:type="dxa"/>
                  </w:tcMar>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4</w:t>
                  </w:r>
                </w:p>
              </w:tc>
              <w:tc>
                <w:tcPr>
                  <w:tcW w:w="1770" w:type="dxa"/>
                  <w:tcMar>
                    <w:left w:w="0" w:type="dxa"/>
                    <w:right w:w="0" w:type="dxa"/>
                  </w:tcMar>
                  <w:vAlign w:val="center"/>
                </w:tcPr>
                <w:p>
                  <w:pPr>
                    <w:widowControl/>
                    <w:adjustRightInd w:val="0"/>
                    <w:snapToGrid w:val="0"/>
                    <w:jc w:val="center"/>
                    <w:textAlignment w:val="center"/>
                    <w:rPr>
                      <w:rFonts w:hint="default" w:ascii="宋体" w:hAnsi="宋体" w:eastAsia="宋体"/>
                      <w:szCs w:val="21"/>
                      <w:lang w:val="en-US" w:eastAsia="zh-CN"/>
                    </w:rPr>
                  </w:pPr>
                  <w:r>
                    <w:rPr>
                      <w:rFonts w:hint="eastAsia" w:ascii="宋体" w:hAnsi="宋体"/>
                      <w:szCs w:val="21"/>
                      <w:lang w:eastAsia="zh-CN"/>
                    </w:rPr>
                    <w:t>混凝剂</w:t>
                  </w:r>
                  <w:r>
                    <w:rPr>
                      <w:rFonts w:hint="eastAsia" w:ascii="宋体" w:hAnsi="宋体"/>
                      <w:szCs w:val="21"/>
                      <w:lang w:val="en-US" w:eastAsia="zh-CN"/>
                    </w:rPr>
                    <w:t>PAC</w:t>
                  </w:r>
                </w:p>
              </w:tc>
              <w:tc>
                <w:tcPr>
                  <w:tcW w:w="1811" w:type="dxa"/>
                  <w:tcMar>
                    <w:left w:w="0" w:type="dxa"/>
                    <w:right w:w="0" w:type="dxa"/>
                  </w:tcMar>
                  <w:vAlign w:val="center"/>
                </w:tcPr>
                <w:p>
                  <w:pPr>
                    <w:widowControl/>
                    <w:adjustRightInd w:val="0"/>
                    <w:snapToGrid w:val="0"/>
                    <w:jc w:val="center"/>
                    <w:textAlignment w:val="center"/>
                    <w:rPr>
                      <w:rFonts w:hint="eastAsia" w:ascii="宋体" w:hAnsi="宋体" w:eastAsia="宋体"/>
                      <w:szCs w:val="21"/>
                      <w:lang w:eastAsia="zh-CN"/>
                    </w:rPr>
                  </w:pPr>
                  <w:r>
                    <w:rPr>
                      <w:rFonts w:hint="eastAsia" w:ascii="宋体" w:hAnsi="宋体"/>
                      <w:szCs w:val="21"/>
                      <w:lang w:eastAsia="zh-CN"/>
                    </w:rPr>
                    <w:t>聚合氯化铝</w:t>
                  </w:r>
                </w:p>
              </w:tc>
              <w:tc>
                <w:tcPr>
                  <w:tcW w:w="1410" w:type="dxa"/>
                  <w:tcMar>
                    <w:left w:w="0" w:type="dxa"/>
                    <w:right w:w="0" w:type="dxa"/>
                  </w:tcMar>
                  <w:vAlign w:val="center"/>
                </w:tcPr>
                <w:p>
                  <w:pPr>
                    <w:widowControl/>
                    <w:adjustRightInd w:val="0"/>
                    <w:snapToGrid w:val="0"/>
                    <w:jc w:val="center"/>
                    <w:textAlignment w:val="center"/>
                    <w:rPr>
                      <w:rFonts w:hint="default"/>
                      <w:szCs w:val="22"/>
                      <w:lang w:val="en-US" w:eastAsia="zh-CN"/>
                    </w:rPr>
                  </w:pPr>
                  <w:r>
                    <w:rPr>
                      <w:rFonts w:hint="eastAsia"/>
                      <w:szCs w:val="22"/>
                      <w:lang w:val="en-US" w:eastAsia="zh-CN"/>
                    </w:rPr>
                    <w:t>5.8t/a</w:t>
                  </w:r>
                </w:p>
              </w:tc>
              <w:tc>
                <w:tcPr>
                  <w:tcW w:w="1264" w:type="dxa"/>
                  <w:tcMar>
                    <w:left w:w="0" w:type="dxa"/>
                    <w:right w:w="0" w:type="dxa"/>
                  </w:tcMar>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固态，袋装</w:t>
                  </w:r>
                </w:p>
              </w:tc>
              <w:tc>
                <w:tcPr>
                  <w:tcW w:w="1395" w:type="dxa"/>
                  <w:tcMar>
                    <w:left w:w="0" w:type="dxa"/>
                    <w:right w:w="0" w:type="dxa"/>
                  </w:tcMar>
                  <w:vAlign w:val="center"/>
                </w:tcPr>
                <w:p>
                  <w:pPr>
                    <w:widowControl/>
                    <w:adjustRightInd w:val="0"/>
                    <w:snapToGrid w:val="0"/>
                    <w:jc w:val="center"/>
                    <w:textAlignment w:val="center"/>
                    <w:rPr>
                      <w:szCs w:val="22"/>
                    </w:rPr>
                  </w:pPr>
                  <w:r>
                    <w:rPr>
                      <w:rFonts w:hint="eastAsia"/>
                      <w:szCs w:val="22"/>
                      <w:lang w:eastAsia="zh-CN"/>
                    </w:rPr>
                    <w:t>外购</w:t>
                  </w:r>
                  <w:r>
                    <w:rPr>
                      <w:szCs w:val="22"/>
                    </w:rPr>
                    <w:t>，汽运</w:t>
                  </w:r>
                </w:p>
              </w:tc>
            </w:tr>
          </w:tbl>
          <w:p>
            <w:pPr>
              <w:adjustRightInd w:val="0"/>
              <w:snapToGrid w:val="0"/>
              <w:jc w:val="center"/>
              <w:rPr>
                <w:b/>
                <w:sz w:val="24"/>
              </w:rPr>
            </w:pPr>
            <w:r>
              <w:rPr>
                <w:b/>
                <w:sz w:val="24"/>
              </w:rPr>
              <w:t>表</w:t>
            </w:r>
            <w:r>
              <w:rPr>
                <w:rFonts w:hint="eastAsia"/>
                <w:b/>
                <w:sz w:val="24"/>
              </w:rPr>
              <w:t>2</w:t>
            </w:r>
            <w:r>
              <w:rPr>
                <w:b/>
                <w:sz w:val="24"/>
              </w:rPr>
              <w:t>-2原辅材料理化性质表</w:t>
            </w:r>
          </w:p>
          <w:tbl>
            <w:tblPr>
              <w:tblStyle w:val="36"/>
              <w:tblW w:w="836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900"/>
              <w:gridCol w:w="3914"/>
              <w:gridCol w:w="1831"/>
              <w:gridCol w:w="10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widowControl/>
                    <w:adjustRightInd w:val="0"/>
                    <w:snapToGrid w:val="0"/>
                    <w:jc w:val="center"/>
                    <w:textAlignment w:val="center"/>
                    <w:rPr>
                      <w:b/>
                      <w:bCs/>
                      <w:szCs w:val="22"/>
                    </w:rPr>
                  </w:pPr>
                  <w:r>
                    <w:rPr>
                      <w:b/>
                      <w:bCs/>
                      <w:szCs w:val="22"/>
                    </w:rPr>
                    <w:t>序号</w:t>
                  </w:r>
                </w:p>
              </w:tc>
              <w:tc>
                <w:tcPr>
                  <w:tcW w:w="900" w:type="dxa"/>
                  <w:vAlign w:val="center"/>
                </w:tcPr>
                <w:p>
                  <w:pPr>
                    <w:widowControl/>
                    <w:adjustRightInd w:val="0"/>
                    <w:snapToGrid w:val="0"/>
                    <w:jc w:val="center"/>
                    <w:textAlignment w:val="center"/>
                    <w:rPr>
                      <w:b/>
                      <w:bCs/>
                      <w:szCs w:val="22"/>
                    </w:rPr>
                  </w:pPr>
                  <w:r>
                    <w:rPr>
                      <w:b/>
                      <w:bCs/>
                      <w:szCs w:val="22"/>
                    </w:rPr>
                    <w:t>名称</w:t>
                  </w:r>
                </w:p>
              </w:tc>
              <w:tc>
                <w:tcPr>
                  <w:tcW w:w="3914" w:type="dxa"/>
                  <w:vAlign w:val="center"/>
                </w:tcPr>
                <w:p>
                  <w:pPr>
                    <w:widowControl/>
                    <w:adjustRightInd w:val="0"/>
                    <w:snapToGrid w:val="0"/>
                    <w:jc w:val="center"/>
                    <w:textAlignment w:val="center"/>
                    <w:rPr>
                      <w:b/>
                      <w:bCs/>
                      <w:szCs w:val="22"/>
                    </w:rPr>
                  </w:pPr>
                  <w:r>
                    <w:rPr>
                      <w:b/>
                      <w:bCs/>
                      <w:szCs w:val="22"/>
                    </w:rPr>
                    <w:t>理化性质</w:t>
                  </w:r>
                </w:p>
              </w:tc>
              <w:tc>
                <w:tcPr>
                  <w:tcW w:w="1831" w:type="dxa"/>
                  <w:vAlign w:val="center"/>
                </w:tcPr>
                <w:p>
                  <w:pPr>
                    <w:widowControl/>
                    <w:adjustRightInd w:val="0"/>
                    <w:snapToGrid w:val="0"/>
                    <w:jc w:val="center"/>
                    <w:textAlignment w:val="center"/>
                    <w:rPr>
                      <w:b/>
                      <w:bCs/>
                      <w:szCs w:val="22"/>
                    </w:rPr>
                  </w:pPr>
                  <w:r>
                    <w:rPr>
                      <w:b/>
                      <w:bCs/>
                      <w:szCs w:val="22"/>
                    </w:rPr>
                    <w:t>燃烧爆炸性</w:t>
                  </w:r>
                </w:p>
              </w:tc>
              <w:tc>
                <w:tcPr>
                  <w:tcW w:w="1067" w:type="dxa"/>
                  <w:vAlign w:val="center"/>
                </w:tcPr>
                <w:p>
                  <w:pPr>
                    <w:widowControl/>
                    <w:adjustRightInd w:val="0"/>
                    <w:snapToGrid w:val="0"/>
                    <w:jc w:val="center"/>
                    <w:textAlignment w:val="center"/>
                    <w:rPr>
                      <w:b/>
                      <w:bCs/>
                      <w:szCs w:val="22"/>
                    </w:rPr>
                  </w:pPr>
                  <w:r>
                    <w:rPr>
                      <w:b/>
                      <w:bCs/>
                      <w:szCs w:val="22"/>
                    </w:rPr>
                    <w:t>毒性毒理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widowControl/>
                    <w:adjustRightInd w:val="0"/>
                    <w:snapToGrid w:val="0"/>
                    <w:jc w:val="center"/>
                    <w:textAlignment w:val="center"/>
                    <w:rPr>
                      <w:szCs w:val="22"/>
                    </w:rPr>
                  </w:pPr>
                  <w:r>
                    <w:rPr>
                      <w:szCs w:val="22"/>
                    </w:rPr>
                    <w:t>1</w:t>
                  </w:r>
                </w:p>
              </w:tc>
              <w:tc>
                <w:tcPr>
                  <w:tcW w:w="900" w:type="dxa"/>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釉料</w:t>
                  </w:r>
                </w:p>
              </w:tc>
              <w:tc>
                <w:tcPr>
                  <w:tcW w:w="3914"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eastAsia="zh-CN"/>
                    </w:rPr>
                    <w:t>主要成分：有机粘结剂（醇、醚可溶性高分子聚合物）</w:t>
                  </w:r>
                  <w:r>
                    <w:rPr>
                      <w:rFonts w:hint="eastAsia"/>
                      <w:szCs w:val="22"/>
                      <w:lang w:val="en-US" w:eastAsia="zh-CN"/>
                    </w:rPr>
                    <w:t>20%、无机粘结料（硅、铝、钠、钾等氧化物）45%、钛化合物35%。白色粘性胶状流体，典型溶剂气味，闪电105℃。</w:t>
                  </w:r>
                </w:p>
              </w:tc>
              <w:tc>
                <w:tcPr>
                  <w:tcW w:w="1831"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不燃</w:t>
                  </w:r>
                </w:p>
              </w:tc>
              <w:tc>
                <w:tcPr>
                  <w:tcW w:w="1067" w:type="dxa"/>
                  <w:vAlign w:val="center"/>
                </w:tcPr>
                <w:p>
                  <w:pPr>
                    <w:widowControl/>
                    <w:adjustRightInd w:val="0"/>
                    <w:snapToGrid w:val="0"/>
                    <w:jc w:val="center"/>
                    <w:textAlignment w:val="center"/>
                    <w:rPr>
                      <w:szCs w:val="22"/>
                    </w:rPr>
                  </w:pPr>
                  <w:r>
                    <w:rPr>
                      <w:rFonts w:hint="eastAsia" w:ascii="宋体" w:hAnsi="宋体" w:eastAsia="宋体"/>
                      <w:szCs w:val="21"/>
                    </w:rPr>
                    <w:t>无资料</w:t>
                  </w:r>
                </w:p>
              </w:tc>
            </w:tr>
          </w:tbl>
          <w:p>
            <w:pPr>
              <w:adjustRightInd w:val="0"/>
              <w:snapToGrid w:val="0"/>
              <w:jc w:val="center"/>
              <w:rPr>
                <w:rFonts w:hint="eastAsia"/>
                <w:b/>
                <w:sz w:val="24"/>
              </w:rPr>
            </w:pPr>
          </w:p>
          <w:p>
            <w:pPr>
              <w:adjustRightInd w:val="0"/>
              <w:snapToGrid w:val="0"/>
              <w:jc w:val="center"/>
              <w:rPr>
                <w:rFonts w:hint="eastAsia"/>
                <w:b/>
                <w:sz w:val="24"/>
              </w:rPr>
            </w:pPr>
          </w:p>
          <w:p>
            <w:pPr>
              <w:adjustRightInd w:val="0"/>
              <w:snapToGrid w:val="0"/>
              <w:jc w:val="center"/>
              <w:rPr>
                <w:b/>
                <w:sz w:val="24"/>
              </w:rPr>
            </w:pPr>
            <w:r>
              <w:rPr>
                <w:rFonts w:hint="eastAsia"/>
                <w:b/>
                <w:sz w:val="24"/>
              </w:rPr>
              <w:t>表2-3主要生产设备一览表</w:t>
            </w:r>
          </w:p>
          <w:tbl>
            <w:tblPr>
              <w:tblStyle w:val="3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2170"/>
              <w:gridCol w:w="1868"/>
              <w:gridCol w:w="1840"/>
              <w:gridCol w:w="17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b/>
                      <w:bCs/>
                      <w:szCs w:val="22"/>
                    </w:rPr>
                  </w:pPr>
                  <w:bookmarkStart w:id="2" w:name="_Hlk6407157"/>
                  <w:r>
                    <w:rPr>
                      <w:b/>
                      <w:bCs/>
                      <w:szCs w:val="22"/>
                    </w:rPr>
                    <w:t>序号</w:t>
                  </w:r>
                </w:p>
              </w:tc>
              <w:tc>
                <w:tcPr>
                  <w:tcW w:w="2170" w:type="dxa"/>
                  <w:vAlign w:val="center"/>
                </w:tcPr>
                <w:p>
                  <w:pPr>
                    <w:widowControl/>
                    <w:adjustRightInd w:val="0"/>
                    <w:snapToGrid w:val="0"/>
                    <w:jc w:val="center"/>
                    <w:textAlignment w:val="center"/>
                    <w:rPr>
                      <w:b/>
                      <w:bCs/>
                      <w:szCs w:val="22"/>
                    </w:rPr>
                  </w:pPr>
                  <w:r>
                    <w:rPr>
                      <w:b/>
                      <w:bCs/>
                      <w:szCs w:val="22"/>
                    </w:rPr>
                    <w:t>设备名称</w:t>
                  </w:r>
                </w:p>
              </w:tc>
              <w:tc>
                <w:tcPr>
                  <w:tcW w:w="1868" w:type="dxa"/>
                  <w:vAlign w:val="center"/>
                </w:tcPr>
                <w:p>
                  <w:pPr>
                    <w:widowControl/>
                    <w:adjustRightInd w:val="0"/>
                    <w:snapToGrid w:val="0"/>
                    <w:jc w:val="center"/>
                    <w:textAlignment w:val="center"/>
                    <w:rPr>
                      <w:b/>
                      <w:bCs/>
                      <w:szCs w:val="22"/>
                    </w:rPr>
                  </w:pPr>
                  <w:r>
                    <w:rPr>
                      <w:b/>
                      <w:bCs/>
                      <w:szCs w:val="22"/>
                    </w:rPr>
                    <w:t>规格型号</w:t>
                  </w:r>
                </w:p>
              </w:tc>
              <w:tc>
                <w:tcPr>
                  <w:tcW w:w="1840" w:type="dxa"/>
                  <w:vAlign w:val="center"/>
                </w:tcPr>
                <w:p>
                  <w:pPr>
                    <w:widowControl/>
                    <w:adjustRightInd w:val="0"/>
                    <w:snapToGrid w:val="0"/>
                    <w:jc w:val="center"/>
                    <w:textAlignment w:val="center"/>
                    <w:rPr>
                      <w:b/>
                      <w:bCs/>
                      <w:szCs w:val="22"/>
                    </w:rPr>
                  </w:pPr>
                  <w:r>
                    <w:rPr>
                      <w:b/>
                      <w:bCs/>
                      <w:szCs w:val="22"/>
                    </w:rPr>
                    <w:t>数量（台）</w:t>
                  </w:r>
                </w:p>
              </w:tc>
              <w:tc>
                <w:tcPr>
                  <w:tcW w:w="1743" w:type="dxa"/>
                  <w:vAlign w:val="center"/>
                </w:tcPr>
                <w:p>
                  <w:pPr>
                    <w:widowControl/>
                    <w:adjustRightInd w:val="0"/>
                    <w:snapToGrid w:val="0"/>
                    <w:jc w:val="center"/>
                    <w:textAlignment w:val="center"/>
                    <w:rPr>
                      <w:b/>
                      <w:bCs/>
                      <w:szCs w:val="22"/>
                    </w:rPr>
                  </w:pPr>
                  <w:r>
                    <w:rPr>
                      <w:b/>
                      <w:bCs/>
                      <w:szCs w:val="22"/>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1</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上下机器人系统</w:t>
                  </w:r>
                </w:p>
              </w:tc>
              <w:tc>
                <w:tcPr>
                  <w:tcW w:w="1868"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定制</w:t>
                  </w: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4</w:t>
                  </w:r>
                </w:p>
              </w:tc>
              <w:tc>
                <w:tcPr>
                  <w:tcW w:w="1743" w:type="dxa"/>
                  <w:vAlign w:val="center"/>
                </w:tcPr>
                <w:p>
                  <w:pPr>
                    <w:widowControl/>
                    <w:adjustRightInd w:val="0"/>
                    <w:snapToGrid w:val="0"/>
                    <w:jc w:val="center"/>
                    <w:textAlignment w:val="center"/>
                    <w:rPr>
                      <w:rFonts w:hint="eastAsia" w:eastAsia="宋体"/>
                      <w:szCs w:val="22"/>
                      <w:lang w:val="en-US" w:eastAsia="zh-CN"/>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2</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水平堆垛机</w:t>
                  </w:r>
                </w:p>
              </w:tc>
              <w:tc>
                <w:tcPr>
                  <w:tcW w:w="1868" w:type="dxa"/>
                  <w:vAlign w:val="center"/>
                </w:tcPr>
                <w:p>
                  <w:pPr>
                    <w:widowControl/>
                    <w:adjustRightInd w:val="0"/>
                    <w:snapToGrid w:val="0"/>
                    <w:jc w:val="center"/>
                    <w:textAlignment w:val="center"/>
                    <w:rPr>
                      <w:rFonts w:hint="default" w:eastAsia="宋体"/>
                      <w:szCs w:val="22"/>
                      <w:lang w:val="en-US" w:eastAsia="zh-CN"/>
                    </w:rPr>
                  </w:pP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3</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3</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激光打孔机</w:t>
                  </w:r>
                </w:p>
              </w:tc>
              <w:tc>
                <w:tcPr>
                  <w:tcW w:w="1868"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JM-150-AS40G</w:t>
                  </w: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2</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4</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清洗机</w:t>
                  </w:r>
                </w:p>
              </w:tc>
              <w:tc>
                <w:tcPr>
                  <w:tcW w:w="1868"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YQWNG1500-A</w:t>
                  </w: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1</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766" w:type="dxa"/>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5</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丝网印刷机</w:t>
                  </w:r>
                </w:p>
              </w:tc>
              <w:tc>
                <w:tcPr>
                  <w:tcW w:w="1868"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XY-1020CS</w:t>
                  </w: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2</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6</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烘干机</w:t>
                  </w:r>
                </w:p>
              </w:tc>
              <w:tc>
                <w:tcPr>
                  <w:tcW w:w="1868" w:type="dxa"/>
                  <w:vAlign w:val="center"/>
                </w:tcPr>
                <w:p>
                  <w:pPr>
                    <w:widowControl/>
                    <w:adjustRightInd w:val="0"/>
                    <w:snapToGrid w:val="0"/>
                    <w:jc w:val="center"/>
                    <w:textAlignment w:val="center"/>
                    <w:rPr>
                      <w:rFonts w:hint="eastAsia"/>
                      <w:lang w:val="en-US" w:eastAsia="zh-CN"/>
                    </w:rPr>
                  </w:pPr>
                  <w:r>
                    <w:rPr>
                      <w:rFonts w:hint="eastAsia"/>
                      <w:lang w:val="en-US" w:eastAsia="zh-CN"/>
                    </w:rPr>
                    <w:t>XY-1018IR</w:t>
                  </w:r>
                </w:p>
                <w:p>
                  <w:pPr>
                    <w:pStyle w:val="2"/>
                    <w:jc w:val="center"/>
                    <w:rPr>
                      <w:rFonts w:hint="default"/>
                      <w:lang w:val="en-US" w:eastAsia="zh-CN"/>
                    </w:rPr>
                  </w:pPr>
                  <w:r>
                    <w:rPr>
                      <w:rFonts w:hint="eastAsia"/>
                      <w:lang w:val="en-US" w:eastAsia="zh-CN"/>
                    </w:rPr>
                    <w:t>18*1.7*1.2m</w:t>
                  </w: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1</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7</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钢化炉</w:t>
                  </w:r>
                </w:p>
              </w:tc>
              <w:tc>
                <w:tcPr>
                  <w:tcW w:w="1868"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67.6*2.7*1.9m</w:t>
                  </w: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1</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8</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清洗机</w:t>
                  </w:r>
                </w:p>
              </w:tc>
              <w:tc>
                <w:tcPr>
                  <w:tcW w:w="1868"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YQWN1300</w:t>
                  </w: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2</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rFonts w:hint="eastAsia" w:eastAsia="宋体"/>
                      <w:szCs w:val="22"/>
                      <w:lang w:val="en-US" w:eastAsia="zh-CN"/>
                    </w:rPr>
                  </w:pPr>
                  <w:r>
                    <w:rPr>
                      <w:rFonts w:hint="eastAsia"/>
                      <w:szCs w:val="22"/>
                      <w:lang w:val="en-US" w:eastAsia="zh-CN"/>
                    </w:rPr>
                    <w:t>9</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磨边机</w:t>
                  </w:r>
                </w:p>
              </w:tc>
              <w:tc>
                <w:tcPr>
                  <w:tcW w:w="1868"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YEPC6M2500</w:t>
                  </w: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2</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10</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全检仪</w:t>
                  </w:r>
                </w:p>
              </w:tc>
              <w:tc>
                <w:tcPr>
                  <w:tcW w:w="1868"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IC1650/HNKC</w:t>
                  </w: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1</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766"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11</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下片铺纸机</w:t>
                  </w:r>
                </w:p>
              </w:tc>
              <w:tc>
                <w:tcPr>
                  <w:tcW w:w="1868"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AS-6502</w:t>
                  </w: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4</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6"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12</w:t>
                  </w:r>
                </w:p>
              </w:tc>
              <w:tc>
                <w:tcPr>
                  <w:tcW w:w="2170" w:type="dxa"/>
                  <w:vAlign w:val="center"/>
                </w:tcPr>
                <w:p>
                  <w:pPr>
                    <w:widowControl/>
                    <w:adjustRightInd w:val="0"/>
                    <w:snapToGrid w:val="0"/>
                    <w:jc w:val="center"/>
                    <w:textAlignment w:val="center"/>
                    <w:rPr>
                      <w:rFonts w:hint="eastAsia" w:eastAsia="宋体"/>
                      <w:szCs w:val="22"/>
                      <w:lang w:eastAsia="zh-CN"/>
                    </w:rPr>
                  </w:pPr>
                  <w:r>
                    <w:rPr>
                      <w:rFonts w:hint="eastAsia"/>
                      <w:szCs w:val="22"/>
                      <w:lang w:eastAsia="zh-CN"/>
                    </w:rPr>
                    <w:t>连线辊道（输送设备）</w:t>
                  </w:r>
                </w:p>
              </w:tc>
              <w:tc>
                <w:tcPr>
                  <w:tcW w:w="1868" w:type="dxa"/>
                  <w:vAlign w:val="center"/>
                </w:tcPr>
                <w:p>
                  <w:pPr>
                    <w:widowControl/>
                    <w:adjustRightInd w:val="0"/>
                    <w:snapToGrid w:val="0"/>
                    <w:jc w:val="center"/>
                    <w:textAlignment w:val="center"/>
                    <w:rPr>
                      <w:rFonts w:hint="default" w:eastAsia="宋体"/>
                      <w:szCs w:val="22"/>
                      <w:lang w:val="en-US" w:eastAsia="zh-CN"/>
                    </w:rPr>
                  </w:pPr>
                </w:p>
              </w:tc>
              <w:tc>
                <w:tcPr>
                  <w:tcW w:w="1840" w:type="dxa"/>
                  <w:vAlign w:val="center"/>
                </w:tcPr>
                <w:p>
                  <w:pPr>
                    <w:widowControl/>
                    <w:adjustRightInd w:val="0"/>
                    <w:snapToGrid w:val="0"/>
                    <w:jc w:val="center"/>
                    <w:textAlignment w:val="center"/>
                    <w:rPr>
                      <w:rFonts w:hint="default" w:eastAsia="宋体"/>
                      <w:szCs w:val="22"/>
                      <w:lang w:val="en-US" w:eastAsia="zh-CN"/>
                    </w:rPr>
                  </w:pPr>
                  <w:r>
                    <w:rPr>
                      <w:rFonts w:hint="eastAsia"/>
                      <w:szCs w:val="22"/>
                      <w:lang w:val="en-US" w:eastAsia="zh-CN"/>
                    </w:rPr>
                    <w:t>1</w:t>
                  </w:r>
                </w:p>
              </w:tc>
              <w:tc>
                <w:tcPr>
                  <w:tcW w:w="1743" w:type="dxa"/>
                  <w:vAlign w:val="center"/>
                </w:tcPr>
                <w:p>
                  <w:pPr>
                    <w:widowControl/>
                    <w:adjustRightInd w:val="0"/>
                    <w:snapToGrid w:val="0"/>
                    <w:jc w:val="center"/>
                    <w:textAlignment w:val="center"/>
                    <w:rPr>
                      <w:szCs w:val="22"/>
                    </w:rPr>
                  </w:pPr>
                  <w:r>
                    <w:rPr>
                      <w:rFonts w:hint="eastAsia" w:ascii="宋体" w:hAnsi="宋体" w:eastAsia="宋体" w:cs="Calibri"/>
                      <w:sz w:val="21"/>
                    </w:rPr>
                    <w:t>生产用机</w:t>
                  </w:r>
                </w:p>
              </w:tc>
            </w:tr>
            <w:bookmarkEnd w:id="2"/>
          </w:tbl>
          <w:p>
            <w:pPr>
              <w:spacing w:line="360" w:lineRule="auto"/>
              <w:ind w:firstLine="482" w:firstLineChars="200"/>
              <w:rPr>
                <w:b/>
                <w:bCs/>
                <w:snapToGrid w:val="0"/>
                <w:kern w:val="0"/>
                <w:sz w:val="24"/>
              </w:rPr>
            </w:pPr>
            <w:r>
              <w:rPr>
                <w:rFonts w:hint="eastAsia"/>
                <w:b/>
                <w:bCs/>
                <w:snapToGrid w:val="0"/>
                <w:kern w:val="0"/>
                <w:sz w:val="24"/>
              </w:rPr>
              <w:t>4</w:t>
            </w:r>
            <w:r>
              <w:rPr>
                <w:b/>
                <w:bCs/>
                <w:snapToGrid w:val="0"/>
                <w:kern w:val="0"/>
                <w:sz w:val="24"/>
              </w:rPr>
              <w:t>、</w:t>
            </w:r>
            <w:r>
              <w:rPr>
                <w:rFonts w:hint="eastAsia"/>
                <w:b/>
                <w:bCs/>
                <w:snapToGrid w:val="0"/>
                <w:kern w:val="0"/>
                <w:sz w:val="24"/>
              </w:rPr>
              <w:t>产品方案</w:t>
            </w:r>
          </w:p>
          <w:p>
            <w:pPr>
              <w:ind w:firstLine="480" w:firstLineChars="200"/>
            </w:pPr>
            <w:r>
              <w:rPr>
                <w:sz w:val="24"/>
              </w:rPr>
              <w:t>项目</w:t>
            </w:r>
            <w:r>
              <w:rPr>
                <w:rFonts w:hint="eastAsia"/>
                <w:sz w:val="24"/>
              </w:rPr>
              <w:t>产品</w:t>
            </w:r>
            <w:r>
              <w:rPr>
                <w:sz w:val="24"/>
              </w:rPr>
              <w:t>方案见表</w:t>
            </w:r>
            <w:r>
              <w:rPr>
                <w:rFonts w:hint="eastAsia"/>
                <w:sz w:val="24"/>
              </w:rPr>
              <w:t>2</w:t>
            </w:r>
            <w:r>
              <w:rPr>
                <w:sz w:val="24"/>
              </w:rPr>
              <w:t>-</w:t>
            </w:r>
            <w:r>
              <w:rPr>
                <w:rFonts w:hint="eastAsia"/>
                <w:sz w:val="24"/>
              </w:rPr>
              <w:t>4</w:t>
            </w:r>
            <w:r>
              <w:rPr>
                <w:sz w:val="24"/>
              </w:rPr>
              <w:t>。</w:t>
            </w:r>
          </w:p>
          <w:p>
            <w:pPr>
              <w:jc w:val="both"/>
              <w:rPr>
                <w:b/>
                <w:sz w:val="24"/>
              </w:rPr>
            </w:pPr>
          </w:p>
          <w:p>
            <w:pPr>
              <w:jc w:val="center"/>
              <w:rPr>
                <w:b/>
                <w:sz w:val="24"/>
              </w:rPr>
            </w:pPr>
            <w:r>
              <w:rPr>
                <w:b/>
                <w:sz w:val="24"/>
              </w:rPr>
              <w:t>表</w:t>
            </w:r>
            <w:r>
              <w:rPr>
                <w:rFonts w:hint="eastAsia"/>
                <w:b/>
                <w:sz w:val="24"/>
              </w:rPr>
              <w:t>2</w:t>
            </w:r>
            <w:r>
              <w:rPr>
                <w:b/>
                <w:sz w:val="24"/>
              </w:rPr>
              <w:t>-</w:t>
            </w:r>
            <w:r>
              <w:rPr>
                <w:rFonts w:hint="eastAsia"/>
                <w:b/>
                <w:sz w:val="24"/>
              </w:rPr>
              <w:t>4</w:t>
            </w:r>
            <w:r>
              <w:rPr>
                <w:b/>
                <w:sz w:val="24"/>
              </w:rPr>
              <w:t xml:space="preserve"> </w:t>
            </w:r>
            <w:r>
              <w:rPr>
                <w:b/>
                <w:bCs/>
                <w:sz w:val="24"/>
              </w:rPr>
              <w:t xml:space="preserve"> 本项目产品方案能力一览表</w:t>
            </w:r>
          </w:p>
          <w:tbl>
            <w:tblPr>
              <w:tblStyle w:val="3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1" w:type="dxa"/>
                <w:bottom w:w="0" w:type="dxa"/>
                <w:right w:w="11" w:type="dxa"/>
              </w:tblCellMar>
            </w:tblPr>
            <w:tblGrid>
              <w:gridCol w:w="528"/>
              <w:gridCol w:w="1928"/>
              <w:gridCol w:w="1996"/>
              <w:gridCol w:w="1957"/>
              <w:gridCol w:w="19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454" w:hRule="atLeast"/>
                <w:jc w:val="center"/>
              </w:trPr>
              <w:tc>
                <w:tcPr>
                  <w:tcW w:w="528" w:type="dxa"/>
                  <w:vAlign w:val="center"/>
                </w:tcPr>
                <w:p>
                  <w:pPr>
                    <w:widowControl/>
                    <w:adjustRightInd w:val="0"/>
                    <w:snapToGrid w:val="0"/>
                    <w:jc w:val="center"/>
                    <w:textAlignment w:val="center"/>
                    <w:rPr>
                      <w:b/>
                      <w:bCs/>
                    </w:rPr>
                  </w:pPr>
                  <w:r>
                    <w:rPr>
                      <w:b/>
                      <w:bCs/>
                    </w:rPr>
                    <w:t>序号</w:t>
                  </w:r>
                </w:p>
              </w:tc>
              <w:tc>
                <w:tcPr>
                  <w:tcW w:w="1928" w:type="dxa"/>
                  <w:vAlign w:val="center"/>
                </w:tcPr>
                <w:p>
                  <w:pPr>
                    <w:widowControl/>
                    <w:adjustRightInd w:val="0"/>
                    <w:snapToGrid w:val="0"/>
                    <w:jc w:val="center"/>
                    <w:textAlignment w:val="center"/>
                    <w:rPr>
                      <w:b/>
                      <w:bCs/>
                    </w:rPr>
                  </w:pPr>
                  <w:r>
                    <w:rPr>
                      <w:b/>
                      <w:bCs/>
                    </w:rPr>
                    <w:t>生产线名称</w:t>
                  </w:r>
                </w:p>
              </w:tc>
              <w:tc>
                <w:tcPr>
                  <w:tcW w:w="1996" w:type="dxa"/>
                  <w:vAlign w:val="center"/>
                </w:tcPr>
                <w:p>
                  <w:pPr>
                    <w:widowControl/>
                    <w:adjustRightInd w:val="0"/>
                    <w:snapToGrid w:val="0"/>
                    <w:jc w:val="center"/>
                    <w:textAlignment w:val="center"/>
                    <w:rPr>
                      <w:b/>
                      <w:bCs/>
                    </w:rPr>
                  </w:pPr>
                  <w:r>
                    <w:rPr>
                      <w:b/>
                      <w:bCs/>
                    </w:rPr>
                    <w:t>产品名称</w:t>
                  </w:r>
                </w:p>
              </w:tc>
              <w:tc>
                <w:tcPr>
                  <w:tcW w:w="1957" w:type="dxa"/>
                  <w:vAlign w:val="center"/>
                </w:tcPr>
                <w:p>
                  <w:pPr>
                    <w:widowControl/>
                    <w:adjustRightInd w:val="0"/>
                    <w:snapToGrid w:val="0"/>
                    <w:jc w:val="center"/>
                    <w:textAlignment w:val="center"/>
                    <w:rPr>
                      <w:b/>
                      <w:bCs/>
                    </w:rPr>
                  </w:pPr>
                  <w:r>
                    <w:rPr>
                      <w:b/>
                      <w:bCs/>
                    </w:rPr>
                    <w:t>数量（</w:t>
                  </w:r>
                  <w:r>
                    <w:rPr>
                      <w:rFonts w:hint="eastAsia"/>
                      <w:b/>
                      <w:bCs/>
                      <w:lang w:val="en-US" w:eastAsia="zh-CN"/>
                    </w:rPr>
                    <w:t>m</w:t>
                  </w:r>
                  <w:r>
                    <w:rPr>
                      <w:rFonts w:hint="eastAsia"/>
                      <w:b/>
                      <w:bCs/>
                      <w:vertAlign w:val="superscript"/>
                      <w:lang w:val="en-US" w:eastAsia="zh-CN"/>
                    </w:rPr>
                    <w:t>2</w:t>
                  </w:r>
                  <w:r>
                    <w:rPr>
                      <w:b/>
                      <w:bCs/>
                    </w:rPr>
                    <w:t>/年）</w:t>
                  </w:r>
                </w:p>
              </w:tc>
              <w:tc>
                <w:tcPr>
                  <w:tcW w:w="1978" w:type="dxa"/>
                  <w:vAlign w:val="center"/>
                </w:tcPr>
                <w:p>
                  <w:pPr>
                    <w:widowControl/>
                    <w:adjustRightInd w:val="0"/>
                    <w:snapToGrid w:val="0"/>
                    <w:jc w:val="center"/>
                    <w:textAlignment w:val="center"/>
                    <w:rPr>
                      <w:b/>
                      <w:bCs/>
                    </w:rPr>
                  </w:pPr>
                  <w:r>
                    <w:rPr>
                      <w:b/>
                      <w:bCs/>
                    </w:rPr>
                    <w:t>年运行时间数（h/a）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454" w:hRule="atLeast"/>
                <w:jc w:val="center"/>
              </w:trPr>
              <w:tc>
                <w:tcPr>
                  <w:tcW w:w="528" w:type="dxa"/>
                  <w:vAlign w:val="center"/>
                </w:tcPr>
                <w:p>
                  <w:pPr>
                    <w:adjustRightInd w:val="0"/>
                    <w:snapToGrid w:val="0"/>
                    <w:jc w:val="center"/>
                    <w:rPr>
                      <w:rFonts w:hint="eastAsia"/>
                      <w:lang w:val="en-US" w:eastAsia="zh-CN"/>
                    </w:rPr>
                  </w:pPr>
                  <w:r>
                    <w:rPr>
                      <w:rFonts w:hint="eastAsia"/>
                      <w:lang w:val="en-US" w:eastAsia="zh-CN"/>
                    </w:rPr>
                    <w:t>1</w:t>
                  </w:r>
                </w:p>
              </w:tc>
              <w:tc>
                <w:tcPr>
                  <w:tcW w:w="1928" w:type="dxa"/>
                  <w:vAlign w:val="center"/>
                </w:tcPr>
                <w:p>
                  <w:pPr>
                    <w:adjustRightInd w:val="0"/>
                    <w:snapToGrid w:val="0"/>
                    <w:jc w:val="center"/>
                    <w:rPr>
                      <w:rFonts w:hint="default"/>
                      <w:lang w:val="en-US" w:eastAsia="zh-CN"/>
                    </w:rPr>
                  </w:pPr>
                  <w:r>
                    <w:rPr>
                      <w:rFonts w:hint="eastAsia"/>
                      <w:lang w:val="en-US" w:eastAsia="zh-CN"/>
                    </w:rPr>
                    <w:t>背板玻璃深加工生产线</w:t>
                  </w:r>
                </w:p>
              </w:tc>
              <w:tc>
                <w:tcPr>
                  <w:tcW w:w="1996" w:type="dxa"/>
                  <w:vAlign w:val="center"/>
                </w:tcPr>
                <w:p>
                  <w:pPr>
                    <w:adjustRightInd w:val="0"/>
                    <w:snapToGrid w:val="0"/>
                    <w:jc w:val="center"/>
                    <w:rPr>
                      <w:rFonts w:hint="default"/>
                      <w:lang w:val="en-US" w:eastAsia="zh-CN"/>
                    </w:rPr>
                  </w:pPr>
                  <w:r>
                    <w:rPr>
                      <w:rFonts w:hint="eastAsia"/>
                      <w:lang w:val="en-US" w:eastAsia="zh-CN"/>
                    </w:rPr>
                    <w:t>背板玻璃深加工产品1.4-2.5mm</w:t>
                  </w:r>
                </w:p>
              </w:tc>
              <w:tc>
                <w:tcPr>
                  <w:tcW w:w="1957" w:type="dxa"/>
                  <w:vAlign w:val="center"/>
                </w:tcPr>
                <w:p>
                  <w:pPr>
                    <w:adjustRightInd w:val="0"/>
                    <w:snapToGrid w:val="0"/>
                    <w:jc w:val="center"/>
                    <w:rPr>
                      <w:rFonts w:hint="eastAsia"/>
                      <w:lang w:val="en-US" w:eastAsia="zh-CN"/>
                    </w:rPr>
                  </w:pPr>
                  <w:r>
                    <w:rPr>
                      <w:rFonts w:hint="eastAsia"/>
                      <w:lang w:val="en-US" w:eastAsia="zh-CN"/>
                    </w:rPr>
                    <w:t>840万</w:t>
                  </w:r>
                </w:p>
              </w:tc>
              <w:tc>
                <w:tcPr>
                  <w:tcW w:w="1978" w:type="dxa"/>
                  <w:vAlign w:val="center"/>
                </w:tcPr>
                <w:p>
                  <w:pPr>
                    <w:adjustRightInd w:val="0"/>
                    <w:snapToGrid w:val="0"/>
                    <w:jc w:val="center"/>
                    <w:rPr>
                      <w:rFonts w:hint="default"/>
                      <w:lang w:val="en-US" w:eastAsia="zh-CN"/>
                    </w:rPr>
                  </w:pPr>
                  <w:r>
                    <w:rPr>
                      <w:rFonts w:hint="eastAsia"/>
                      <w:lang w:val="en-US" w:eastAsia="zh-CN"/>
                    </w:rPr>
                    <w:t>7200</w:t>
                  </w:r>
                </w:p>
              </w:tc>
            </w:tr>
          </w:tbl>
          <w:p>
            <w:pPr>
              <w:spacing w:line="360" w:lineRule="auto"/>
              <w:ind w:firstLine="482" w:firstLineChars="200"/>
              <w:rPr>
                <w:b/>
                <w:bCs/>
                <w:snapToGrid w:val="0"/>
                <w:kern w:val="0"/>
                <w:sz w:val="24"/>
              </w:rPr>
            </w:pPr>
            <w:r>
              <w:rPr>
                <w:rFonts w:hint="eastAsia"/>
                <w:b/>
                <w:bCs/>
                <w:snapToGrid w:val="0"/>
                <w:kern w:val="0"/>
                <w:sz w:val="24"/>
              </w:rPr>
              <w:t>5、主体</w:t>
            </w:r>
            <w:r>
              <w:rPr>
                <w:b/>
                <w:bCs/>
                <w:snapToGrid w:val="0"/>
                <w:kern w:val="0"/>
                <w:sz w:val="24"/>
              </w:rPr>
              <w:t>、</w:t>
            </w:r>
            <w:r>
              <w:rPr>
                <w:rFonts w:hint="eastAsia"/>
                <w:b/>
                <w:bCs/>
                <w:snapToGrid w:val="0"/>
                <w:kern w:val="0"/>
                <w:sz w:val="24"/>
              </w:rPr>
              <w:t>公用及辅助工程</w:t>
            </w:r>
          </w:p>
          <w:p>
            <w:pPr>
              <w:adjustRightInd w:val="0"/>
              <w:snapToGrid w:val="0"/>
              <w:spacing w:line="360" w:lineRule="auto"/>
              <w:ind w:firstLine="480" w:firstLineChars="200"/>
              <w:rPr>
                <w:b/>
                <w:bCs/>
                <w:snapToGrid w:val="0"/>
                <w:kern w:val="0"/>
                <w:sz w:val="24"/>
              </w:rPr>
            </w:pPr>
            <w:r>
              <w:rPr>
                <w:rFonts w:hint="eastAsia"/>
                <w:sz w:val="24"/>
              </w:rPr>
              <w:t>本项目项目建成后其主体</w:t>
            </w:r>
            <w:r>
              <w:rPr>
                <w:sz w:val="24"/>
              </w:rPr>
              <w:t>、</w:t>
            </w:r>
            <w:r>
              <w:rPr>
                <w:rFonts w:hint="eastAsia"/>
                <w:sz w:val="24"/>
              </w:rPr>
              <w:t>公用及辅助工程具体见表2-5。</w:t>
            </w:r>
          </w:p>
          <w:p>
            <w:pPr>
              <w:adjustRightInd w:val="0"/>
              <w:snapToGrid w:val="0"/>
              <w:jc w:val="center"/>
              <w:rPr>
                <w:b/>
                <w:sz w:val="24"/>
              </w:rPr>
            </w:pPr>
            <w:r>
              <w:rPr>
                <w:b/>
                <w:sz w:val="24"/>
              </w:rPr>
              <w:t>表</w:t>
            </w:r>
            <w:r>
              <w:rPr>
                <w:rFonts w:hint="eastAsia"/>
                <w:b/>
                <w:sz w:val="24"/>
              </w:rPr>
              <w:t>2</w:t>
            </w:r>
            <w:r>
              <w:rPr>
                <w:b/>
                <w:sz w:val="24"/>
              </w:rPr>
              <w:t>-</w:t>
            </w:r>
            <w:r>
              <w:rPr>
                <w:rFonts w:hint="eastAsia"/>
                <w:b/>
                <w:sz w:val="24"/>
              </w:rPr>
              <w:t>5</w:t>
            </w:r>
            <w:r>
              <w:rPr>
                <w:b/>
                <w:sz w:val="24"/>
              </w:rPr>
              <w:t xml:space="preserve"> </w:t>
            </w:r>
            <w:r>
              <w:rPr>
                <w:rFonts w:hint="eastAsia"/>
                <w:b/>
                <w:sz w:val="24"/>
              </w:rPr>
              <w:t>本</w:t>
            </w:r>
            <w:r>
              <w:rPr>
                <w:b/>
                <w:sz w:val="24"/>
              </w:rPr>
              <w:t>项目</w:t>
            </w:r>
            <w:r>
              <w:rPr>
                <w:rFonts w:hint="eastAsia"/>
                <w:b/>
                <w:sz w:val="24"/>
              </w:rPr>
              <w:t>的</w:t>
            </w:r>
            <w:r>
              <w:rPr>
                <w:b/>
                <w:sz w:val="24"/>
              </w:rPr>
              <w:t>主体和公用及辅助工程</w:t>
            </w:r>
          </w:p>
          <w:tbl>
            <w:tblPr>
              <w:tblStyle w:val="3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700"/>
              <w:gridCol w:w="1139"/>
              <w:gridCol w:w="2421"/>
              <w:gridCol w:w="32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tcMar>
                    <w:left w:w="0" w:type="dxa"/>
                    <w:right w:w="0" w:type="dxa"/>
                  </w:tcMar>
                  <w:vAlign w:val="center"/>
                </w:tcPr>
                <w:p>
                  <w:pPr>
                    <w:adjustRightInd w:val="0"/>
                    <w:snapToGrid w:val="0"/>
                    <w:jc w:val="center"/>
                    <w:rPr>
                      <w:b/>
                      <w:bCs/>
                      <w:szCs w:val="22"/>
                    </w:rPr>
                  </w:pPr>
                  <w:r>
                    <w:rPr>
                      <w:b/>
                      <w:bCs/>
                      <w:szCs w:val="22"/>
                    </w:rPr>
                    <w:t>类别</w:t>
                  </w:r>
                </w:p>
              </w:tc>
              <w:tc>
                <w:tcPr>
                  <w:tcW w:w="1839" w:type="dxa"/>
                  <w:gridSpan w:val="2"/>
                  <w:tcMar>
                    <w:left w:w="0" w:type="dxa"/>
                    <w:right w:w="0" w:type="dxa"/>
                  </w:tcMar>
                  <w:vAlign w:val="center"/>
                </w:tcPr>
                <w:p>
                  <w:pPr>
                    <w:adjustRightInd w:val="0"/>
                    <w:snapToGrid w:val="0"/>
                    <w:jc w:val="center"/>
                    <w:rPr>
                      <w:b/>
                      <w:bCs/>
                      <w:szCs w:val="22"/>
                    </w:rPr>
                  </w:pPr>
                  <w:r>
                    <w:rPr>
                      <w:b/>
                      <w:bCs/>
                      <w:szCs w:val="22"/>
                    </w:rPr>
                    <w:t>本项目</w:t>
                  </w:r>
                </w:p>
              </w:tc>
              <w:tc>
                <w:tcPr>
                  <w:tcW w:w="2421" w:type="dxa"/>
                  <w:tcMar>
                    <w:left w:w="0" w:type="dxa"/>
                    <w:right w:w="0" w:type="dxa"/>
                  </w:tcMar>
                  <w:vAlign w:val="center"/>
                </w:tcPr>
                <w:p>
                  <w:pPr>
                    <w:adjustRightInd w:val="0"/>
                    <w:snapToGrid w:val="0"/>
                    <w:jc w:val="center"/>
                    <w:rPr>
                      <w:b/>
                      <w:bCs/>
                      <w:szCs w:val="22"/>
                    </w:rPr>
                  </w:pPr>
                  <w:r>
                    <w:rPr>
                      <w:b/>
                      <w:bCs/>
                      <w:szCs w:val="22"/>
                    </w:rPr>
                    <w:t>建设内容及规模</w:t>
                  </w:r>
                </w:p>
              </w:tc>
              <w:tc>
                <w:tcPr>
                  <w:tcW w:w="3223" w:type="dxa"/>
                  <w:tcMar>
                    <w:left w:w="0" w:type="dxa"/>
                    <w:right w:w="0" w:type="dxa"/>
                  </w:tcMar>
                  <w:vAlign w:val="center"/>
                </w:tcPr>
                <w:p>
                  <w:pPr>
                    <w:adjustRightInd w:val="0"/>
                    <w:snapToGrid w:val="0"/>
                    <w:jc w:val="center"/>
                    <w:rPr>
                      <w:b/>
                      <w:bCs/>
                      <w:szCs w:val="22"/>
                    </w:rPr>
                  </w:pPr>
                  <w:r>
                    <w:rPr>
                      <w:b/>
                      <w:bCs/>
                      <w:szCs w:val="22"/>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tcMar>
                    <w:left w:w="0" w:type="dxa"/>
                    <w:right w:w="0" w:type="dxa"/>
                  </w:tcMar>
                  <w:vAlign w:val="center"/>
                </w:tcPr>
                <w:p>
                  <w:pPr>
                    <w:adjustRightInd w:val="0"/>
                    <w:snapToGrid w:val="0"/>
                    <w:jc w:val="center"/>
                    <w:rPr>
                      <w:szCs w:val="22"/>
                    </w:rPr>
                  </w:pPr>
                  <w:r>
                    <w:rPr>
                      <w:szCs w:val="22"/>
                    </w:rPr>
                    <w:t>主体工程</w:t>
                  </w:r>
                </w:p>
              </w:tc>
              <w:tc>
                <w:tcPr>
                  <w:tcW w:w="1839" w:type="dxa"/>
                  <w:gridSpan w:val="2"/>
                  <w:tcMar>
                    <w:left w:w="0" w:type="dxa"/>
                    <w:right w:w="0" w:type="dxa"/>
                  </w:tcMar>
                  <w:vAlign w:val="center"/>
                </w:tcPr>
                <w:p>
                  <w:pPr>
                    <w:adjustRightInd w:val="0"/>
                    <w:snapToGrid w:val="0"/>
                    <w:jc w:val="center"/>
                    <w:rPr>
                      <w:szCs w:val="22"/>
                    </w:rPr>
                  </w:pPr>
                  <w:r>
                    <w:rPr>
                      <w:szCs w:val="22"/>
                    </w:rPr>
                    <w:t>生产车间</w:t>
                  </w:r>
                </w:p>
              </w:tc>
              <w:tc>
                <w:tcPr>
                  <w:tcW w:w="2421" w:type="dxa"/>
                  <w:tcMar>
                    <w:left w:w="0" w:type="dxa"/>
                    <w:right w:w="0" w:type="dxa"/>
                  </w:tcMar>
                  <w:vAlign w:val="center"/>
                </w:tcPr>
                <w:p>
                  <w:pPr>
                    <w:adjustRightInd w:val="0"/>
                    <w:snapToGrid w:val="0"/>
                    <w:jc w:val="center"/>
                    <w:rPr>
                      <w:szCs w:val="22"/>
                      <w:highlight w:val="yellow"/>
                    </w:rPr>
                  </w:pPr>
                  <w:r>
                    <w:rPr>
                      <w:szCs w:val="22"/>
                      <w:highlight w:val="none"/>
                    </w:rPr>
                    <w:t>建筑面积约</w:t>
                  </w:r>
                  <w:r>
                    <w:rPr>
                      <w:rFonts w:hint="eastAsia"/>
                      <w:szCs w:val="22"/>
                      <w:highlight w:val="none"/>
                      <w:lang w:val="en-US" w:eastAsia="zh-CN"/>
                    </w:rPr>
                    <w:t>5631</w:t>
                  </w:r>
                  <w:r>
                    <w:rPr>
                      <w:szCs w:val="22"/>
                      <w:highlight w:val="none"/>
                    </w:rPr>
                    <w:t>m</w:t>
                  </w:r>
                  <w:r>
                    <w:rPr>
                      <w:szCs w:val="22"/>
                      <w:highlight w:val="none"/>
                      <w:vertAlign w:val="superscript"/>
                    </w:rPr>
                    <w:t>2</w:t>
                  </w:r>
                </w:p>
              </w:tc>
              <w:tc>
                <w:tcPr>
                  <w:tcW w:w="3223" w:type="dxa"/>
                  <w:tcMar>
                    <w:left w:w="0" w:type="dxa"/>
                    <w:right w:w="0" w:type="dxa"/>
                  </w:tcMar>
                  <w:vAlign w:val="center"/>
                </w:tcPr>
                <w:p>
                  <w:pPr>
                    <w:adjustRightInd w:val="0"/>
                    <w:snapToGrid w:val="0"/>
                    <w:jc w:val="center"/>
                    <w:rPr>
                      <w:rFonts w:hint="eastAsia" w:eastAsia="宋体"/>
                      <w:szCs w:val="22"/>
                      <w:lang w:eastAsia="zh-CN"/>
                    </w:rPr>
                  </w:pPr>
                  <w:r>
                    <w:rPr>
                      <w:rFonts w:hint="eastAsia"/>
                      <w:szCs w:val="22"/>
                      <w:lang w:eastAsia="zh-CN"/>
                    </w:rPr>
                    <w:t>二层混凝土结构的二楼，已建，本项目车间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restart"/>
                  <w:tcMar>
                    <w:left w:w="0" w:type="dxa"/>
                    <w:right w:w="0" w:type="dxa"/>
                  </w:tcMar>
                  <w:vAlign w:val="center"/>
                </w:tcPr>
                <w:p>
                  <w:pPr>
                    <w:adjustRightInd w:val="0"/>
                    <w:snapToGrid w:val="0"/>
                    <w:jc w:val="center"/>
                    <w:rPr>
                      <w:szCs w:val="22"/>
                    </w:rPr>
                  </w:pPr>
                  <w:r>
                    <w:rPr>
                      <w:szCs w:val="22"/>
                    </w:rPr>
                    <w:t>公用工程</w:t>
                  </w:r>
                </w:p>
              </w:tc>
              <w:tc>
                <w:tcPr>
                  <w:tcW w:w="1839" w:type="dxa"/>
                  <w:gridSpan w:val="2"/>
                  <w:tcMar>
                    <w:left w:w="0" w:type="dxa"/>
                    <w:right w:w="0" w:type="dxa"/>
                  </w:tcMar>
                  <w:vAlign w:val="center"/>
                </w:tcPr>
                <w:p>
                  <w:pPr>
                    <w:adjustRightInd w:val="0"/>
                    <w:snapToGrid w:val="0"/>
                    <w:jc w:val="center"/>
                    <w:rPr>
                      <w:szCs w:val="22"/>
                    </w:rPr>
                  </w:pPr>
                  <w:r>
                    <w:rPr>
                      <w:szCs w:val="22"/>
                    </w:rPr>
                    <w:t>给水系统</w:t>
                  </w:r>
                </w:p>
              </w:tc>
              <w:tc>
                <w:tcPr>
                  <w:tcW w:w="2421" w:type="dxa"/>
                  <w:tcMar>
                    <w:left w:w="0" w:type="dxa"/>
                    <w:right w:w="0" w:type="dxa"/>
                  </w:tcMar>
                  <w:vAlign w:val="center"/>
                </w:tcPr>
                <w:p>
                  <w:pPr>
                    <w:adjustRightInd w:val="0"/>
                    <w:snapToGrid w:val="0"/>
                    <w:jc w:val="center"/>
                    <w:rPr>
                      <w:rFonts w:hint="default" w:eastAsia="宋体"/>
                      <w:szCs w:val="22"/>
                      <w:highlight w:val="yellow"/>
                      <w:lang w:val="en-US" w:eastAsia="zh-CN"/>
                    </w:rPr>
                  </w:pPr>
                  <w:r>
                    <w:rPr>
                      <w:rFonts w:hint="eastAsia" w:ascii="Times New Roman" w:hAnsi="Times New Roman"/>
                      <w:szCs w:val="21"/>
                      <w:lang w:eastAsia="zh-CN"/>
                    </w:rPr>
                    <w:t>给水量</w:t>
                  </w:r>
                  <w:r>
                    <w:rPr>
                      <w:rFonts w:hint="eastAsia"/>
                      <w:szCs w:val="21"/>
                      <w:lang w:val="en-US" w:eastAsia="zh-CN"/>
                    </w:rPr>
                    <w:t>2800</w:t>
                  </w:r>
                  <w:r>
                    <w:rPr>
                      <w:rFonts w:hint="eastAsia" w:ascii="Times New Roman" w:hAnsi="Times New Roman" w:eastAsia="宋体"/>
                      <w:szCs w:val="21"/>
                    </w:rPr>
                    <w:t>t</w:t>
                  </w:r>
                  <w:r>
                    <w:rPr>
                      <w:rFonts w:hint="eastAsia" w:ascii="宋体" w:hAnsi="宋体" w:eastAsia="宋体"/>
                      <w:szCs w:val="21"/>
                    </w:rPr>
                    <w:t>/</w:t>
                  </w:r>
                  <w:r>
                    <w:rPr>
                      <w:rFonts w:hint="eastAsia" w:ascii="Times New Roman" w:hAnsi="Times New Roman" w:eastAsia="宋体"/>
                      <w:szCs w:val="21"/>
                    </w:rPr>
                    <w:t>a</w:t>
                  </w:r>
                </w:p>
              </w:tc>
              <w:tc>
                <w:tcPr>
                  <w:tcW w:w="3223" w:type="dxa"/>
                  <w:tcMar>
                    <w:left w:w="0" w:type="dxa"/>
                    <w:right w:w="0" w:type="dxa"/>
                  </w:tcMar>
                  <w:vAlign w:val="center"/>
                </w:tcPr>
                <w:p>
                  <w:pPr>
                    <w:adjustRightInd w:val="0"/>
                    <w:snapToGrid w:val="0"/>
                    <w:jc w:val="center"/>
                    <w:rPr>
                      <w:szCs w:val="22"/>
                    </w:rPr>
                  </w:pPr>
                  <w:r>
                    <w:rPr>
                      <w:szCs w:val="22"/>
                    </w:rPr>
                    <w:t>由</w:t>
                  </w:r>
                  <w:r>
                    <w:rPr>
                      <w:rFonts w:hint="eastAsia"/>
                      <w:szCs w:val="22"/>
                      <w:lang w:eastAsia="zh-CN"/>
                    </w:rPr>
                    <w:t>高塍镇</w:t>
                  </w:r>
                  <w:r>
                    <w:rPr>
                      <w:szCs w:val="22"/>
                    </w:rPr>
                    <w:t>供水部门供给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continue"/>
                  <w:tcMar>
                    <w:left w:w="0" w:type="dxa"/>
                    <w:right w:w="0" w:type="dxa"/>
                  </w:tcMar>
                  <w:vAlign w:val="center"/>
                </w:tcPr>
                <w:p>
                  <w:pPr>
                    <w:adjustRightInd w:val="0"/>
                    <w:snapToGrid w:val="0"/>
                    <w:jc w:val="center"/>
                    <w:rPr>
                      <w:szCs w:val="22"/>
                    </w:rPr>
                  </w:pPr>
                </w:p>
              </w:tc>
              <w:tc>
                <w:tcPr>
                  <w:tcW w:w="1839" w:type="dxa"/>
                  <w:gridSpan w:val="2"/>
                  <w:tcMar>
                    <w:left w:w="0" w:type="dxa"/>
                    <w:right w:w="0" w:type="dxa"/>
                  </w:tcMar>
                  <w:vAlign w:val="center"/>
                </w:tcPr>
                <w:p>
                  <w:pPr>
                    <w:adjustRightInd w:val="0"/>
                    <w:snapToGrid w:val="0"/>
                    <w:jc w:val="center"/>
                    <w:rPr>
                      <w:szCs w:val="22"/>
                      <w:highlight w:val="none"/>
                    </w:rPr>
                  </w:pPr>
                  <w:r>
                    <w:rPr>
                      <w:szCs w:val="22"/>
                      <w:highlight w:val="none"/>
                    </w:rPr>
                    <w:t>排水系统</w:t>
                  </w:r>
                </w:p>
              </w:tc>
              <w:tc>
                <w:tcPr>
                  <w:tcW w:w="2421" w:type="dxa"/>
                  <w:tcMar>
                    <w:left w:w="0" w:type="dxa"/>
                    <w:right w:w="0" w:type="dxa"/>
                  </w:tcMar>
                  <w:vAlign w:val="center"/>
                </w:tcPr>
                <w:p>
                  <w:pPr>
                    <w:adjustRightInd w:val="0"/>
                    <w:snapToGrid w:val="0"/>
                    <w:jc w:val="center"/>
                    <w:rPr>
                      <w:szCs w:val="22"/>
                      <w:highlight w:val="none"/>
                    </w:rPr>
                  </w:pPr>
                  <w:r>
                    <w:rPr>
                      <w:szCs w:val="22"/>
                      <w:highlight w:val="none"/>
                    </w:rPr>
                    <w:t>排水量</w:t>
                  </w:r>
                  <w:r>
                    <w:rPr>
                      <w:rFonts w:hint="eastAsia"/>
                      <w:szCs w:val="22"/>
                      <w:highlight w:val="none"/>
                      <w:lang w:val="en-US" w:eastAsia="zh-CN"/>
                    </w:rPr>
                    <w:t>1200</w:t>
                  </w:r>
                  <w:r>
                    <w:rPr>
                      <w:szCs w:val="22"/>
                      <w:highlight w:val="none"/>
                    </w:rPr>
                    <w:t>t/a</w:t>
                  </w:r>
                </w:p>
              </w:tc>
              <w:tc>
                <w:tcPr>
                  <w:tcW w:w="3223" w:type="dxa"/>
                  <w:tcMar>
                    <w:left w:w="0" w:type="dxa"/>
                    <w:right w:w="0" w:type="dxa"/>
                  </w:tcMar>
                  <w:vAlign w:val="center"/>
                </w:tcPr>
                <w:p>
                  <w:pPr>
                    <w:adjustRightInd w:val="0"/>
                    <w:snapToGrid w:val="0"/>
                    <w:jc w:val="center"/>
                    <w:rPr>
                      <w:szCs w:val="22"/>
                      <w:highlight w:val="none"/>
                    </w:rPr>
                  </w:pPr>
                  <w:r>
                    <w:rPr>
                      <w:szCs w:val="22"/>
                      <w:highlight w:val="none"/>
                    </w:rPr>
                    <w:t>接入污水管网，排入</w:t>
                  </w:r>
                  <w:r>
                    <w:rPr>
                      <w:rFonts w:hint="eastAsia"/>
                      <w:szCs w:val="22"/>
                      <w:highlight w:val="none"/>
                      <w:lang w:eastAsia="zh-CN"/>
                    </w:rPr>
                    <w:t>城市污水处理厂</w:t>
                  </w:r>
                  <w:r>
                    <w:rPr>
                      <w:szCs w:val="22"/>
                      <w:highlight w:val="none"/>
                    </w:rPr>
                    <w:t>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continue"/>
                  <w:tcMar>
                    <w:left w:w="0" w:type="dxa"/>
                    <w:right w:w="0" w:type="dxa"/>
                  </w:tcMar>
                  <w:vAlign w:val="center"/>
                </w:tcPr>
                <w:p>
                  <w:pPr>
                    <w:adjustRightInd w:val="0"/>
                    <w:snapToGrid w:val="0"/>
                    <w:jc w:val="center"/>
                    <w:rPr>
                      <w:szCs w:val="22"/>
                    </w:rPr>
                  </w:pPr>
                </w:p>
              </w:tc>
              <w:tc>
                <w:tcPr>
                  <w:tcW w:w="1839" w:type="dxa"/>
                  <w:gridSpan w:val="2"/>
                  <w:tcMar>
                    <w:left w:w="0" w:type="dxa"/>
                    <w:right w:w="0" w:type="dxa"/>
                  </w:tcMar>
                  <w:vAlign w:val="center"/>
                </w:tcPr>
                <w:p>
                  <w:pPr>
                    <w:adjustRightInd w:val="0"/>
                    <w:snapToGrid w:val="0"/>
                    <w:jc w:val="center"/>
                    <w:rPr>
                      <w:szCs w:val="22"/>
                      <w:highlight w:val="none"/>
                    </w:rPr>
                  </w:pPr>
                  <w:r>
                    <w:rPr>
                      <w:szCs w:val="22"/>
                      <w:highlight w:val="none"/>
                    </w:rPr>
                    <w:t>供电系统</w:t>
                  </w:r>
                </w:p>
              </w:tc>
              <w:tc>
                <w:tcPr>
                  <w:tcW w:w="2421" w:type="dxa"/>
                  <w:tcMar>
                    <w:left w:w="0" w:type="dxa"/>
                    <w:right w:w="0" w:type="dxa"/>
                  </w:tcMar>
                  <w:vAlign w:val="center"/>
                </w:tcPr>
                <w:p>
                  <w:pPr>
                    <w:adjustRightInd w:val="0"/>
                    <w:snapToGrid w:val="0"/>
                    <w:jc w:val="center"/>
                    <w:rPr>
                      <w:szCs w:val="22"/>
                      <w:highlight w:val="none"/>
                    </w:rPr>
                  </w:pPr>
                  <w:r>
                    <w:rPr>
                      <w:rFonts w:ascii="Times New Roman" w:hAnsi="Times New Roman" w:cs="Times New Roman"/>
                      <w:szCs w:val="22"/>
                      <w:highlight w:val="none"/>
                    </w:rPr>
                    <w:t>年用电</w:t>
                  </w:r>
                  <w:r>
                    <w:rPr>
                      <w:rFonts w:hint="eastAsia" w:ascii="Times New Roman" w:hAnsi="Times New Roman" w:cs="Times New Roman"/>
                      <w:szCs w:val="22"/>
                      <w:highlight w:val="none"/>
                      <w:lang w:val="en-US" w:eastAsia="zh-CN"/>
                    </w:rPr>
                    <w:t>1717</w:t>
                  </w:r>
                  <w:r>
                    <w:rPr>
                      <w:rFonts w:ascii="Times New Roman" w:hAnsi="Times New Roman" w:cs="Times New Roman"/>
                      <w:szCs w:val="22"/>
                      <w:highlight w:val="none"/>
                    </w:rPr>
                    <w:t>万kwh</w:t>
                  </w:r>
                </w:p>
              </w:tc>
              <w:tc>
                <w:tcPr>
                  <w:tcW w:w="3223" w:type="dxa"/>
                  <w:tcMar>
                    <w:left w:w="0" w:type="dxa"/>
                    <w:right w:w="0" w:type="dxa"/>
                  </w:tcMar>
                  <w:vAlign w:val="center"/>
                </w:tcPr>
                <w:p>
                  <w:pPr>
                    <w:adjustRightInd w:val="0"/>
                    <w:snapToGrid w:val="0"/>
                    <w:jc w:val="center"/>
                    <w:rPr>
                      <w:szCs w:val="22"/>
                      <w:highlight w:val="none"/>
                    </w:rPr>
                  </w:pPr>
                  <w:r>
                    <w:rPr>
                      <w:szCs w:val="22"/>
                      <w:highlight w:val="none"/>
                    </w:rPr>
                    <w:t>由</w:t>
                  </w:r>
                  <w:r>
                    <w:rPr>
                      <w:rFonts w:hint="eastAsia"/>
                      <w:szCs w:val="22"/>
                      <w:highlight w:val="none"/>
                      <w:lang w:eastAsia="zh-CN"/>
                    </w:rPr>
                    <w:t>高塍镇</w:t>
                  </w:r>
                  <w:r>
                    <w:rPr>
                      <w:szCs w:val="22"/>
                      <w:highlight w:val="none"/>
                    </w:rPr>
                    <w:t>供电部门供给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restart"/>
                  <w:tcMar>
                    <w:left w:w="0" w:type="dxa"/>
                    <w:right w:w="0" w:type="dxa"/>
                  </w:tcMar>
                  <w:vAlign w:val="center"/>
                </w:tcPr>
                <w:p>
                  <w:pPr>
                    <w:adjustRightInd w:val="0"/>
                    <w:snapToGrid w:val="0"/>
                    <w:jc w:val="center"/>
                    <w:rPr>
                      <w:szCs w:val="22"/>
                    </w:rPr>
                  </w:pPr>
                  <w:r>
                    <w:rPr>
                      <w:szCs w:val="22"/>
                    </w:rPr>
                    <w:t>环保工程</w:t>
                  </w:r>
                </w:p>
              </w:tc>
              <w:tc>
                <w:tcPr>
                  <w:tcW w:w="700" w:type="dxa"/>
                  <w:vMerge w:val="restart"/>
                  <w:tcMar>
                    <w:left w:w="0" w:type="dxa"/>
                    <w:right w:w="0" w:type="dxa"/>
                  </w:tcMar>
                  <w:vAlign w:val="center"/>
                </w:tcPr>
                <w:p>
                  <w:pPr>
                    <w:adjustRightInd w:val="0"/>
                    <w:snapToGrid w:val="0"/>
                    <w:jc w:val="center"/>
                    <w:rPr>
                      <w:szCs w:val="22"/>
                      <w:highlight w:val="none"/>
                    </w:rPr>
                  </w:pPr>
                  <w:r>
                    <w:rPr>
                      <w:szCs w:val="22"/>
                      <w:highlight w:val="none"/>
                    </w:rPr>
                    <w:t>废气</w:t>
                  </w:r>
                </w:p>
              </w:tc>
              <w:tc>
                <w:tcPr>
                  <w:tcW w:w="1139" w:type="dxa"/>
                  <w:tcBorders>
                    <w:bottom w:val="single" w:color="auto" w:sz="4" w:space="0"/>
                  </w:tcBorders>
                  <w:tcMar>
                    <w:left w:w="0" w:type="dxa"/>
                    <w:right w:w="0" w:type="dxa"/>
                  </w:tcMar>
                  <w:vAlign w:val="center"/>
                </w:tcPr>
                <w:p>
                  <w:pPr>
                    <w:adjustRightInd w:val="0"/>
                    <w:snapToGrid w:val="0"/>
                    <w:jc w:val="center"/>
                    <w:rPr>
                      <w:rFonts w:hint="default" w:eastAsia="宋体"/>
                      <w:szCs w:val="22"/>
                      <w:highlight w:val="none"/>
                      <w:lang w:val="en-US" w:eastAsia="zh-CN"/>
                    </w:rPr>
                  </w:pPr>
                  <w:r>
                    <w:rPr>
                      <w:rFonts w:hint="eastAsia"/>
                      <w:szCs w:val="22"/>
                      <w:highlight w:val="none"/>
                      <w:lang w:val="en-US" w:eastAsia="zh-CN"/>
                    </w:rPr>
                    <w:t>激光打孔粉尘收集系统</w:t>
                  </w:r>
                </w:p>
              </w:tc>
              <w:tc>
                <w:tcPr>
                  <w:tcW w:w="2421" w:type="dxa"/>
                  <w:tcBorders>
                    <w:bottom w:val="single" w:color="auto" w:sz="4" w:space="0"/>
                  </w:tcBorders>
                  <w:tcMar>
                    <w:left w:w="0" w:type="dxa"/>
                    <w:right w:w="0" w:type="dxa"/>
                  </w:tcMar>
                  <w:vAlign w:val="center"/>
                </w:tcPr>
                <w:p>
                  <w:pPr>
                    <w:adjustRightInd w:val="0"/>
                    <w:snapToGrid w:val="0"/>
                    <w:jc w:val="center"/>
                    <w:rPr>
                      <w:rFonts w:hint="default" w:eastAsia="宋体"/>
                      <w:szCs w:val="22"/>
                      <w:highlight w:val="none"/>
                      <w:lang w:val="en-US" w:eastAsia="zh-CN"/>
                    </w:rPr>
                  </w:pPr>
                  <w:r>
                    <w:rPr>
                      <w:rFonts w:hint="eastAsia"/>
                      <w:szCs w:val="22"/>
                      <w:highlight w:val="none"/>
                      <w:lang w:val="en-US" w:eastAsia="zh-CN"/>
                    </w:rPr>
                    <w:t>1500Nm</w:t>
                  </w:r>
                  <w:r>
                    <w:rPr>
                      <w:rFonts w:hint="eastAsia"/>
                      <w:szCs w:val="22"/>
                      <w:highlight w:val="none"/>
                      <w:vertAlign w:val="superscript"/>
                      <w:lang w:val="en-US" w:eastAsia="zh-CN"/>
                    </w:rPr>
                    <w:t>3</w:t>
                  </w:r>
                  <w:r>
                    <w:rPr>
                      <w:rFonts w:hint="eastAsia"/>
                      <w:szCs w:val="22"/>
                      <w:highlight w:val="none"/>
                      <w:lang w:val="en-US" w:eastAsia="zh-CN"/>
                    </w:rPr>
                    <w:t>/h/台，捕集率95%，效率95%</w:t>
                  </w:r>
                </w:p>
              </w:tc>
              <w:tc>
                <w:tcPr>
                  <w:tcW w:w="3223" w:type="dxa"/>
                  <w:tcBorders>
                    <w:bottom w:val="single" w:color="auto" w:sz="4" w:space="0"/>
                  </w:tcBorders>
                  <w:tcMar>
                    <w:left w:w="0" w:type="dxa"/>
                    <w:right w:w="0" w:type="dxa"/>
                  </w:tcMar>
                  <w:vAlign w:val="center"/>
                </w:tcPr>
                <w:p>
                  <w:pPr>
                    <w:adjustRightInd w:val="0"/>
                    <w:snapToGrid w:val="0"/>
                    <w:jc w:val="center"/>
                    <w:rPr>
                      <w:rFonts w:hint="default" w:eastAsia="宋体"/>
                      <w:szCs w:val="22"/>
                      <w:highlight w:val="none"/>
                      <w:lang w:val="en-US" w:eastAsia="zh-CN"/>
                    </w:rPr>
                  </w:pPr>
                  <w:r>
                    <w:rPr>
                      <w:rFonts w:hint="eastAsia"/>
                      <w:szCs w:val="22"/>
                      <w:highlight w:val="none"/>
                      <w:lang w:eastAsia="zh-CN"/>
                    </w:rPr>
                    <w:t>粉尘吸风口</w:t>
                  </w:r>
                  <w:r>
                    <w:rPr>
                      <w:rFonts w:hint="eastAsia"/>
                      <w:szCs w:val="22"/>
                      <w:highlight w:val="none"/>
                      <w:lang w:val="en-US" w:eastAsia="zh-CN"/>
                    </w:rPr>
                    <w:t>6个+烟尘净化器2台处理后无组织排放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continue"/>
                  <w:tcMar>
                    <w:left w:w="0" w:type="dxa"/>
                    <w:right w:w="0" w:type="dxa"/>
                  </w:tcMar>
                  <w:vAlign w:val="center"/>
                </w:tcPr>
                <w:p>
                  <w:pPr>
                    <w:adjustRightInd w:val="0"/>
                    <w:snapToGrid w:val="0"/>
                    <w:jc w:val="center"/>
                    <w:rPr>
                      <w:szCs w:val="22"/>
                    </w:rPr>
                  </w:pPr>
                </w:p>
              </w:tc>
              <w:tc>
                <w:tcPr>
                  <w:tcW w:w="700" w:type="dxa"/>
                  <w:vMerge w:val="continue"/>
                  <w:tcBorders>
                    <w:bottom w:val="single" w:color="auto" w:sz="4" w:space="0"/>
                  </w:tcBorders>
                  <w:tcMar>
                    <w:left w:w="0" w:type="dxa"/>
                    <w:right w:w="0" w:type="dxa"/>
                  </w:tcMar>
                  <w:vAlign w:val="center"/>
                </w:tcPr>
                <w:p>
                  <w:pPr>
                    <w:adjustRightInd w:val="0"/>
                    <w:snapToGrid w:val="0"/>
                    <w:jc w:val="center"/>
                    <w:rPr>
                      <w:szCs w:val="22"/>
                      <w:highlight w:val="none"/>
                    </w:rPr>
                  </w:pPr>
                </w:p>
              </w:tc>
              <w:tc>
                <w:tcPr>
                  <w:tcW w:w="1139" w:type="dxa"/>
                  <w:tcBorders>
                    <w:bottom w:val="single" w:color="auto" w:sz="4" w:space="0"/>
                  </w:tcBorders>
                  <w:tcMar>
                    <w:left w:w="0" w:type="dxa"/>
                    <w:right w:w="0" w:type="dxa"/>
                  </w:tcMar>
                  <w:vAlign w:val="center"/>
                </w:tcPr>
                <w:p>
                  <w:pPr>
                    <w:adjustRightInd w:val="0"/>
                    <w:snapToGrid w:val="0"/>
                    <w:jc w:val="center"/>
                    <w:rPr>
                      <w:rFonts w:hint="eastAsia" w:eastAsia="宋体"/>
                      <w:szCs w:val="21"/>
                      <w:highlight w:val="none"/>
                      <w:lang w:eastAsia="zh-CN"/>
                    </w:rPr>
                  </w:pPr>
                  <w:r>
                    <w:rPr>
                      <w:rFonts w:hint="eastAsia"/>
                      <w:szCs w:val="21"/>
                      <w:highlight w:val="none"/>
                      <w:lang w:eastAsia="zh-CN"/>
                    </w:rPr>
                    <w:t>丝网印刷、烘干有机废气收集系统</w:t>
                  </w:r>
                </w:p>
              </w:tc>
              <w:tc>
                <w:tcPr>
                  <w:tcW w:w="2421" w:type="dxa"/>
                  <w:tcBorders>
                    <w:bottom w:val="single" w:color="auto" w:sz="4" w:space="0"/>
                  </w:tcBorders>
                  <w:tcMar>
                    <w:left w:w="0" w:type="dxa"/>
                    <w:right w:w="0" w:type="dxa"/>
                  </w:tcMar>
                  <w:vAlign w:val="center"/>
                </w:tcPr>
                <w:p>
                  <w:pPr>
                    <w:adjustRightInd w:val="0"/>
                    <w:snapToGrid w:val="0"/>
                    <w:jc w:val="center"/>
                    <w:rPr>
                      <w:rFonts w:hint="default" w:eastAsia="宋体"/>
                      <w:szCs w:val="22"/>
                      <w:highlight w:val="none"/>
                      <w:lang w:val="en-US" w:eastAsia="zh-CN"/>
                    </w:rPr>
                  </w:pPr>
                  <w:r>
                    <w:rPr>
                      <w:rFonts w:hint="eastAsia"/>
                      <w:szCs w:val="22"/>
                      <w:highlight w:val="none"/>
                      <w:lang w:eastAsia="zh-CN"/>
                    </w:rPr>
                    <w:t>风量</w:t>
                  </w:r>
                  <w:r>
                    <w:rPr>
                      <w:rFonts w:hint="eastAsia"/>
                      <w:szCs w:val="22"/>
                      <w:highlight w:val="none"/>
                      <w:lang w:val="en-US" w:eastAsia="zh-CN"/>
                    </w:rPr>
                    <w:t>5000Nm</w:t>
                  </w:r>
                  <w:r>
                    <w:rPr>
                      <w:rFonts w:hint="eastAsia"/>
                      <w:szCs w:val="22"/>
                      <w:highlight w:val="none"/>
                      <w:vertAlign w:val="superscript"/>
                      <w:lang w:val="en-US" w:eastAsia="zh-CN"/>
                    </w:rPr>
                    <w:t>3</w:t>
                  </w:r>
                  <w:r>
                    <w:rPr>
                      <w:rFonts w:hint="eastAsia"/>
                      <w:szCs w:val="22"/>
                      <w:highlight w:val="none"/>
                      <w:lang w:val="en-US" w:eastAsia="zh-CN"/>
                    </w:rPr>
                    <w:t>/h，捕集率90%，总效率80%</w:t>
                  </w:r>
                </w:p>
              </w:tc>
              <w:tc>
                <w:tcPr>
                  <w:tcW w:w="3223" w:type="dxa"/>
                  <w:tcBorders>
                    <w:bottom w:val="single" w:color="auto" w:sz="4" w:space="0"/>
                  </w:tcBorders>
                  <w:tcMar>
                    <w:left w:w="0" w:type="dxa"/>
                    <w:right w:w="0" w:type="dxa"/>
                  </w:tcMar>
                  <w:vAlign w:val="center"/>
                </w:tcPr>
                <w:p>
                  <w:pPr>
                    <w:adjustRightInd w:val="0"/>
                    <w:snapToGrid w:val="0"/>
                    <w:jc w:val="center"/>
                    <w:rPr>
                      <w:rFonts w:hint="default" w:ascii="Times New Roman" w:hAnsi="Times New Roman" w:eastAsia="宋体" w:cs="Times New Roman"/>
                      <w:szCs w:val="22"/>
                      <w:highlight w:val="none"/>
                      <w:lang w:val="en-US" w:eastAsia="zh-CN"/>
                    </w:rPr>
                  </w:pPr>
                  <w:r>
                    <w:rPr>
                      <w:rFonts w:hint="eastAsia" w:cs="Times New Roman"/>
                      <w:szCs w:val="22"/>
                      <w:highlight w:val="none"/>
                      <w:lang w:val="en-US" w:eastAsia="zh-CN"/>
                    </w:rPr>
                    <w:t>集气管道+活性炭二级吸附装置1套+15米排气筒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continue"/>
                  <w:tcMar>
                    <w:left w:w="0" w:type="dxa"/>
                    <w:right w:w="0" w:type="dxa"/>
                  </w:tcMar>
                  <w:vAlign w:val="center"/>
                </w:tcPr>
                <w:p>
                  <w:pPr>
                    <w:adjustRightInd w:val="0"/>
                    <w:snapToGrid w:val="0"/>
                    <w:jc w:val="center"/>
                    <w:rPr>
                      <w:szCs w:val="22"/>
                    </w:rPr>
                  </w:pPr>
                </w:p>
              </w:tc>
              <w:tc>
                <w:tcPr>
                  <w:tcW w:w="700" w:type="dxa"/>
                  <w:vMerge w:val="restart"/>
                  <w:tcMar>
                    <w:left w:w="0" w:type="dxa"/>
                    <w:right w:w="0" w:type="dxa"/>
                  </w:tcMar>
                  <w:vAlign w:val="center"/>
                </w:tcPr>
                <w:p>
                  <w:pPr>
                    <w:adjustRightInd w:val="0"/>
                    <w:snapToGrid w:val="0"/>
                    <w:jc w:val="center"/>
                    <w:rPr>
                      <w:szCs w:val="22"/>
                      <w:highlight w:val="none"/>
                    </w:rPr>
                  </w:pPr>
                  <w:r>
                    <w:rPr>
                      <w:szCs w:val="22"/>
                      <w:highlight w:val="none"/>
                    </w:rPr>
                    <w:t>废水</w:t>
                  </w:r>
                </w:p>
              </w:tc>
              <w:tc>
                <w:tcPr>
                  <w:tcW w:w="1139" w:type="dxa"/>
                  <w:tcMar>
                    <w:left w:w="0" w:type="dxa"/>
                    <w:right w:w="0" w:type="dxa"/>
                  </w:tcMar>
                  <w:vAlign w:val="center"/>
                </w:tcPr>
                <w:p>
                  <w:pPr>
                    <w:adjustRightInd w:val="0"/>
                    <w:snapToGrid w:val="0"/>
                    <w:jc w:val="center"/>
                    <w:rPr>
                      <w:rFonts w:hint="eastAsia" w:eastAsia="宋体"/>
                      <w:szCs w:val="22"/>
                      <w:highlight w:val="none"/>
                      <w:lang w:eastAsia="zh-CN"/>
                    </w:rPr>
                  </w:pPr>
                  <w:r>
                    <w:rPr>
                      <w:rFonts w:hint="eastAsia"/>
                      <w:szCs w:val="22"/>
                      <w:highlight w:val="none"/>
                      <w:lang w:eastAsia="zh-CN"/>
                    </w:rPr>
                    <w:t>生活污水收集系统</w:t>
                  </w:r>
                </w:p>
              </w:tc>
              <w:tc>
                <w:tcPr>
                  <w:tcW w:w="2421" w:type="dxa"/>
                  <w:tcMar>
                    <w:left w:w="0" w:type="dxa"/>
                    <w:right w:w="0" w:type="dxa"/>
                  </w:tcMar>
                  <w:vAlign w:val="center"/>
                </w:tcPr>
                <w:p>
                  <w:pPr>
                    <w:adjustRightInd w:val="0"/>
                    <w:snapToGrid w:val="0"/>
                    <w:jc w:val="center"/>
                    <w:rPr>
                      <w:szCs w:val="22"/>
                      <w:highlight w:val="none"/>
                    </w:rPr>
                  </w:pPr>
                  <w:r>
                    <w:rPr>
                      <w:rFonts w:hint="eastAsia"/>
                      <w:szCs w:val="22"/>
                      <w:highlight w:val="none"/>
                      <w:lang w:eastAsia="zh-CN"/>
                    </w:rPr>
                    <w:t>生活污水</w:t>
                  </w:r>
                  <w:r>
                    <w:rPr>
                      <w:rFonts w:hint="eastAsia"/>
                      <w:szCs w:val="22"/>
                      <w:highlight w:val="none"/>
                      <w:lang w:val="en-US" w:eastAsia="zh-CN"/>
                    </w:rPr>
                    <w:t>1200</w:t>
                  </w:r>
                  <w:r>
                    <w:rPr>
                      <w:szCs w:val="22"/>
                      <w:highlight w:val="none"/>
                    </w:rPr>
                    <w:t>t/a</w:t>
                  </w:r>
                </w:p>
              </w:tc>
              <w:tc>
                <w:tcPr>
                  <w:tcW w:w="3223" w:type="dxa"/>
                  <w:tcMar>
                    <w:left w:w="0" w:type="dxa"/>
                    <w:right w:w="0" w:type="dxa"/>
                  </w:tcMar>
                  <w:vAlign w:val="center"/>
                </w:tcPr>
                <w:p>
                  <w:pPr>
                    <w:adjustRightInd w:val="0"/>
                    <w:snapToGrid w:val="0"/>
                    <w:jc w:val="center"/>
                    <w:rPr>
                      <w:szCs w:val="22"/>
                      <w:highlight w:val="none"/>
                    </w:rPr>
                  </w:pPr>
                  <w:r>
                    <w:rPr>
                      <w:szCs w:val="22"/>
                      <w:highlight w:val="none"/>
                    </w:rPr>
                    <w:t>接入污水管网，排入</w:t>
                  </w:r>
                  <w:r>
                    <w:rPr>
                      <w:rFonts w:hint="eastAsia"/>
                      <w:szCs w:val="22"/>
                      <w:highlight w:val="none"/>
                      <w:lang w:eastAsia="zh-CN"/>
                    </w:rPr>
                    <w:t>城市污水处理厂</w:t>
                  </w:r>
                  <w:r>
                    <w:rPr>
                      <w:szCs w:val="22"/>
                      <w:highlight w:val="none"/>
                    </w:rPr>
                    <w:t>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continue"/>
                  <w:tcMar>
                    <w:left w:w="0" w:type="dxa"/>
                    <w:right w:w="0" w:type="dxa"/>
                  </w:tcMar>
                  <w:vAlign w:val="center"/>
                </w:tcPr>
                <w:p>
                  <w:pPr>
                    <w:adjustRightInd w:val="0"/>
                    <w:snapToGrid w:val="0"/>
                    <w:jc w:val="center"/>
                    <w:rPr>
                      <w:szCs w:val="22"/>
                    </w:rPr>
                  </w:pPr>
                </w:p>
              </w:tc>
              <w:tc>
                <w:tcPr>
                  <w:tcW w:w="700" w:type="dxa"/>
                  <w:vMerge w:val="continue"/>
                  <w:tcMar>
                    <w:left w:w="0" w:type="dxa"/>
                    <w:right w:w="0" w:type="dxa"/>
                  </w:tcMar>
                  <w:vAlign w:val="center"/>
                </w:tcPr>
                <w:p>
                  <w:pPr>
                    <w:adjustRightInd w:val="0"/>
                    <w:snapToGrid w:val="0"/>
                    <w:jc w:val="center"/>
                    <w:rPr>
                      <w:szCs w:val="22"/>
                      <w:highlight w:val="none"/>
                    </w:rPr>
                  </w:pPr>
                </w:p>
              </w:tc>
              <w:tc>
                <w:tcPr>
                  <w:tcW w:w="1139" w:type="dxa"/>
                  <w:tcMar>
                    <w:left w:w="0" w:type="dxa"/>
                    <w:right w:w="0" w:type="dxa"/>
                  </w:tcMar>
                  <w:vAlign w:val="center"/>
                </w:tcPr>
                <w:p>
                  <w:pPr>
                    <w:adjustRightInd w:val="0"/>
                    <w:snapToGrid w:val="0"/>
                    <w:jc w:val="center"/>
                    <w:rPr>
                      <w:rFonts w:hint="eastAsia" w:eastAsia="宋体"/>
                      <w:szCs w:val="22"/>
                      <w:highlight w:val="none"/>
                      <w:lang w:eastAsia="zh-CN"/>
                    </w:rPr>
                  </w:pPr>
                  <w:r>
                    <w:rPr>
                      <w:rFonts w:hint="eastAsia"/>
                      <w:szCs w:val="22"/>
                      <w:highlight w:val="none"/>
                      <w:lang w:eastAsia="zh-CN"/>
                    </w:rPr>
                    <w:t>磨边、清洗废水处理系统</w:t>
                  </w:r>
                </w:p>
              </w:tc>
              <w:tc>
                <w:tcPr>
                  <w:tcW w:w="2421" w:type="dxa"/>
                  <w:tcMar>
                    <w:left w:w="0" w:type="dxa"/>
                    <w:right w:w="0" w:type="dxa"/>
                  </w:tcMar>
                  <w:vAlign w:val="center"/>
                </w:tcPr>
                <w:p>
                  <w:pPr>
                    <w:adjustRightInd w:val="0"/>
                    <w:snapToGrid w:val="0"/>
                    <w:jc w:val="center"/>
                    <w:rPr>
                      <w:rFonts w:hint="default" w:eastAsia="宋体"/>
                      <w:szCs w:val="22"/>
                      <w:highlight w:val="none"/>
                      <w:lang w:val="en-US" w:eastAsia="zh-CN"/>
                    </w:rPr>
                  </w:pPr>
                  <w:r>
                    <w:rPr>
                      <w:rFonts w:hint="eastAsia"/>
                      <w:szCs w:val="22"/>
                      <w:highlight w:val="none"/>
                      <w:lang w:eastAsia="zh-CN"/>
                    </w:rPr>
                    <w:t>处理废水</w:t>
                  </w:r>
                  <w:r>
                    <w:rPr>
                      <w:rFonts w:hint="eastAsia"/>
                      <w:szCs w:val="22"/>
                      <w:highlight w:val="none"/>
                      <w:lang w:val="en-US" w:eastAsia="zh-CN"/>
                    </w:rPr>
                    <w:t>3600t/a</w:t>
                  </w:r>
                </w:p>
              </w:tc>
              <w:tc>
                <w:tcPr>
                  <w:tcW w:w="3223" w:type="dxa"/>
                  <w:tcMar>
                    <w:left w:w="0" w:type="dxa"/>
                    <w:right w:w="0" w:type="dxa"/>
                  </w:tcMar>
                  <w:vAlign w:val="center"/>
                </w:tcPr>
                <w:p>
                  <w:pPr>
                    <w:adjustRightInd w:val="0"/>
                    <w:snapToGrid w:val="0"/>
                    <w:jc w:val="center"/>
                    <w:rPr>
                      <w:rFonts w:hint="eastAsia" w:eastAsia="宋体"/>
                      <w:szCs w:val="22"/>
                      <w:highlight w:val="none"/>
                      <w:lang w:val="en-US" w:eastAsia="zh-CN"/>
                    </w:rPr>
                  </w:pPr>
                  <w:r>
                    <w:rPr>
                      <w:rFonts w:hint="eastAsia"/>
                      <w:szCs w:val="22"/>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continue"/>
                  <w:tcMar>
                    <w:left w:w="0" w:type="dxa"/>
                    <w:right w:w="0" w:type="dxa"/>
                  </w:tcMar>
                  <w:vAlign w:val="center"/>
                </w:tcPr>
                <w:p>
                  <w:pPr>
                    <w:adjustRightInd w:val="0"/>
                    <w:snapToGrid w:val="0"/>
                    <w:jc w:val="center"/>
                    <w:rPr>
                      <w:szCs w:val="22"/>
                    </w:rPr>
                  </w:pPr>
                </w:p>
              </w:tc>
              <w:tc>
                <w:tcPr>
                  <w:tcW w:w="700" w:type="dxa"/>
                  <w:vMerge w:val="restart"/>
                  <w:tcMar>
                    <w:left w:w="0" w:type="dxa"/>
                    <w:right w:w="0" w:type="dxa"/>
                  </w:tcMar>
                  <w:vAlign w:val="center"/>
                </w:tcPr>
                <w:p>
                  <w:pPr>
                    <w:adjustRightInd w:val="0"/>
                    <w:snapToGrid w:val="0"/>
                    <w:jc w:val="center"/>
                    <w:rPr>
                      <w:szCs w:val="22"/>
                      <w:highlight w:val="none"/>
                    </w:rPr>
                  </w:pPr>
                  <w:r>
                    <w:rPr>
                      <w:szCs w:val="22"/>
                      <w:highlight w:val="none"/>
                    </w:rPr>
                    <w:t>固废</w:t>
                  </w:r>
                </w:p>
                <w:p>
                  <w:pPr>
                    <w:adjustRightInd w:val="0"/>
                    <w:snapToGrid w:val="0"/>
                    <w:jc w:val="center"/>
                    <w:rPr>
                      <w:szCs w:val="22"/>
                      <w:highlight w:val="none"/>
                    </w:rPr>
                  </w:pPr>
                  <w:r>
                    <w:rPr>
                      <w:szCs w:val="22"/>
                      <w:highlight w:val="none"/>
                    </w:rPr>
                    <w:t>处置</w:t>
                  </w:r>
                </w:p>
              </w:tc>
              <w:tc>
                <w:tcPr>
                  <w:tcW w:w="1139" w:type="dxa"/>
                  <w:tcMar>
                    <w:left w:w="0" w:type="dxa"/>
                    <w:right w:w="0" w:type="dxa"/>
                  </w:tcMar>
                  <w:vAlign w:val="center"/>
                </w:tcPr>
                <w:p>
                  <w:pPr>
                    <w:adjustRightInd w:val="0"/>
                    <w:snapToGrid w:val="0"/>
                    <w:jc w:val="center"/>
                    <w:rPr>
                      <w:szCs w:val="22"/>
                      <w:highlight w:val="none"/>
                    </w:rPr>
                  </w:pPr>
                  <w:r>
                    <w:rPr>
                      <w:szCs w:val="22"/>
                      <w:highlight w:val="none"/>
                    </w:rPr>
                    <w:t>一般固废</w:t>
                  </w:r>
                </w:p>
              </w:tc>
              <w:tc>
                <w:tcPr>
                  <w:tcW w:w="2421" w:type="dxa"/>
                  <w:tcMar>
                    <w:left w:w="0" w:type="dxa"/>
                    <w:right w:w="0" w:type="dxa"/>
                  </w:tcMar>
                  <w:vAlign w:val="center"/>
                </w:tcPr>
                <w:p>
                  <w:pPr>
                    <w:adjustRightInd w:val="0"/>
                    <w:snapToGrid w:val="0"/>
                    <w:jc w:val="center"/>
                    <w:rPr>
                      <w:szCs w:val="22"/>
                      <w:highlight w:val="none"/>
                    </w:rPr>
                  </w:pPr>
                  <w:r>
                    <w:rPr>
                      <w:highlight w:val="none"/>
                    </w:rPr>
                    <w:t>建筑面积</w:t>
                  </w:r>
                  <w:r>
                    <w:rPr>
                      <w:rFonts w:hint="eastAsia"/>
                      <w:highlight w:val="none"/>
                      <w:lang w:val="en-US" w:eastAsia="zh-CN"/>
                    </w:rPr>
                    <w:t>30</w:t>
                  </w:r>
                  <w:r>
                    <w:rPr>
                      <w:highlight w:val="none"/>
                    </w:rPr>
                    <w:t>m</w:t>
                  </w:r>
                  <w:r>
                    <w:rPr>
                      <w:highlight w:val="none"/>
                      <w:vertAlign w:val="superscript"/>
                    </w:rPr>
                    <w:t>2</w:t>
                  </w:r>
                </w:p>
              </w:tc>
              <w:tc>
                <w:tcPr>
                  <w:tcW w:w="3223" w:type="dxa"/>
                  <w:vMerge w:val="restart"/>
                  <w:tcMar>
                    <w:left w:w="0" w:type="dxa"/>
                    <w:right w:w="0" w:type="dxa"/>
                  </w:tcMar>
                  <w:vAlign w:val="center"/>
                </w:tcPr>
                <w:p>
                  <w:pPr>
                    <w:adjustRightInd w:val="0"/>
                    <w:snapToGrid w:val="0"/>
                    <w:jc w:val="center"/>
                    <w:rPr>
                      <w:szCs w:val="22"/>
                      <w:highlight w:val="none"/>
                    </w:rPr>
                  </w:pPr>
                  <w:r>
                    <w:rPr>
                      <w:szCs w:val="22"/>
                      <w:highlight w:val="none"/>
                    </w:rPr>
                    <w:t>固体废物，零排放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continue"/>
                  <w:tcMar>
                    <w:left w:w="0" w:type="dxa"/>
                    <w:right w:w="0" w:type="dxa"/>
                  </w:tcMar>
                  <w:vAlign w:val="center"/>
                </w:tcPr>
                <w:p>
                  <w:pPr>
                    <w:adjustRightInd w:val="0"/>
                    <w:snapToGrid w:val="0"/>
                    <w:jc w:val="center"/>
                    <w:rPr>
                      <w:szCs w:val="22"/>
                    </w:rPr>
                  </w:pPr>
                </w:p>
              </w:tc>
              <w:tc>
                <w:tcPr>
                  <w:tcW w:w="700" w:type="dxa"/>
                  <w:vMerge w:val="continue"/>
                  <w:tcMar>
                    <w:left w:w="0" w:type="dxa"/>
                    <w:right w:w="0" w:type="dxa"/>
                  </w:tcMar>
                  <w:vAlign w:val="center"/>
                </w:tcPr>
                <w:p>
                  <w:pPr>
                    <w:adjustRightInd w:val="0"/>
                    <w:snapToGrid w:val="0"/>
                    <w:jc w:val="center"/>
                    <w:rPr>
                      <w:szCs w:val="22"/>
                    </w:rPr>
                  </w:pPr>
                </w:p>
              </w:tc>
              <w:tc>
                <w:tcPr>
                  <w:tcW w:w="1139" w:type="dxa"/>
                  <w:tcMar>
                    <w:left w:w="0" w:type="dxa"/>
                    <w:right w:w="0" w:type="dxa"/>
                  </w:tcMar>
                  <w:vAlign w:val="center"/>
                </w:tcPr>
                <w:p>
                  <w:pPr>
                    <w:adjustRightInd w:val="0"/>
                    <w:snapToGrid w:val="0"/>
                    <w:jc w:val="center"/>
                    <w:rPr>
                      <w:szCs w:val="22"/>
                    </w:rPr>
                  </w:pPr>
                  <w:r>
                    <w:rPr>
                      <w:szCs w:val="22"/>
                    </w:rPr>
                    <w:t>危险废物</w:t>
                  </w:r>
                </w:p>
              </w:tc>
              <w:tc>
                <w:tcPr>
                  <w:tcW w:w="2421" w:type="dxa"/>
                  <w:tcMar>
                    <w:left w:w="0" w:type="dxa"/>
                    <w:right w:w="0" w:type="dxa"/>
                  </w:tcMar>
                  <w:vAlign w:val="center"/>
                </w:tcPr>
                <w:p>
                  <w:pPr>
                    <w:adjustRightInd w:val="0"/>
                    <w:snapToGrid w:val="0"/>
                    <w:jc w:val="center"/>
                    <w:rPr>
                      <w:szCs w:val="22"/>
                      <w:highlight w:val="yellow"/>
                    </w:rPr>
                  </w:pPr>
                  <w:r>
                    <w:t>建筑面积10m</w:t>
                  </w:r>
                  <w:r>
                    <w:rPr>
                      <w:vertAlign w:val="superscript"/>
                    </w:rPr>
                    <w:t>2</w:t>
                  </w:r>
                </w:p>
              </w:tc>
              <w:tc>
                <w:tcPr>
                  <w:tcW w:w="3223" w:type="dxa"/>
                  <w:vMerge w:val="continue"/>
                  <w:tcMar>
                    <w:left w:w="0" w:type="dxa"/>
                    <w:right w:w="0" w:type="dxa"/>
                  </w:tcMar>
                  <w:vAlign w:val="center"/>
                </w:tcPr>
                <w:p>
                  <w:pPr>
                    <w:adjustRightInd w:val="0"/>
                    <w:snapToGrid w:val="0"/>
                    <w:jc w:val="center"/>
                    <w:rPr>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continue"/>
                  <w:tcMar>
                    <w:left w:w="0" w:type="dxa"/>
                    <w:right w:w="0" w:type="dxa"/>
                  </w:tcMar>
                  <w:vAlign w:val="center"/>
                </w:tcPr>
                <w:p>
                  <w:pPr>
                    <w:adjustRightInd w:val="0"/>
                    <w:snapToGrid w:val="0"/>
                    <w:jc w:val="center"/>
                  </w:pPr>
                </w:p>
              </w:tc>
              <w:tc>
                <w:tcPr>
                  <w:tcW w:w="700" w:type="dxa"/>
                  <w:vMerge w:val="continue"/>
                  <w:tcMar>
                    <w:left w:w="0" w:type="dxa"/>
                    <w:right w:w="0" w:type="dxa"/>
                  </w:tcMar>
                  <w:vAlign w:val="center"/>
                </w:tcPr>
                <w:p>
                  <w:pPr>
                    <w:adjustRightInd w:val="0"/>
                    <w:snapToGrid w:val="0"/>
                    <w:jc w:val="center"/>
                  </w:pPr>
                </w:p>
              </w:tc>
              <w:tc>
                <w:tcPr>
                  <w:tcW w:w="1139" w:type="dxa"/>
                  <w:tcMar>
                    <w:left w:w="0" w:type="dxa"/>
                    <w:right w:w="0" w:type="dxa"/>
                  </w:tcMar>
                  <w:vAlign w:val="center"/>
                </w:tcPr>
                <w:p>
                  <w:pPr>
                    <w:adjustRightInd w:val="0"/>
                    <w:snapToGrid w:val="0"/>
                    <w:jc w:val="center"/>
                  </w:pPr>
                  <w:r>
                    <w:rPr>
                      <w:szCs w:val="22"/>
                    </w:rPr>
                    <w:t>生活垃圾</w:t>
                  </w:r>
                </w:p>
              </w:tc>
              <w:tc>
                <w:tcPr>
                  <w:tcW w:w="2421" w:type="dxa"/>
                  <w:tcMar>
                    <w:left w:w="0" w:type="dxa"/>
                    <w:right w:w="0" w:type="dxa"/>
                  </w:tcMar>
                  <w:vAlign w:val="center"/>
                </w:tcPr>
                <w:p>
                  <w:pPr>
                    <w:adjustRightInd w:val="0"/>
                    <w:snapToGrid w:val="0"/>
                    <w:jc w:val="center"/>
                  </w:pPr>
                  <w:r>
                    <w:rPr>
                      <w:szCs w:val="22"/>
                    </w:rPr>
                    <w:t>/</w:t>
                  </w:r>
                </w:p>
              </w:tc>
              <w:tc>
                <w:tcPr>
                  <w:tcW w:w="3223" w:type="dxa"/>
                  <w:tcMar>
                    <w:left w:w="0" w:type="dxa"/>
                    <w:right w:w="0" w:type="dxa"/>
                  </w:tcMar>
                  <w:vAlign w:val="center"/>
                </w:tcPr>
                <w:p>
                  <w:pPr>
                    <w:adjustRightInd w:val="0"/>
                    <w:snapToGrid w:val="0"/>
                    <w:jc w:val="center"/>
                  </w:pPr>
                  <w:r>
                    <w:rPr>
                      <w:szCs w:val="21"/>
                    </w:rPr>
                    <w:t>生活垃圾设置垃圾箱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vMerge w:val="continue"/>
                  <w:tcMar>
                    <w:left w:w="0" w:type="dxa"/>
                    <w:right w:w="0" w:type="dxa"/>
                  </w:tcMar>
                  <w:vAlign w:val="center"/>
                </w:tcPr>
                <w:p>
                  <w:pPr>
                    <w:adjustRightInd w:val="0"/>
                    <w:snapToGrid w:val="0"/>
                    <w:jc w:val="center"/>
                  </w:pPr>
                </w:p>
              </w:tc>
              <w:tc>
                <w:tcPr>
                  <w:tcW w:w="1839" w:type="dxa"/>
                  <w:gridSpan w:val="2"/>
                  <w:tcMar>
                    <w:left w:w="0" w:type="dxa"/>
                    <w:right w:w="0" w:type="dxa"/>
                  </w:tcMar>
                  <w:vAlign w:val="center"/>
                </w:tcPr>
                <w:p>
                  <w:pPr>
                    <w:adjustRightInd w:val="0"/>
                    <w:snapToGrid w:val="0"/>
                    <w:jc w:val="center"/>
                    <w:rPr>
                      <w:szCs w:val="22"/>
                    </w:rPr>
                  </w:pPr>
                  <w:r>
                    <w:rPr>
                      <w:szCs w:val="22"/>
                    </w:rPr>
                    <w:t>噪声治理</w:t>
                  </w:r>
                </w:p>
              </w:tc>
              <w:tc>
                <w:tcPr>
                  <w:tcW w:w="2421" w:type="dxa"/>
                  <w:tcMar>
                    <w:left w:w="0" w:type="dxa"/>
                    <w:right w:w="0" w:type="dxa"/>
                  </w:tcMar>
                  <w:vAlign w:val="center"/>
                </w:tcPr>
                <w:p>
                  <w:pPr>
                    <w:adjustRightInd w:val="0"/>
                    <w:snapToGrid w:val="0"/>
                    <w:jc w:val="center"/>
                    <w:rPr>
                      <w:szCs w:val="22"/>
                    </w:rPr>
                  </w:pPr>
                  <w:r>
                    <w:rPr>
                      <w:szCs w:val="21"/>
                    </w:rPr>
                    <w:t>选取低噪设备、</w:t>
                  </w:r>
                  <w:r>
                    <w:rPr>
                      <w:rFonts w:hint="eastAsia"/>
                      <w:szCs w:val="21"/>
                      <w:lang w:eastAsia="zh-CN"/>
                    </w:rPr>
                    <w:t>隔声门窗、吸声材料</w:t>
                  </w:r>
                  <w:r>
                    <w:rPr>
                      <w:szCs w:val="21"/>
                    </w:rPr>
                    <w:t>。</w:t>
                  </w:r>
                </w:p>
              </w:tc>
              <w:tc>
                <w:tcPr>
                  <w:tcW w:w="3223" w:type="dxa"/>
                  <w:tcMar>
                    <w:left w:w="0" w:type="dxa"/>
                    <w:right w:w="0" w:type="dxa"/>
                  </w:tcMar>
                  <w:vAlign w:val="center"/>
                </w:tcPr>
                <w:p>
                  <w:pPr>
                    <w:adjustRightInd w:val="0"/>
                    <w:snapToGrid w:val="0"/>
                    <w:jc w:val="center"/>
                  </w:pPr>
                  <w:r>
                    <w:rPr>
                      <w:szCs w:val="22"/>
                    </w:rPr>
                    <w:t>确保厂界噪声达标</w:t>
                  </w:r>
                </w:p>
              </w:tc>
            </w:tr>
          </w:tbl>
          <w:p>
            <w:pPr>
              <w:adjustRightInd w:val="0"/>
              <w:snapToGrid w:val="0"/>
              <w:spacing w:line="360" w:lineRule="auto"/>
              <w:ind w:firstLine="472" w:firstLineChars="196"/>
              <w:rPr>
                <w:b/>
                <w:bCs/>
                <w:snapToGrid w:val="0"/>
                <w:kern w:val="0"/>
                <w:sz w:val="24"/>
                <w:highlight w:val="none"/>
              </w:rPr>
            </w:pPr>
            <w:r>
              <w:rPr>
                <w:rFonts w:hint="eastAsia"/>
                <w:b/>
                <w:bCs/>
                <w:snapToGrid w:val="0"/>
                <w:kern w:val="0"/>
                <w:sz w:val="24"/>
                <w:highlight w:val="none"/>
              </w:rPr>
              <w:t>6、项目平面布置及周边情况</w:t>
            </w:r>
          </w:p>
          <w:p>
            <w:pPr>
              <w:spacing w:line="360" w:lineRule="auto"/>
              <w:ind w:firstLine="480" w:firstLineChars="200"/>
              <w:rPr>
                <w:sz w:val="24"/>
                <w:highlight w:val="none"/>
              </w:rPr>
            </w:pPr>
            <w:r>
              <w:rPr>
                <w:sz w:val="24"/>
                <w:highlight w:val="none"/>
              </w:rPr>
              <w:t>本项目的厂房位于</w:t>
            </w:r>
            <w:r>
              <w:rPr>
                <w:rFonts w:hint="eastAsia"/>
                <w:sz w:val="24"/>
                <w:highlight w:val="none"/>
                <w:lang w:eastAsia="zh-CN"/>
              </w:rPr>
              <w:t>宜兴市高塍镇桃园工业区鑫运来路</w:t>
            </w:r>
            <w:r>
              <w:rPr>
                <w:rFonts w:hint="eastAsia"/>
                <w:sz w:val="24"/>
                <w:highlight w:val="none"/>
                <w:lang w:val="en-US" w:eastAsia="zh-CN"/>
              </w:rPr>
              <w:t>1号</w:t>
            </w:r>
            <w:r>
              <w:rPr>
                <w:rFonts w:hint="eastAsia"/>
                <w:sz w:val="24"/>
                <w:highlight w:val="none"/>
              </w:rPr>
              <w:t>，</w:t>
            </w:r>
            <w:r>
              <w:rPr>
                <w:sz w:val="24"/>
                <w:highlight w:val="none"/>
              </w:rPr>
              <w:t>项目</w:t>
            </w:r>
            <w:r>
              <w:rPr>
                <w:rFonts w:hint="eastAsia"/>
                <w:sz w:val="24"/>
                <w:highlight w:val="none"/>
              </w:rPr>
              <w:t>地理</w:t>
            </w:r>
            <w:r>
              <w:rPr>
                <w:sz w:val="24"/>
                <w:highlight w:val="none"/>
              </w:rPr>
              <w:t>位置详见附图</w:t>
            </w:r>
            <w:r>
              <w:rPr>
                <w:rFonts w:hint="eastAsia"/>
                <w:sz w:val="24"/>
                <w:highlight w:val="none"/>
              </w:rPr>
              <w:t>1</w:t>
            </w:r>
            <w:r>
              <w:rPr>
                <w:sz w:val="24"/>
                <w:highlight w:val="none"/>
              </w:rPr>
              <w:t>。项目所在地</w:t>
            </w:r>
            <w:r>
              <w:rPr>
                <w:rFonts w:hint="eastAsia"/>
                <w:sz w:val="24"/>
                <w:highlight w:val="none"/>
                <w:lang w:eastAsia="zh-CN"/>
              </w:rPr>
              <w:t>南侧为江苏圣安电缆有限公司</w:t>
            </w:r>
            <w:r>
              <w:rPr>
                <w:sz w:val="24"/>
                <w:highlight w:val="none"/>
              </w:rPr>
              <w:t>，</w:t>
            </w:r>
            <w:r>
              <w:rPr>
                <w:rFonts w:hint="eastAsia"/>
                <w:sz w:val="24"/>
                <w:highlight w:val="none"/>
                <w:lang w:eastAsia="zh-CN"/>
              </w:rPr>
              <w:t>西侧为新环美环保，北侧为工业集中区已建成企业（主要有三普药业、华光电缆等），东侧为宏远企业及空地。项目厂界外</w:t>
            </w:r>
            <w:r>
              <w:rPr>
                <w:rFonts w:hint="eastAsia"/>
                <w:sz w:val="24"/>
                <w:highlight w:val="none"/>
                <w:lang w:val="en-US" w:eastAsia="zh-CN"/>
              </w:rPr>
              <w:t>500米范围内敏感目标主要为西北侧的农场小区（离厂界106米）</w:t>
            </w:r>
            <w:r>
              <w:rPr>
                <w:sz w:val="24"/>
                <w:highlight w:val="none"/>
              </w:rPr>
              <w:t>详见附图2—项目周边（500m）概况图。</w:t>
            </w:r>
          </w:p>
          <w:p>
            <w:pPr>
              <w:spacing w:line="360" w:lineRule="auto"/>
              <w:ind w:firstLine="482" w:firstLineChars="200"/>
              <w:rPr>
                <w:rFonts w:hint="eastAsia" w:ascii="Times New Roman" w:hAnsi="Times New Roman" w:cs="Times New Roman"/>
                <w:sz w:val="24"/>
                <w:highlight w:val="none"/>
                <w:lang w:eastAsia="zh-CN"/>
              </w:rPr>
            </w:pPr>
            <w:r>
              <w:rPr>
                <w:rFonts w:hint="eastAsia" w:ascii="Times New Roman" w:hAnsi="Times New Roman" w:cs="Times New Roman"/>
                <w:b/>
                <w:bCs/>
                <w:sz w:val="24"/>
                <w:highlight w:val="none"/>
                <w:lang w:eastAsia="zh-CN"/>
              </w:rPr>
              <w:t>厂区平面布置：</w:t>
            </w:r>
            <w:r>
              <w:rPr>
                <w:rFonts w:hint="eastAsia" w:ascii="Times New Roman" w:hAnsi="Times New Roman" w:cs="Times New Roman"/>
                <w:sz w:val="24"/>
                <w:highlight w:val="none"/>
                <w:lang w:eastAsia="zh-CN"/>
              </w:rPr>
              <w:t>合理布置厂内道路，避免不必要的道路绕行。根据生产工艺的流程</w:t>
            </w:r>
            <w:r>
              <w:rPr>
                <w:rFonts w:hint="eastAsia" w:ascii="Times New Roman" w:hAnsi="Times New Roman" w:cs="Times New Roman"/>
                <w:sz w:val="24"/>
                <w:highlight w:val="none"/>
                <w:lang w:val="en-US" w:eastAsia="zh-CN"/>
              </w:rPr>
              <w:t>(</w:t>
            </w:r>
            <w:r>
              <w:rPr>
                <w:rFonts w:hint="eastAsia" w:ascii="Times New Roman" w:hAnsi="Times New Roman" w:cs="Times New Roman"/>
                <w:sz w:val="24"/>
                <w:highlight w:val="none"/>
                <w:lang w:eastAsia="zh-CN"/>
              </w:rPr>
              <w:t>背板薄玻璃→上片→磨边→激光打孔→清洗→丝网印刷→烘干→钢化→清洗→检测→堆垛</w:t>
            </w:r>
            <w:r>
              <w:rPr>
                <w:rFonts w:hint="eastAsia" w:ascii="Times New Roman" w:hAnsi="Times New Roman" w:cs="Times New Roman"/>
                <w:sz w:val="24"/>
                <w:highlight w:val="none"/>
                <w:lang w:val="en-US" w:eastAsia="zh-CN"/>
              </w:rPr>
              <w:t>)</w:t>
            </w:r>
            <w:r>
              <w:rPr>
                <w:rFonts w:hint="eastAsia" w:ascii="Times New Roman" w:hAnsi="Times New Roman" w:cs="Times New Roman"/>
                <w:sz w:val="24"/>
                <w:highlight w:val="none"/>
                <w:lang w:eastAsia="zh-CN"/>
              </w:rPr>
              <w:t>合理布置生产设备及区域，各个生产环节环环相扣，使得生产合理运行。</w:t>
            </w:r>
          </w:p>
          <w:p>
            <w:pPr>
              <w:spacing w:line="360" w:lineRule="auto"/>
              <w:ind w:firstLine="480" w:firstLineChars="200"/>
              <w:rPr>
                <w:rFonts w:hint="eastAsia" w:eastAsia="宋体"/>
                <w:color w:val="000000"/>
                <w:sz w:val="24"/>
                <w:lang w:eastAsia="zh-CN"/>
              </w:rPr>
            </w:pPr>
            <w:r>
              <w:rPr>
                <w:rFonts w:hint="eastAsia" w:ascii="Times New Roman" w:hAnsi="Times New Roman" w:cs="Times New Roman"/>
                <w:sz w:val="24"/>
                <w:highlight w:val="none"/>
              </w:rPr>
              <w:t>本</w:t>
            </w:r>
            <w:r>
              <w:rPr>
                <w:rFonts w:ascii="Times New Roman" w:hAnsi="Times New Roman" w:cs="Times New Roman"/>
                <w:sz w:val="24"/>
                <w:highlight w:val="none"/>
              </w:rPr>
              <w:t>项目</w:t>
            </w:r>
            <w:r>
              <w:rPr>
                <w:rFonts w:hint="eastAsia" w:ascii="Times New Roman" w:hAnsi="Times New Roman" w:cs="Times New Roman"/>
                <w:sz w:val="24"/>
                <w:highlight w:val="none"/>
              </w:rPr>
              <w:t>厂区的布置见附图3</w:t>
            </w:r>
            <w:r>
              <w:rPr>
                <w:rFonts w:ascii="Times New Roman" w:hAnsi="Times New Roman" w:cs="Times New Roman"/>
                <w:sz w:val="24"/>
                <w:highlight w:val="none"/>
              </w:rPr>
              <w:t>-</w:t>
            </w:r>
            <w:r>
              <w:rPr>
                <w:rFonts w:hint="eastAsia" w:ascii="Times New Roman" w:hAnsi="Times New Roman" w:cs="Times New Roman"/>
                <w:sz w:val="24"/>
                <w:highlight w:val="none"/>
              </w:rPr>
              <w:t>厂区平面布置图。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390" w:type="dxa"/>
            <w:vAlign w:val="center"/>
          </w:tcPr>
          <w:p>
            <w:pPr>
              <w:pStyle w:val="32"/>
              <w:adjustRightInd w:val="0"/>
              <w:snapToGrid w:val="0"/>
              <w:spacing w:before="0" w:beforeAutospacing="0" w:after="0" w:afterAutospacing="0"/>
              <w:jc w:val="center"/>
              <w:rPr>
                <w:rFonts w:cs="宋体"/>
                <w:b/>
                <w:szCs w:val="24"/>
              </w:rPr>
            </w:pPr>
            <w:r>
              <w:rPr>
                <w:rFonts w:hint="eastAsia" w:cs="宋体"/>
                <w:b/>
                <w:szCs w:val="24"/>
              </w:rPr>
              <w:t>工艺流程和产排污环节</w:t>
            </w:r>
          </w:p>
        </w:tc>
        <w:tc>
          <w:tcPr>
            <w:tcW w:w="8666" w:type="dxa"/>
          </w:tcPr>
          <w:p>
            <w:pPr>
              <w:spacing w:line="360" w:lineRule="auto"/>
              <w:ind w:firstLine="482" w:firstLineChars="200"/>
              <w:rPr>
                <w:b/>
                <w:sz w:val="24"/>
              </w:rPr>
            </w:pPr>
            <w:r>
              <w:rPr>
                <w:rFonts w:hint="eastAsia"/>
                <w:b/>
                <w:sz w:val="24"/>
              </w:rPr>
              <w:t>1、生产</w:t>
            </w:r>
            <w:r>
              <w:rPr>
                <w:b/>
                <w:sz w:val="24"/>
              </w:rPr>
              <w:t>工艺和产污环节</w:t>
            </w:r>
          </w:p>
          <w:p>
            <w:pPr>
              <w:adjustRightInd w:val="0"/>
              <w:spacing w:line="360" w:lineRule="auto"/>
              <w:ind w:firstLine="480"/>
              <w:jc w:val="left"/>
              <w:rPr>
                <w:sz w:val="24"/>
              </w:rPr>
            </w:pPr>
            <w:r>
              <w:rPr>
                <w:sz w:val="24"/>
                <w:szCs w:val="22"/>
              </w:rPr>
              <w:t>根据厂家提供的资料和相关工艺资料，厂家确认本项目产品采取如下生产工艺流程，</w:t>
            </w:r>
            <w:r>
              <w:rPr>
                <w:rFonts w:hint="eastAsia"/>
                <w:sz w:val="24"/>
              </w:rPr>
              <w:t>具体工艺见图2-1。</w:t>
            </w:r>
          </w:p>
          <w:p>
            <w:pPr>
              <w:spacing w:line="360" w:lineRule="auto"/>
              <w:ind w:firstLine="480" w:firstLineChars="200"/>
              <w:rPr>
                <w:sz w:val="24"/>
              </w:rPr>
            </w:pPr>
          </w:p>
          <w:p>
            <w:pPr>
              <w:spacing w:line="360" w:lineRule="auto"/>
              <w:ind w:firstLine="482" w:firstLineChars="200"/>
              <w:rPr>
                <w:b/>
                <w:sz w:val="24"/>
              </w:rPr>
            </w:pPr>
          </w:p>
          <w:p>
            <w:pPr>
              <w:pStyle w:val="2"/>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r>
              <w:rPr>
                <w:sz w:val="21"/>
              </w:rPr>
              <mc:AlternateContent>
                <mc:Choice Requires="wpg">
                  <w:drawing>
                    <wp:anchor distT="0" distB="0" distL="114300" distR="114300" simplePos="0" relativeHeight="251660288" behindDoc="0" locked="0" layoutInCell="1" allowOverlap="1">
                      <wp:simplePos x="0" y="0"/>
                      <wp:positionH relativeFrom="column">
                        <wp:posOffset>222250</wp:posOffset>
                      </wp:positionH>
                      <wp:positionV relativeFrom="paragraph">
                        <wp:posOffset>132715</wp:posOffset>
                      </wp:positionV>
                      <wp:extent cx="4623435" cy="5850890"/>
                      <wp:effectExtent l="0" t="4445" r="5715" b="12065"/>
                      <wp:wrapNone/>
                      <wp:docPr id="163" name="组合 163"/>
                      <wp:cNvGraphicFramePr/>
                      <a:graphic xmlns:a="http://schemas.openxmlformats.org/drawingml/2006/main">
                        <a:graphicData uri="http://schemas.microsoft.com/office/word/2010/wordprocessingGroup">
                          <wpg:wgp>
                            <wpg:cNvGrpSpPr/>
                            <wpg:grpSpPr>
                              <a:xfrm>
                                <a:off x="0" y="0"/>
                                <a:ext cx="4623435" cy="5850890"/>
                                <a:chOff x="3549" y="225058"/>
                                <a:chExt cx="6500" cy="9214"/>
                              </a:xfrm>
                            </wpg:grpSpPr>
                            <wps:wsp>
                              <wps:cNvPr id="71" name="直接箭头连接符 9"/>
                              <wps:cNvCnPr/>
                              <wps:spPr>
                                <a:xfrm>
                                  <a:off x="5612" y="227109"/>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72" name="文本框 72"/>
                              <wps:cNvSpPr txBox="1"/>
                              <wps:spPr>
                                <a:xfrm>
                                  <a:off x="4618" y="226899"/>
                                  <a:ext cx="855" cy="50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eastAsiaTheme="minorEastAsia"/>
                                        <w:lang w:val="en-US" w:eastAsia="zh-CN"/>
                                      </w:rPr>
                                      <w:t>自来水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 name="直接箭头连接符 9"/>
                              <wps:cNvCnPr/>
                              <wps:spPr>
                                <a:xfrm>
                                  <a:off x="7604" y="226201"/>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45" name="直接箭头连接符 9"/>
                              <wps:cNvCnPr/>
                              <wps:spPr>
                                <a:xfrm>
                                  <a:off x="7668" y="227136"/>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47" name="文本框 47"/>
                              <wps:cNvSpPr txBox="1"/>
                              <wps:spPr>
                                <a:xfrm>
                                  <a:off x="8559" y="226005"/>
                                  <a:ext cx="1490" cy="5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文本框 48"/>
                              <wps:cNvSpPr txBox="1"/>
                              <wps:spPr>
                                <a:xfrm>
                                  <a:off x="8511" y="226850"/>
                                  <a:ext cx="1490" cy="5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9" name="直接箭头连接符 9"/>
                              <wps:cNvCnPr/>
                              <wps:spPr>
                                <a:xfrm>
                                  <a:off x="7685" y="227904"/>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50" name="文本框 50"/>
                              <wps:cNvSpPr txBox="1"/>
                              <wps:spPr>
                                <a:xfrm>
                                  <a:off x="8527" y="227694"/>
                                  <a:ext cx="1490" cy="5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N、G</w:t>
                                    </w:r>
                                    <w:r>
                                      <w:rPr>
                                        <w:rFonts w:hint="eastAsia"/>
                                        <w:vertAlign w:val="subscript"/>
                                        <w:lang w:val="en-US" w:eastAsia="zh-CN"/>
                                      </w:rPr>
                                      <w:t>1</w:t>
                                    </w:r>
                                    <w:r>
                                      <w:rPr>
                                        <w:rFonts w:hint="eastAsia"/>
                                        <w:lang w:val="en-US" w:eastAsia="zh-CN"/>
                                      </w:rPr>
                                      <w:t>、S</w:t>
                                    </w:r>
                                    <w:r>
                                      <w:rPr>
                                        <w:rFonts w:hint="eastAsia"/>
                                        <w:vertAlign w:val="subscript"/>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1" name="直接箭头连接符 9"/>
                              <wps:cNvCnPr/>
                              <wps:spPr>
                                <a:xfrm>
                                  <a:off x="7701" y="229575"/>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52" name="文本框 52"/>
                              <wps:cNvSpPr txBox="1"/>
                              <wps:spPr>
                                <a:xfrm>
                                  <a:off x="8511" y="229364"/>
                                  <a:ext cx="1490" cy="5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G</w:t>
                                    </w:r>
                                    <w:r>
                                      <w:rPr>
                                        <w:rFonts w:hint="eastAsia"/>
                                        <w:vertAlign w:val="subscript"/>
                                        <w:lang w:val="en-US" w:eastAsia="zh-CN"/>
                                      </w:rPr>
                                      <w:t>2</w:t>
                                    </w:r>
                                    <w:r>
                                      <w:rPr>
                                        <w:rFonts w:hint="eastAsia"/>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3" name="直接箭头连接符 9"/>
                              <wps:cNvCnPr/>
                              <wps:spPr>
                                <a:xfrm>
                                  <a:off x="7636" y="231232"/>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74" name="直接箭头连接符 4"/>
                              <wps:cNvCnPr/>
                              <wps:spPr>
                                <a:xfrm>
                                  <a:off x="7013" y="233134"/>
                                  <a:ext cx="0" cy="356"/>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6" name="直接箭头连接符 4"/>
                              <wps:cNvCnPr/>
                              <wps:spPr>
                                <a:xfrm flipH="1">
                                  <a:off x="7018" y="231454"/>
                                  <a:ext cx="14" cy="34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8" name="直接箭头连接符 4"/>
                              <wps:cNvCnPr/>
                              <wps:spPr>
                                <a:xfrm>
                                  <a:off x="7013" y="232294"/>
                                  <a:ext cx="0" cy="356"/>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80" name="直接箭头连接符 4"/>
                              <wps:cNvCnPr/>
                              <wps:spPr>
                                <a:xfrm>
                                  <a:off x="7022" y="230614"/>
                                  <a:ext cx="0" cy="356"/>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0" name="文本框 1"/>
                              <wps:cNvSpPr txBox="1"/>
                              <wps:spPr>
                                <a:xfrm>
                                  <a:off x="6322" y="225058"/>
                                  <a:ext cx="1395" cy="47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背板薄玻璃</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直接箭头连接符 4"/>
                              <wps:cNvCnPr>
                                <a:endCxn id="32" idx="0"/>
                              </wps:cNvCnPr>
                              <wps:spPr>
                                <a:xfrm>
                                  <a:off x="7005" y="225583"/>
                                  <a:ext cx="9" cy="37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2" name="文本框 1"/>
                              <wps:cNvSpPr txBox="1"/>
                              <wps:spPr>
                                <a:xfrm>
                                  <a:off x="6398" y="225962"/>
                                  <a:ext cx="1231" cy="47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上片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直接箭头连接符 4"/>
                              <wps:cNvCnPr/>
                              <wps:spPr>
                                <a:xfrm>
                                  <a:off x="6997" y="226424"/>
                                  <a:ext cx="8" cy="3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4" name="文本框 1"/>
                              <wps:cNvSpPr txBox="1"/>
                              <wps:spPr>
                                <a:xfrm>
                                  <a:off x="6395" y="226821"/>
                                  <a:ext cx="1231" cy="47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磨边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直接箭头连接符 4"/>
                              <wps:cNvCnPr/>
                              <wps:spPr>
                                <a:xfrm flipH="1">
                                  <a:off x="7012" y="227314"/>
                                  <a:ext cx="9" cy="39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6" name="文本框 1"/>
                              <wps:cNvSpPr txBox="1"/>
                              <wps:spPr>
                                <a:xfrm>
                                  <a:off x="6438" y="227680"/>
                                  <a:ext cx="1231" cy="47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激光打孔</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直接箭头连接符 4"/>
                              <wps:cNvCnPr/>
                              <wps:spPr>
                                <a:xfrm>
                                  <a:off x="7005" y="228205"/>
                                  <a:ext cx="8" cy="33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8" name="文本框 1"/>
                              <wps:cNvSpPr txBox="1"/>
                              <wps:spPr>
                                <a:xfrm>
                                  <a:off x="6400" y="228511"/>
                                  <a:ext cx="1231" cy="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eastAsiaTheme="minorEastAsia"/>
                                        <w:lang w:val="en-US" w:eastAsia="zh-CN"/>
                                      </w:rPr>
                                      <w:t>清洗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直接箭头连接符 4"/>
                              <wps:cNvCnPr/>
                              <wps:spPr>
                                <a:xfrm>
                                  <a:off x="7005" y="229004"/>
                                  <a:ext cx="0" cy="32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40" name="文本框 1"/>
                              <wps:cNvSpPr txBox="1"/>
                              <wps:spPr>
                                <a:xfrm>
                                  <a:off x="6438" y="229355"/>
                                  <a:ext cx="1231" cy="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丝网印刷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直接箭头连接符 4"/>
                              <wps:cNvCnPr/>
                              <wps:spPr>
                                <a:xfrm>
                                  <a:off x="7005" y="229834"/>
                                  <a:ext cx="0" cy="35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3" name="文本框 1"/>
                              <wps:cNvSpPr txBox="1"/>
                              <wps:spPr>
                                <a:xfrm>
                                  <a:off x="6405" y="230134"/>
                                  <a:ext cx="1231" cy="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烘干</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5" name="文本框 1"/>
                              <wps:cNvSpPr txBox="1"/>
                              <wps:spPr>
                                <a:xfrm>
                                  <a:off x="6405" y="230974"/>
                                  <a:ext cx="1231" cy="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钢化</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7" name="文本框 1"/>
                              <wps:cNvSpPr txBox="1"/>
                              <wps:spPr>
                                <a:xfrm>
                                  <a:off x="6389" y="231795"/>
                                  <a:ext cx="1231" cy="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eastAsiaTheme="minorEastAsia"/>
                                        <w:lang w:val="en-US" w:eastAsia="zh-CN"/>
                                      </w:rPr>
                                      <w:t>清洗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文本框 1"/>
                              <wps:cNvSpPr txBox="1"/>
                              <wps:spPr>
                                <a:xfrm>
                                  <a:off x="6389" y="232684"/>
                                  <a:ext cx="1231" cy="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检测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1"/>
                              <wps:cNvSpPr txBox="1"/>
                              <wps:spPr>
                                <a:xfrm>
                                  <a:off x="6387" y="233464"/>
                                  <a:ext cx="1230" cy="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val="en-US" w:eastAsia="zh-CN"/>
                                      </w:rPr>
                                    </w:pPr>
                                    <w:r>
                                      <w:rPr>
                                        <w:rFonts w:hint="eastAsia"/>
                                        <w:lang w:val="en-US" w:eastAsia="zh-CN"/>
                                      </w:rPr>
                                      <w:t>堆垛</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1" name="直接箭头连接符 9"/>
                              <wps:cNvCnPr/>
                              <wps:spPr>
                                <a:xfrm>
                                  <a:off x="7717" y="228780"/>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42" name="文本框 142"/>
                              <wps:cNvSpPr txBox="1"/>
                              <wps:spPr>
                                <a:xfrm>
                                  <a:off x="8462" y="228589"/>
                                  <a:ext cx="1490" cy="5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W</w:t>
                                    </w:r>
                                    <w:r>
                                      <w:rPr>
                                        <w:rFonts w:hint="eastAsia"/>
                                        <w:vertAlign w:val="subscript"/>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3" name="文本框 143"/>
                              <wps:cNvSpPr txBox="1"/>
                              <wps:spPr>
                                <a:xfrm>
                                  <a:off x="8559" y="230204"/>
                                  <a:ext cx="1490" cy="5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G</w:t>
                                    </w:r>
                                    <w:r>
                                      <w:rPr>
                                        <w:rFonts w:hint="eastAsia"/>
                                        <w:vertAlign w:val="subscript"/>
                                        <w:lang w:val="en-US" w:eastAsia="zh-CN"/>
                                      </w:rPr>
                                      <w:t>3</w:t>
                                    </w:r>
                                    <w:r>
                                      <w:rPr>
                                        <w:rFonts w:hint="eastAsia"/>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4" name="直接箭头连接符 9"/>
                              <wps:cNvCnPr/>
                              <wps:spPr>
                                <a:xfrm>
                                  <a:off x="7685" y="230400"/>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45" name="文本框 145"/>
                              <wps:cNvSpPr txBox="1"/>
                              <wps:spPr>
                                <a:xfrm>
                                  <a:off x="8559" y="230909"/>
                                  <a:ext cx="1490" cy="5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G</w:t>
                                    </w:r>
                                    <w:r>
                                      <w:rPr>
                                        <w:rFonts w:hint="eastAsia"/>
                                        <w:vertAlign w:val="subscript"/>
                                        <w:lang w:val="en-US" w:eastAsia="zh-CN"/>
                                      </w:rPr>
                                      <w:t>4</w:t>
                                    </w:r>
                                    <w:r>
                                      <w:rPr>
                                        <w:rFonts w:hint="eastAsia"/>
                                        <w:lang w:val="en-US" w:eastAsia="zh-CN"/>
                                      </w:rPr>
                                      <w:t>、N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6" name="直接箭头连接符 9"/>
                              <wps:cNvCnPr/>
                              <wps:spPr>
                                <a:xfrm>
                                  <a:off x="7652" y="232035"/>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47" name="文本框 147"/>
                              <wps:cNvSpPr txBox="1"/>
                              <wps:spPr>
                                <a:xfrm>
                                  <a:off x="8511" y="231829"/>
                                  <a:ext cx="1490" cy="5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W</w:t>
                                    </w:r>
                                    <w:r>
                                      <w:rPr>
                                        <w:rFonts w:hint="eastAsia"/>
                                        <w:vertAlign w:val="subscript"/>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8" name="直接箭头连接符 9"/>
                              <wps:cNvCnPr/>
                              <wps:spPr>
                                <a:xfrm>
                                  <a:off x="7668" y="232965"/>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49" name="文本框 149"/>
                              <wps:cNvSpPr txBox="1"/>
                              <wps:spPr>
                                <a:xfrm>
                                  <a:off x="8559" y="232729"/>
                                  <a:ext cx="1490" cy="5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S</w:t>
                                    </w:r>
                                    <w:r>
                                      <w:rPr>
                                        <w:rFonts w:hint="eastAsia"/>
                                        <w:vertAlign w:val="subscript"/>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0" name="直接箭头连接符 9"/>
                              <wps:cNvCnPr/>
                              <wps:spPr>
                                <a:xfrm>
                                  <a:off x="7636" y="233655"/>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51" name="文本框 151"/>
                              <wps:cNvSpPr txBox="1"/>
                              <wps:spPr>
                                <a:xfrm>
                                  <a:off x="8494" y="233449"/>
                                  <a:ext cx="1490" cy="50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lang w:val="en-US" w:eastAsia="zh-CN"/>
                                      </w:rPr>
                                      <w:t xml:space="preserve">N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2" name="直接箭头连接符 9"/>
                              <wps:cNvCnPr/>
                              <wps:spPr>
                                <a:xfrm>
                                  <a:off x="5670" y="228724"/>
                                  <a:ext cx="719" cy="2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53" name="文本框 153"/>
                              <wps:cNvSpPr txBox="1"/>
                              <wps:spPr>
                                <a:xfrm>
                                  <a:off x="4700" y="228519"/>
                                  <a:ext cx="855" cy="50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eastAsiaTheme="minorEastAsia"/>
                                        <w:lang w:val="en-US" w:eastAsia="zh-CN"/>
                                      </w:rPr>
                                      <w:t>自来水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4" name="直接箭头连接符 9"/>
                              <wps:cNvCnPr/>
                              <wps:spPr>
                                <a:xfrm>
                                  <a:off x="5612" y="229614"/>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56" name="文本框 156"/>
                              <wps:cNvSpPr txBox="1"/>
                              <wps:spPr>
                                <a:xfrm>
                                  <a:off x="4830" y="229389"/>
                                  <a:ext cx="777" cy="50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eastAsiaTheme="minorEastAsia"/>
                                        <w:lang w:val="en-US" w:eastAsia="zh-CN"/>
                                      </w:rPr>
                                      <w:t>釉料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7" name="直接箭头连接符 9"/>
                              <wps:cNvCnPr/>
                              <wps:spPr>
                                <a:xfrm>
                                  <a:off x="5628" y="230379"/>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58" name="文本框 158"/>
                              <wps:cNvSpPr txBox="1"/>
                              <wps:spPr>
                                <a:xfrm>
                                  <a:off x="4528" y="230169"/>
                                  <a:ext cx="1069" cy="50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eastAsiaTheme="minorEastAsia"/>
                                        <w:lang w:val="en-US" w:eastAsia="zh-CN"/>
                                      </w:rPr>
                                      <w:t>电加热</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9" name="直接箭头连接符 9"/>
                              <wps:cNvCnPr/>
                              <wps:spPr>
                                <a:xfrm>
                                  <a:off x="5579" y="232044"/>
                                  <a:ext cx="777" cy="0"/>
                                </a:xfrm>
                                <a:prstGeom prst="straightConnector1">
                                  <a:avLst/>
                                </a:prstGeom>
                                <a:ln w="12700" cmpd="sng">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60" name="文本框 160"/>
                              <wps:cNvSpPr txBox="1"/>
                              <wps:spPr>
                                <a:xfrm>
                                  <a:off x="4621" y="231819"/>
                                  <a:ext cx="895" cy="50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eastAsiaTheme="minorEastAsia"/>
                                        <w:lang w:val="en-US" w:eastAsia="zh-CN"/>
                                      </w:rPr>
                                      <w:t>自来水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2" name="文本框 162"/>
                              <wps:cNvSpPr txBox="1"/>
                              <wps:spPr>
                                <a:xfrm>
                                  <a:off x="3549" y="232999"/>
                                  <a:ext cx="1460" cy="1273"/>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G：废气</w:t>
                                    </w:r>
                                  </w:p>
                                  <w:p>
                                    <w:pPr>
                                      <w:pStyle w:val="3"/>
                                      <w:numPr>
                                        <w:ilvl w:val="0"/>
                                        <w:numId w:val="0"/>
                                      </w:numPr>
                                      <w:rPr>
                                        <w:rFonts w:hint="default"/>
                                        <w:lang w:val="en-US" w:eastAsia="zh-CN"/>
                                      </w:rPr>
                                    </w:pPr>
                                    <w:r>
                                      <w:rPr>
                                        <w:rFonts w:hint="eastAsia"/>
                                        <w:lang w:val="en-US" w:eastAsia="zh-CN"/>
                                      </w:rPr>
                                      <w:t>S：固废</w:t>
                                    </w:r>
                                  </w:p>
                                  <w:p>
                                    <w:pPr>
                                      <w:pStyle w:val="3"/>
                                      <w:numPr>
                                        <w:ilvl w:val="0"/>
                                        <w:numId w:val="0"/>
                                      </w:numPr>
                                      <w:rPr>
                                        <w:rFonts w:hint="eastAsia"/>
                                        <w:lang w:val="en-US" w:eastAsia="zh-CN"/>
                                      </w:rPr>
                                    </w:pPr>
                                    <w:r>
                                      <w:rPr>
                                        <w:rFonts w:hint="eastAsia"/>
                                        <w:lang w:val="en-US" w:eastAsia="zh-CN"/>
                                      </w:rPr>
                                      <w:t>N：噪声</w:t>
                                    </w:r>
                                  </w:p>
                                  <w:p>
                                    <w:pPr>
                                      <w:pStyle w:val="3"/>
                                      <w:numPr>
                                        <w:ilvl w:val="0"/>
                                        <w:numId w:val="0"/>
                                      </w:numPr>
                                      <w:rPr>
                                        <w:rFonts w:hint="default"/>
                                        <w:lang w:val="en-US" w:eastAsia="zh-CN"/>
                                      </w:rPr>
                                    </w:pPr>
                                    <w:r>
                                      <w:rPr>
                                        <w:rFonts w:hint="eastAsia"/>
                                        <w:lang w:val="en-US" w:eastAsia="zh-CN"/>
                                      </w:rPr>
                                      <w:t>W：废水</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7.5pt;margin-top:10.45pt;height:460.7pt;width:364.05pt;z-index:251660288;mso-width-relative:page;mso-height-relative:page;" coordorigin="3549,225058" coordsize="6500,9214" o:gfxdata="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">
                      <o:lock v:ext="edit" aspectratio="f"/>
                      <v:shape id="直接箭头连接符 9" o:spid="_x0000_s1026" o:spt="32" type="#_x0000_t32" style="position:absolute;left:5612;top:227109;height:0;width:777;" filled="f" stroked="t" coordsize="21600,21600" o:gfxdata="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W464vQAA&#10;ANsAAAAPAAAAAAAAAAEAIAAAACIAAABkcnMvZG93bnJldi54bWxQSwECFAAUAAAACACHTuJAMy8F&#10;njsAAAA5AAAAEAAAAAAAAAABACAAAAAMAQAAZHJzL3NoYXBleG1sLnhtbFBLBQYAAAAABgAGAFsB&#10;AAC2AwAAAAA=&#10;">
                        <v:fill on="f" focussize="0,0"/>
                        <v:stroke weight="1pt" color="#000000 [3213]" joinstyle="round" dashstyle="1 1" endarrow="open"/>
                        <v:imagedata o:title=""/>
                        <o:lock v:ext="edit" aspectratio="f"/>
                      </v:shape>
                      <v:shape id="_x0000_s1026" o:spid="_x0000_s1026" o:spt="202" type="#_x0000_t202" style="position:absolute;left:4618;top:226899;height:509;width:855;" fillcolor="#FFFFFF [3201]" filled="t" stroked="f" coordsize="21600,21600" o:gfxdata="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xdPq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rFonts w:hint="eastAsia" w:eastAsiaTheme="minorEastAsia"/>
                                  <w:lang w:val="en-US" w:eastAsia="zh-CN"/>
                                </w:rPr>
                              </w:pPr>
                              <w:r>
                                <w:rPr>
                                  <w:rFonts w:hint="eastAsia" w:eastAsiaTheme="minorEastAsia"/>
                                  <w:lang w:val="en-US" w:eastAsia="zh-CN"/>
                                </w:rPr>
                                <w:t>自来水</w:t>
                              </w:r>
                            </w:p>
                          </w:txbxContent>
                        </v:textbox>
                      </v:shape>
                      <v:shape id="直接箭头连接符 9" o:spid="_x0000_s1026" o:spt="32" type="#_x0000_t32" style="position:absolute;left:7604;top:226201;height:0;width:777;" filled="f" stroked="t" coordsize="21600,21600" o:gfxdata="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OedvQAA&#10;ANsAAAAPAAAAAAAAAAEAIAAAACIAAABkcnMvZG93bnJldi54bWxQSwECFAAUAAAACACHTuJAMy8F&#10;njsAAAA5AAAAEAAAAAAAAAABACAAAAAMAQAAZHJzL3NoYXBleG1sLnhtbFBLBQYAAAAABgAGAFsB&#10;AAC2AwAAAAA=&#10;">
                        <v:fill on="f" focussize="0,0"/>
                        <v:stroke weight="1pt" color="#000000 [3213]" joinstyle="round" dashstyle="1 1" endarrow="open"/>
                        <v:imagedata o:title=""/>
                        <o:lock v:ext="edit" aspectratio="f"/>
                      </v:shape>
                      <v:shape id="直接箭头连接符 9" o:spid="_x0000_s1026" o:spt="32" type="#_x0000_t32" style="position:absolute;left:7668;top:227136;height:0;width:777;" filled="f" stroked="t" coordsize="21600,21600" o:gfxdata="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MQga8AAAA&#10;2wAAAA8AAAAAAAAAAQAgAAAAIgAAAGRycy9kb3ducmV2LnhtbFBLAQIUABQAAAAIAIdO4kAzLwWe&#10;OwAAADkAAAAQAAAAAAAAAAEAIAAAAAsBAABkcnMvc2hhcGV4bWwueG1sUEsFBgAAAAAGAAYAWwEA&#10;ALUDAAAAAA==&#10;">
                        <v:fill on="f" focussize="0,0"/>
                        <v:stroke weight="1pt" color="#000000 [3213]" joinstyle="round" dashstyle="1 1" endarrow="open"/>
                        <v:imagedata o:title=""/>
                        <o:lock v:ext="edit" aspectratio="f"/>
                      </v:shape>
                      <v:shape id="_x0000_s1026" o:spid="_x0000_s1026" o:spt="202" type="#_x0000_t202" style="position:absolute;left:8559;top:226005;height:508;width:1490;" fillcolor="#FFFFFF [3201]" filled="t" stroked="f" coordsize="21600,21600" o:gfxdata="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qHd+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N</w:t>
                              </w:r>
                            </w:p>
                          </w:txbxContent>
                        </v:textbox>
                      </v:shape>
                      <v:shape id="_x0000_s1026" o:spid="_x0000_s1026" o:spt="202" type="#_x0000_t202" style="position:absolute;left:8511;top:226850;height:508;width:1490;" fillcolor="#FFFFFF [3201]" filled="t" stroked="f" coordsize="21600,21600" o:gfxdata="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JZ1ia2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N</w:t>
                              </w:r>
                            </w:p>
                          </w:txbxContent>
                        </v:textbox>
                      </v:shape>
                      <v:shape id="直接箭头连接符 9" o:spid="_x0000_s1026" o:spt="32" type="#_x0000_t32" style="position:absolute;left:7685;top:227904;height:0;width:777;" filled="f" stroked="t" coordsize="21600,21600" o:gfxdata="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FIA74A&#10;AADbAAAADwAAAAAAAAABACAAAAAiAAAAZHJzL2Rvd25yZXYueG1sUEsBAhQAFAAAAAgAh07iQDMv&#10;BZ47AAAAOQAAABAAAAAAAAAAAQAgAAAADQEAAGRycy9zaGFwZXhtbC54bWxQSwUGAAAAAAYABgBb&#10;AQAAtwMAAAAA&#10;">
                        <v:fill on="f" focussize="0,0"/>
                        <v:stroke weight="1pt" color="#000000 [3213]" joinstyle="round" dashstyle="1 1" endarrow="open"/>
                        <v:imagedata o:title=""/>
                        <o:lock v:ext="edit" aspectratio="f"/>
                      </v:shape>
                      <v:shape id="_x0000_s1026" o:spid="_x0000_s1026" o:spt="202" type="#_x0000_t202" style="position:absolute;left:8527;top:227694;height:508;width:1490;" fillcolor="#FFFFFF [3201]" filled="t" stroked="f" coordsize="21600,21600" o:gfxdata="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t2hN2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N、G</w:t>
                              </w:r>
                              <w:r>
                                <w:rPr>
                                  <w:rFonts w:hint="eastAsia"/>
                                  <w:vertAlign w:val="subscript"/>
                                  <w:lang w:val="en-US" w:eastAsia="zh-CN"/>
                                </w:rPr>
                                <w:t>1</w:t>
                              </w:r>
                              <w:r>
                                <w:rPr>
                                  <w:rFonts w:hint="eastAsia"/>
                                  <w:lang w:val="en-US" w:eastAsia="zh-CN"/>
                                </w:rPr>
                                <w:t>、S</w:t>
                              </w:r>
                              <w:r>
                                <w:rPr>
                                  <w:rFonts w:hint="eastAsia"/>
                                  <w:vertAlign w:val="subscript"/>
                                  <w:lang w:val="en-US" w:eastAsia="zh-CN"/>
                                </w:rPr>
                                <w:t>1</w:t>
                              </w:r>
                            </w:p>
                          </w:txbxContent>
                        </v:textbox>
                      </v:shape>
                      <v:shape id="直接箭头连接符 9" o:spid="_x0000_s1026" o:spt="32" type="#_x0000_t32" style="position:absolute;left:7701;top:229575;height:0;width:777;" filled="f" stroked="t" coordsize="21600,21600" o:gfxdata="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7S2L4A&#10;AADbAAAADwAAAAAAAAABACAAAAAiAAAAZHJzL2Rvd25yZXYueG1sUEsBAhQAFAAAAAgAh07iQDMv&#10;BZ47AAAAOQAAABAAAAAAAAAAAQAgAAAADQEAAGRycy9zaGFwZXhtbC54bWxQSwUGAAAAAAYABgBb&#10;AQAAtwMAAAAA&#10;">
                        <v:fill on="f" focussize="0,0"/>
                        <v:stroke weight="1pt" color="#000000 [3213]" joinstyle="round" dashstyle="1 1" endarrow="open"/>
                        <v:imagedata o:title=""/>
                        <o:lock v:ext="edit" aspectratio="f"/>
                      </v:shape>
                      <v:shape id="_x0000_s1026" o:spid="_x0000_s1026" o:spt="202" type="#_x0000_t202" style="position:absolute;left:8511;top:229364;height:508;width:1490;" fillcolor="#FFFFFF [3201]" filled="t" stroked="f" coordsize="21600,21600" o:gfxdata="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EKJq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rFonts w:hint="default"/>
                                  <w:lang w:val="en-US" w:eastAsia="zh-CN"/>
                                </w:rPr>
                              </w:pPr>
                              <w:r>
                                <w:rPr>
                                  <w:rFonts w:hint="eastAsia"/>
                                  <w:lang w:val="en-US" w:eastAsia="zh-CN"/>
                                </w:rPr>
                                <w:t>G</w:t>
                              </w:r>
                              <w:r>
                                <w:rPr>
                                  <w:rFonts w:hint="eastAsia"/>
                                  <w:vertAlign w:val="subscript"/>
                                  <w:lang w:val="en-US" w:eastAsia="zh-CN"/>
                                </w:rPr>
                                <w:t>2</w:t>
                              </w:r>
                              <w:r>
                                <w:rPr>
                                  <w:rFonts w:hint="eastAsia"/>
                                  <w:lang w:val="en-US" w:eastAsia="zh-CN"/>
                                </w:rPr>
                                <w:t>、N</w:t>
                              </w:r>
                            </w:p>
                          </w:txbxContent>
                        </v:textbox>
                      </v:shape>
                      <v:shape id="直接箭头连接符 9" o:spid="_x0000_s1026" o:spt="32" type="#_x0000_t32" style="position:absolute;left:7636;top:231232;height:0;width:777;" filled="f" stroked="t" coordsize="21600,21600" o:gfxdata="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w6TS8AAAA&#10;2wAAAA8AAAAAAAAAAQAgAAAAIgAAAGRycy9kb3ducmV2LnhtbFBLAQIUABQAAAAIAIdO4kAzLwWe&#10;OwAAADkAAAAQAAAAAAAAAAEAIAAAAAsBAABkcnMvc2hhcGV4bWwueG1sUEsFBgAAAAAGAAYAWwEA&#10;ALUDAAAAAA==&#10;">
                        <v:fill on="f" focussize="0,0"/>
                        <v:stroke weight="1pt" color="#000000 [3213]" joinstyle="round" dashstyle="1 1" endarrow="open"/>
                        <v:imagedata o:title=""/>
                        <o:lock v:ext="edit" aspectratio="f"/>
                      </v:shape>
                      <v:shape id="直接箭头连接符 4" o:spid="_x0000_s1026" o:spt="32" type="#_x0000_t32" style="position:absolute;left:7013;top:233134;height:356;width:0;" filled="f" stroked="t" coordsize="21600,21600" o:gfxdata="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8K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直接箭头连接符 4" o:spid="_x0000_s1026" o:spt="32" type="#_x0000_t32" style="position:absolute;left:7018;top:231454;flip:x;height:341;width:14;" filled="f" stroked="t" coordsize="21600,21600" o:gfxdata="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MpxMb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直接箭头连接符 4" o:spid="_x0000_s1026" o:spt="32" type="#_x0000_t32" style="position:absolute;left:7013;top:232294;height:356;width:0;" filled="f" stroked="t" coordsize="21600,21600" o:gfxdata="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Qce5AAAA2wAA&#10;AA8AAAAAAAAAAQAgAAAAIgAAAGRycy9kb3ducmV2LnhtbFBLAQIUABQAAAAIAIdO4kAzLwWeOwAA&#10;ADkAAAAQAAAAAAAAAAEAIAAAAAgBAABkcnMvc2hhcGV4bWwueG1sUEsFBgAAAAAGAAYAWwEAALID&#10;AAAAAA==&#10;">
                        <v:fill on="f" focussize="0,0"/>
                        <v:stroke color="#000000 [3200]" joinstyle="round" endarrow="open"/>
                        <v:imagedata o:title=""/>
                        <o:lock v:ext="edit" aspectratio="f"/>
                      </v:shape>
                      <v:shape id="直接箭头连接符 4" o:spid="_x0000_s1026" o:spt="32" type="#_x0000_t32" style="position:absolute;left:7022;top:230614;height:356;width:0;" filled="f" stroked="t" coordsize="21600,21600" o:gfxdata="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UT3m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文本框 1" o:spid="_x0000_s1026" o:spt="202" type="#_x0000_t202" style="position:absolute;left:6322;top:225058;height:479;width:1395;" fillcolor="#FFFFFF [3201]" filled="t" stroked="t" coordsize="21600,21600" o:gfxdata="UEsDBAoAAAAAAIdO4kAAAAAAAAAAAAAAAAAEAAAAZHJzL1BLAwQUAAAACACHTuJAt0HeRrQAAADb&#10;AAAADwAAAGRycy9kb3ducmV2LnhtbEVPvQrCMBDeBd8hnOCmaS2IVGNBQRA3tYvb0ZxtsbmUJFp9&#10;ezMIjh/f/6Z4m068yPnWsoJ0noAgrqxuuVZQXg+zFQgfkDV2lknBhzwU2/Fog7m2A5/pdQm1iCHs&#10;c1TQhNDnUvqqIYN+bnviyN2tMxgidLXUDocYbjq5SJKlNNhybGiwp31D1ePyNAqOy124UalPOltk&#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3Qd5G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lang w:val="en-US" w:eastAsia="zh-CN"/>
                                </w:rPr>
                                <w:t>背板薄玻璃</w:t>
                              </w:r>
                            </w:p>
                          </w:txbxContent>
                        </v:textbox>
                      </v:shape>
                      <v:shape id="直接箭头连接符 4" o:spid="_x0000_s1026" o:spt="32" type="#_x0000_t32" style="position:absolute;left:7005;top:225583;height:379;width:9;" filled="f" stroked="t" coordsize="21600,21600" o:gfxdata="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olGavQAA&#10;ANs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文本框 1" o:spid="_x0000_s1026" o:spt="202" type="#_x0000_t202" style="position:absolute;left:6398;top:225962;height:479;width:1231;" fillcolor="#FFFFFF [3201]" filled="t" stroked="t" coordsize="21600,21600"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lang w:val="en-US" w:eastAsia="zh-CN"/>
                                </w:rPr>
                                <w:t>上片</w:t>
                              </w:r>
                            </w:p>
                          </w:txbxContent>
                        </v:textbox>
                      </v:shape>
                      <v:shape id="直接箭头连接符 4" o:spid="_x0000_s1026" o:spt="32" type="#_x0000_t32" style="position:absolute;left:6997;top:226424;height:375;width:8;" filled="f" stroked="t" coordsize="21600,21600" o:gfxdata="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8ana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文本框 1" o:spid="_x0000_s1026" o:spt="202" type="#_x0000_t202" style="position:absolute;left:6395;top:226821;height:479;width:1231;" fillcolor="#FFFFFF [3201]" filled="t" stroked="t" coordsize="21600,21600" o:gfxdata="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ethF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lang w:val="en-US" w:eastAsia="zh-CN"/>
                                </w:rPr>
                                <w:t>磨边</w:t>
                              </w:r>
                            </w:p>
                          </w:txbxContent>
                        </v:textbox>
                      </v:shape>
                      <v:shape id="直接箭头连接符 4" o:spid="_x0000_s1026" o:spt="32" type="#_x0000_t32" style="position:absolute;left:7012;top:227314;flip:x;height:399;width:9;" filled="f" stroked="t" coordsize="21600,21600" o:gfxdata="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nJWhr4A&#10;AADb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文本框 1" o:spid="_x0000_s1026" o:spt="202" type="#_x0000_t202" style="position:absolute;left:6438;top:227680;height:479;width:1231;" fillcolor="#FFFFFF [3201]" filled="t" stroked="t" coordsize="21600,21600" o:gfxdata="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fk46m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lang w:val="en-US" w:eastAsia="zh-CN"/>
                                </w:rPr>
                                <w:t>激光打孔</w:t>
                              </w:r>
                            </w:p>
                          </w:txbxContent>
                        </v:textbox>
                      </v:shape>
                      <v:shape id="直接箭头连接符 4" o:spid="_x0000_s1026" o:spt="32" type="#_x0000_t32" style="position:absolute;left:7005;top:228205;height:334;width:8;" filled="f" stroked="t" coordsize="21600,21600" o:gfxdata="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HbHW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文本框 1" o:spid="_x0000_s1026" o:spt="202" type="#_x0000_t202" style="position:absolute;left:6400;top:228511;height:480;width:1231;" fillcolor="#FFFFFF [3201]" filled="t" stroked="t" coordsize="21600,21600" o:gfxdata="UEsDBAoAAAAAAIdO4kAAAAAAAAAAAAAAAAAEAAAAZHJzL1BLAwQUAAAACACHTuJASTfSQLQAAADb&#10;AAAADwAAAGRycy9kb3ducmV2LnhtbEVPvQrCMBDeBd8hnOCmaS2IVGNBQRA3tYvb0ZxtsbmUJFp9&#10;ezMIjh/f/6Z4m068yPnWsoJ0noAgrqxuuVZQXg+zFQgfkDV2lknBhzwU2/Fog7m2A5/pdQm1iCHs&#10;c1TQhNDnUvqqIYN+bnviyN2tMxgidLXUDocYbjq5SJKlNNhybGiwp31D1ePyNAqOy124UalPOltk&#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N9JA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eastAsiaTheme="minorEastAsia"/>
                                  <w:lang w:val="en-US" w:eastAsia="zh-CN"/>
                                </w:rPr>
                                <w:t>清洗</w:t>
                              </w:r>
                            </w:p>
                          </w:txbxContent>
                        </v:textbox>
                      </v:shape>
                      <v:shape id="直接箭头连接符 4" o:spid="_x0000_s1026" o:spt="32" type="#_x0000_t32" style="position:absolute;left:7005;top:229004;height:329;width:0;" filled="f" stroked="t" coordsize="21600,21600" o:gfxdata="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UXZy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文本框 1" o:spid="_x0000_s1026" o:spt="202" type="#_x0000_t202" style="position:absolute;left:6438;top:229355;height:480;width:1231;" fillcolor="#FFFFFF [3201]" filled="t" stroked="t" coordsize="21600,21600" o:gfxdata="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vR607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lang w:val="en-US" w:eastAsia="zh-CN"/>
                                </w:rPr>
                                <w:t>丝网印刷</w:t>
                              </w:r>
                            </w:p>
                          </w:txbxContent>
                        </v:textbox>
                      </v:shape>
                      <v:shape id="直接箭头连接符 4" o:spid="_x0000_s1026" o:spt="32" type="#_x0000_t32" style="position:absolute;left:7005;top:229834;height:355;width:0;" filled="f" stroked="t" coordsize="21600,21600" o:gfxdata="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kIue8AAAA&#10;2w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shape id="文本框 1" o:spid="_x0000_s1026" o:spt="202" type="#_x0000_t202" style="position:absolute;left:6405;top:230134;height:480;width:1231;" fillcolor="#FFFFFF [3201]" filled="t" stroked="t" coordsize="21600,21600" o:gfxdata="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fnx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lang w:val="en-US" w:eastAsia="zh-CN"/>
                                </w:rPr>
                                <w:t>烘干</w:t>
                              </w:r>
                            </w:p>
                          </w:txbxContent>
                        </v:textbox>
                      </v:shape>
                      <v:shape id="文本框 1" o:spid="_x0000_s1026" o:spt="202" type="#_x0000_t202" style="position:absolute;left:6405;top:230974;height:480;width:1231;" fillcolor="#FFFFFF [3201]" filled="t" stroked="t" coordsize="21600,21600" o:gfxdata="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XMQe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lang w:val="en-US" w:eastAsia="zh-CN"/>
                                </w:rPr>
                                <w:t>钢化</w:t>
                              </w:r>
                            </w:p>
                          </w:txbxContent>
                        </v:textbox>
                      </v:shape>
                      <v:shape id="文本框 1" o:spid="_x0000_s1026" o:spt="202" type="#_x0000_t202" style="position:absolute;left:6389;top:231795;height:480;width:1231;" fillcolor="#FFFFFF [3201]" filled="t" stroked="t" coordsize="21600,21600" o:gfxdata="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wv/y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eastAsiaTheme="minorEastAsia"/>
                                  <w:lang w:val="en-US" w:eastAsia="zh-CN"/>
                                </w:rPr>
                                <w:t>清洗</w:t>
                              </w:r>
                            </w:p>
                          </w:txbxContent>
                        </v:textbox>
                      </v:shape>
                      <v:shape id="文本框 1" o:spid="_x0000_s1026" o:spt="202" type="#_x0000_t202" style="position:absolute;left:6389;top:232684;height:480;width:1231;" fillcolor="#FFFFFF [3201]" filled="t" stroked="t" coordsize="21600,21600" o:gfxdata="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Ec4b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lang w:val="en-US" w:eastAsia="zh-CN"/>
                                </w:rPr>
                                <w:t>检测</w:t>
                              </w:r>
                            </w:p>
                          </w:txbxContent>
                        </v:textbox>
                      </v:shape>
                      <v:shape id="文本框 1" o:spid="_x0000_s1026" o:spt="202" type="#_x0000_t202" style="position:absolute;left:6387;top:233464;height:480;width:1230;" fillcolor="#FFFFFF [3201]" filled="t" stroked="t" coordsize="21600,21600" o:gfxdata="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7srI6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Theme="minorEastAsia"/>
                                  <w:lang w:val="en-US" w:eastAsia="zh-CN"/>
                                </w:rPr>
                              </w:pPr>
                              <w:r>
                                <w:rPr>
                                  <w:rFonts w:hint="eastAsia"/>
                                  <w:lang w:val="en-US" w:eastAsia="zh-CN"/>
                                </w:rPr>
                                <w:t>堆垛</w:t>
                              </w:r>
                            </w:p>
                          </w:txbxContent>
                        </v:textbox>
                      </v:shape>
                      <v:shape id="直接箭头连接符 9" o:spid="_x0000_s1026" o:spt="32" type="#_x0000_t32" style="position:absolute;left:7717;top:228780;height:0;width:777;" filled="f" stroked="t" coordsize="21600,21600" o:gfxdata="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ylzbsAAADc&#10;AAAADwAAAAAAAAABACAAAAAiAAAAZHJzL2Rvd25yZXYueG1sUEsBAhQAFAAAAAgAh07iQDMvBZ47&#10;AAAAOQAAABAAAAAAAAAAAQAgAAAACgEAAGRycy9zaGFwZXhtbC54bWxQSwUGAAAAAAYABgBbAQAA&#10;tAMAAAAA&#10;">
                        <v:fill on="f" focussize="0,0"/>
                        <v:stroke weight="1pt" color="#000000 [3213]" joinstyle="round" dashstyle="1 1" endarrow="open"/>
                        <v:imagedata o:title=""/>
                        <o:lock v:ext="edit" aspectratio="f"/>
                      </v:shape>
                      <v:shape id="_x0000_s1026" o:spid="_x0000_s1026" o:spt="202" type="#_x0000_t202" style="position:absolute;left:8462;top:228589;height:508;width:1490;" fillcolor="#FFFFFF [3201]" filled="t" stroked="f" coordsize="21600,21600" o:gfxdata="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m7YabUAAADc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default"/>
                                  <w:lang w:val="en-US" w:eastAsia="zh-CN"/>
                                </w:rPr>
                              </w:pPr>
                              <w:r>
                                <w:rPr>
                                  <w:rFonts w:hint="eastAsia"/>
                                  <w:lang w:val="en-US" w:eastAsia="zh-CN"/>
                                </w:rPr>
                                <w:t>W</w:t>
                              </w:r>
                              <w:r>
                                <w:rPr>
                                  <w:rFonts w:hint="eastAsia"/>
                                  <w:vertAlign w:val="subscript"/>
                                  <w:lang w:val="en-US" w:eastAsia="zh-CN"/>
                                </w:rPr>
                                <w:t>1</w:t>
                              </w:r>
                            </w:p>
                          </w:txbxContent>
                        </v:textbox>
                      </v:shape>
                      <v:shape id="_x0000_s1026" o:spid="_x0000_s1026" o:spt="202" type="#_x0000_t202" style="position:absolute;left:8559;top:230204;height:508;width:1490;" fillcolor="#FFFFFF [3201]" filled="t" stroked="f" coordsize="21600,21600" o:gfxdata="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In3ytwAAANw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hint="default"/>
                                  <w:lang w:val="en-US" w:eastAsia="zh-CN"/>
                                </w:rPr>
                              </w:pPr>
                              <w:r>
                                <w:rPr>
                                  <w:rFonts w:hint="eastAsia"/>
                                  <w:lang w:val="en-US" w:eastAsia="zh-CN"/>
                                </w:rPr>
                                <w:t>G</w:t>
                              </w:r>
                              <w:r>
                                <w:rPr>
                                  <w:rFonts w:hint="eastAsia"/>
                                  <w:vertAlign w:val="subscript"/>
                                  <w:lang w:val="en-US" w:eastAsia="zh-CN"/>
                                </w:rPr>
                                <w:t>3</w:t>
                              </w:r>
                              <w:r>
                                <w:rPr>
                                  <w:rFonts w:hint="eastAsia"/>
                                  <w:lang w:val="en-US" w:eastAsia="zh-CN"/>
                                </w:rPr>
                                <w:t>、N</w:t>
                              </w:r>
                            </w:p>
                          </w:txbxContent>
                        </v:textbox>
                      </v:shape>
                      <v:shape id="直接箭头连接符 9" o:spid="_x0000_s1026" o:spt="32" type="#_x0000_t32" style="position:absolute;left:7685;top:230400;height:0;width:777;" filled="f" stroked="t" coordsize="21600,21600" o:gfxdata="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1bBlW8AAAA&#10;3AAAAA8AAAAAAAAAAQAgAAAAIgAAAGRycy9kb3ducmV2LnhtbFBLAQIUABQAAAAIAIdO4kAzLwWe&#10;OwAAADkAAAAQAAAAAAAAAAEAIAAAAAsBAABkcnMvc2hhcGV4bWwueG1sUEsFBgAAAAAGAAYAWwEA&#10;ALUDAAAAAA==&#10;">
                        <v:fill on="f" focussize="0,0"/>
                        <v:stroke weight="1pt" color="#000000 [3213]" joinstyle="round" dashstyle="1 1" endarrow="open"/>
                        <v:imagedata o:title=""/>
                        <o:lock v:ext="edit" aspectratio="f"/>
                      </v:shape>
                      <v:shape id="_x0000_s1026" o:spid="_x0000_s1026" o:spt="202" type="#_x0000_t202" style="position:absolute;left:8559;top:230909;height:508;width:1490;" fillcolor="#FFFFFF [3201]" filled="t" stroked="f" coordsize="21600,21600" o:gfxdata="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GHQB2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default"/>
                                  <w:lang w:val="en-US" w:eastAsia="zh-CN"/>
                                </w:rPr>
                              </w:pPr>
                              <w:r>
                                <w:rPr>
                                  <w:rFonts w:hint="eastAsia"/>
                                  <w:lang w:val="en-US" w:eastAsia="zh-CN"/>
                                </w:rPr>
                                <w:t>G</w:t>
                              </w:r>
                              <w:r>
                                <w:rPr>
                                  <w:rFonts w:hint="eastAsia"/>
                                  <w:vertAlign w:val="subscript"/>
                                  <w:lang w:val="en-US" w:eastAsia="zh-CN"/>
                                </w:rPr>
                                <w:t>4</w:t>
                              </w:r>
                              <w:r>
                                <w:rPr>
                                  <w:rFonts w:hint="eastAsia"/>
                                  <w:lang w:val="en-US" w:eastAsia="zh-CN"/>
                                </w:rPr>
                                <w:t>、N</w:t>
                              </w:r>
                            </w:p>
                          </w:txbxContent>
                        </v:textbox>
                      </v:shape>
                      <v:shape id="直接箭头连接符 9" o:spid="_x0000_s1026" o:spt="32" type="#_x0000_t32" style="position:absolute;left:7652;top:232035;height:0;width:777;" filled="f" stroked="t" coordsize="21600,21600" o:gfxdata="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U9ubsAAADc&#10;AAAADwAAAAAAAAABACAAAAAiAAAAZHJzL2Rvd25yZXYueG1sUEsBAhQAFAAAAAgAh07iQDMvBZ47&#10;AAAAOQAAABAAAAAAAAAAAQAgAAAACgEAAGRycy9zaGFwZXhtbC54bWxQSwUGAAAAAAYABgBbAQAA&#10;tAMAAAAA&#10;">
                        <v:fill on="f" focussize="0,0"/>
                        <v:stroke weight="1pt" color="#000000 [3213]" joinstyle="round" dashstyle="1 1" endarrow="open"/>
                        <v:imagedata o:title=""/>
                        <o:lock v:ext="edit" aspectratio="f"/>
                      </v:shape>
                      <v:shape id="_x0000_s1026" o:spid="_x0000_s1026" o:spt="202" type="#_x0000_t202" style="position:absolute;left:8511;top:231829;height:508;width:1490;" fillcolor="#FFFFFF [3201]" filled="t" stroked="f" coordsize="21600,21600" o:gfxdata="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4Ze/G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default"/>
                                  <w:lang w:val="en-US" w:eastAsia="zh-CN"/>
                                </w:rPr>
                              </w:pPr>
                              <w:r>
                                <w:rPr>
                                  <w:rFonts w:hint="eastAsia"/>
                                  <w:lang w:val="en-US" w:eastAsia="zh-CN"/>
                                </w:rPr>
                                <w:t>W</w:t>
                              </w:r>
                              <w:r>
                                <w:rPr>
                                  <w:rFonts w:hint="eastAsia"/>
                                  <w:vertAlign w:val="subscript"/>
                                  <w:lang w:val="en-US" w:eastAsia="zh-CN"/>
                                </w:rPr>
                                <w:t>2</w:t>
                              </w:r>
                            </w:p>
                          </w:txbxContent>
                        </v:textbox>
                      </v:shape>
                      <v:shape id="直接箭头连接符 9" o:spid="_x0000_s1026" o:spt="32" type="#_x0000_t32" style="position:absolute;left:7668;top:232965;height:0;width:777;" filled="f" stroked="t" coordsize="21600,21600" o:gfxdata="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YMUL4A&#10;AADcAAAADwAAAAAAAAABACAAAAAiAAAAZHJzL2Rvd25yZXYueG1sUEsBAhQAFAAAAAgAh07iQDMv&#10;BZ47AAAAOQAAABAAAAAAAAAAAQAgAAAADQEAAGRycy9zaGFwZXhtbC54bWxQSwUGAAAAAAYABgBb&#10;AQAAtwMAAAAA&#10;">
                        <v:fill on="f" focussize="0,0"/>
                        <v:stroke weight="1pt" color="#000000 [3213]" joinstyle="round" dashstyle="1 1" endarrow="open"/>
                        <v:imagedata o:title=""/>
                        <o:lock v:ext="edit" aspectratio="f"/>
                      </v:shape>
                      <v:shape id="_x0000_s1026" o:spid="_x0000_s1026" o:spt="202" type="#_x0000_t202" style="position:absolute;left:8559;top:232729;height:508;width:1490;" fillcolor="#FFFFFF [3201]" filled="t" stroked="f" coordsize="21600,21600" o:gfxdata="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KShi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default"/>
                                  <w:lang w:val="en-US" w:eastAsia="zh-CN"/>
                                </w:rPr>
                              </w:pPr>
                              <w:r>
                                <w:rPr>
                                  <w:rFonts w:hint="eastAsia"/>
                                  <w:lang w:val="en-US" w:eastAsia="zh-CN"/>
                                </w:rPr>
                                <w:t>S</w:t>
                              </w:r>
                              <w:r>
                                <w:rPr>
                                  <w:rFonts w:hint="eastAsia"/>
                                  <w:vertAlign w:val="subscript"/>
                                  <w:lang w:val="en-US" w:eastAsia="zh-CN"/>
                                </w:rPr>
                                <w:t>2</w:t>
                              </w:r>
                            </w:p>
                          </w:txbxContent>
                        </v:textbox>
                      </v:shape>
                      <v:shape id="直接箭头连接符 9" o:spid="_x0000_s1026" o:spt="32" type="#_x0000_t32" style="position:absolute;left:7636;top:233655;height:0;width:777;" filled="f" stroked="t" coordsize="21600,21600" o:gfxdata="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7mWi74A&#10;AADcAAAADwAAAAAAAAABACAAAAAiAAAAZHJzL2Rvd25yZXYueG1sUEsBAhQAFAAAAAgAh07iQDMv&#10;BZ47AAAAOQAAABAAAAAAAAAAAQAgAAAADQEAAGRycy9zaGFwZXhtbC54bWxQSwUGAAAAAAYABgBb&#10;AQAAtwMAAAAA&#10;">
                        <v:fill on="f" focussize="0,0"/>
                        <v:stroke weight="1pt" color="#000000 [3213]" joinstyle="round" dashstyle="1 1" endarrow="open"/>
                        <v:imagedata o:title=""/>
                        <o:lock v:ext="edit" aspectratio="f"/>
                      </v:shape>
                      <v:shape id="_x0000_s1026" o:spid="_x0000_s1026" o:spt="202" type="#_x0000_t202" style="position:absolute;left:8494;top:233449;height:508;width:1490;" fillcolor="#FFFFFF [3201]" filled="t" stroked="f" coordsize="21600,21600" o:gfxdata="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tl0MO2AAAA3A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hint="default"/>
                                  <w:lang w:val="en-US" w:eastAsia="zh-CN"/>
                                </w:rPr>
                              </w:pPr>
                              <w:r>
                                <w:rPr>
                                  <w:rFonts w:hint="eastAsia"/>
                                  <w:lang w:val="en-US" w:eastAsia="zh-CN"/>
                                </w:rPr>
                                <w:t xml:space="preserve">N </w:t>
                              </w:r>
                            </w:p>
                          </w:txbxContent>
                        </v:textbox>
                      </v:shape>
                      <v:shape id="直接箭头连接符 9" o:spid="_x0000_s1026" o:spt="32" type="#_x0000_t32" style="position:absolute;left:5670;top:228724;height:20;width:719;" filled="f" stroked="t" coordsize="21600,21600" o:gfxdata="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etZ7sAAADc&#10;AAAADwAAAAAAAAABACAAAAAiAAAAZHJzL2Rvd25yZXYueG1sUEsBAhQAFAAAAAgAh07iQDMvBZ47&#10;AAAAOQAAABAAAAAAAAAAAQAgAAAACgEAAGRycy9zaGFwZXhtbC54bWxQSwUGAAAAAAYABgBbAQAA&#10;tAMAAAAA&#10;">
                        <v:fill on="f" focussize="0,0"/>
                        <v:stroke weight="1pt" color="#000000 [3213]" joinstyle="round" dashstyle="1 1" endarrow="open"/>
                        <v:imagedata o:title=""/>
                        <o:lock v:ext="edit" aspectratio="f"/>
                      </v:shape>
                      <v:shape id="_x0000_s1026" o:spid="_x0000_s1026" o:spt="202" type="#_x0000_t202" style="position:absolute;left:4700;top:228519;height:509;width:855;" fillcolor="#FFFFFF [3201]" filled="t" stroked="f" coordsize="21600,21600" o:gfxdata="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76y+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eastAsia" w:eastAsiaTheme="minorEastAsia"/>
                                  <w:lang w:val="en-US" w:eastAsia="zh-CN"/>
                                </w:rPr>
                              </w:pPr>
                              <w:r>
                                <w:rPr>
                                  <w:rFonts w:hint="eastAsia" w:eastAsiaTheme="minorEastAsia"/>
                                  <w:lang w:val="en-US" w:eastAsia="zh-CN"/>
                                </w:rPr>
                                <w:t>自来水</w:t>
                              </w:r>
                            </w:p>
                          </w:txbxContent>
                        </v:textbox>
                      </v:shape>
                      <v:shape id="直接箭头连接符 9" o:spid="_x0000_s1026" o:spt="32" type="#_x0000_t32" style="position:absolute;left:5612;top:229614;height:0;width:777;" filled="f" stroked="t" coordsize="21600,21600" o:gfxdata="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IKQiLsAAADc&#10;AAAADwAAAAAAAAABACAAAAAiAAAAZHJzL2Rvd25yZXYueG1sUEsBAhQAFAAAAAgAh07iQDMvBZ47&#10;AAAAOQAAABAAAAAAAAAAAQAgAAAACgEAAGRycy9zaGFwZXhtbC54bWxQSwUGAAAAAAYABgBbAQAA&#10;tAMAAAAA&#10;">
                        <v:fill on="f" focussize="0,0"/>
                        <v:stroke weight="1pt" color="#000000 [3213]" joinstyle="round" dashstyle="1 1" endarrow="open"/>
                        <v:imagedata o:title=""/>
                        <o:lock v:ext="edit" aspectratio="f"/>
                      </v:shape>
                      <v:shape id="_x0000_s1026" o:spid="_x0000_s1026" o:spt="202" type="#_x0000_t202" style="position:absolute;left:4830;top:229389;height:509;width:777;" fillcolor="#FFFFFF [3201]" filled="t" stroked="f" coordsize="21600,21600" o:gfxdata="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jEi3twAAANw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hint="eastAsia" w:eastAsiaTheme="minorEastAsia"/>
                                  <w:lang w:val="en-US" w:eastAsia="zh-CN"/>
                                </w:rPr>
                              </w:pPr>
                              <w:r>
                                <w:rPr>
                                  <w:rFonts w:hint="eastAsia" w:eastAsiaTheme="minorEastAsia"/>
                                  <w:lang w:val="en-US" w:eastAsia="zh-CN"/>
                                </w:rPr>
                                <w:t>釉料</w:t>
                              </w:r>
                            </w:p>
                          </w:txbxContent>
                        </v:textbox>
                      </v:shape>
                      <v:shape id="直接箭头连接符 9" o:spid="_x0000_s1026" o:spt="32" type="#_x0000_t32" style="position:absolute;left:5628;top:230379;height:0;width:777;" filled="f" stroked="t" coordsize="21600,21600" o:gfxdata="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FAO/7sAAADc&#10;AAAADwAAAAAAAAABACAAAAAiAAAAZHJzL2Rvd25yZXYueG1sUEsBAhQAFAAAAAgAh07iQDMvBZ47&#10;AAAAOQAAABAAAAAAAAAAAQAgAAAACgEAAGRycy9zaGFwZXhtbC54bWxQSwUGAAAAAAYABgBbAQAA&#10;tAMAAAAA&#10;">
                        <v:fill on="f" focussize="0,0"/>
                        <v:stroke weight="1pt" color="#000000 [3213]" joinstyle="round" dashstyle="1 1" endarrow="open"/>
                        <v:imagedata o:title=""/>
                        <o:lock v:ext="edit" aspectratio="f"/>
                      </v:shape>
                      <v:shape id="_x0000_s1026" o:spid="_x0000_s1026" o:spt="202" type="#_x0000_t202" style="position:absolute;left:4528;top:230169;height:509;width:1069;" fillcolor="#FFFFFF [3201]" filled="t" stroked="f" coordsize="21600,21600" o:gfxdata="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l95XrsAAADc&#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rFonts w:hint="eastAsia" w:eastAsiaTheme="minorEastAsia"/>
                                  <w:lang w:val="en-US" w:eastAsia="zh-CN"/>
                                </w:rPr>
                              </w:pPr>
                              <w:r>
                                <w:rPr>
                                  <w:rFonts w:hint="eastAsia" w:eastAsiaTheme="minorEastAsia"/>
                                  <w:lang w:val="en-US" w:eastAsia="zh-CN"/>
                                </w:rPr>
                                <w:t>电加热</w:t>
                              </w:r>
                            </w:p>
                          </w:txbxContent>
                        </v:textbox>
                      </v:shape>
                      <v:shape id="直接箭头连接符 9" o:spid="_x0000_s1026" o:spt="32" type="#_x0000_t32" style="position:absolute;left:5579;top:232044;height:0;width:777;" filled="f" stroked="t" coordsize="21600,21600" o:gfxdata="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gz8WvQAA&#10;ANwAAAAPAAAAAAAAAAEAIAAAACIAAABkcnMvZG93bnJldi54bWxQSwECFAAUAAAACACHTuJAMy8F&#10;njsAAAA5AAAAEAAAAAAAAAABACAAAAAMAQAAZHJzL3NoYXBleG1sLnhtbFBLBQYAAAAABgAGAFsB&#10;AAC2AwAAAAA=&#10;">
                        <v:fill on="f" focussize="0,0"/>
                        <v:stroke weight="1pt" color="#000000 [3213]" joinstyle="round" dashstyle="1 1" endarrow="open"/>
                        <v:imagedata o:title=""/>
                        <o:lock v:ext="edit" aspectratio="f"/>
                      </v:shape>
                      <v:shape id="_x0000_s1026" o:spid="_x0000_s1026" o:spt="202" type="#_x0000_t202" style="position:absolute;left:4621;top:231819;height:509;width:895;" fillcolor="#FFFFFF [3201]" filled="t" stroked="f" coordsize="21600,21600" o:gfxdata="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W/5bsAAADc&#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rFonts w:hint="eastAsia" w:eastAsiaTheme="minorEastAsia"/>
                                  <w:lang w:val="en-US" w:eastAsia="zh-CN"/>
                                </w:rPr>
                              </w:pPr>
                              <w:r>
                                <w:rPr>
                                  <w:rFonts w:hint="eastAsia" w:eastAsiaTheme="minorEastAsia"/>
                                  <w:lang w:val="en-US" w:eastAsia="zh-CN"/>
                                </w:rPr>
                                <w:t>自来水</w:t>
                              </w:r>
                            </w:p>
                          </w:txbxContent>
                        </v:textbox>
                      </v:shape>
                      <v:shape id="_x0000_s1026" o:spid="_x0000_s1026" o:spt="202" type="#_x0000_t202" style="position:absolute;left:3549;top:232999;height:1273;width:1460;" fillcolor="#FFFFFF [3201]" filled="t" stroked="f" coordsize="21600,21600" o:gfxdata="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duECbUAAADc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eastAsia"/>
                                  <w:lang w:val="en-US" w:eastAsia="zh-CN"/>
                                </w:rPr>
                              </w:pPr>
                              <w:r>
                                <w:rPr>
                                  <w:rFonts w:hint="eastAsia"/>
                                  <w:lang w:val="en-US" w:eastAsia="zh-CN"/>
                                </w:rPr>
                                <w:t>G：废气</w:t>
                              </w:r>
                            </w:p>
                            <w:p>
                              <w:pPr>
                                <w:pStyle w:val="3"/>
                                <w:numPr>
                                  <w:ilvl w:val="0"/>
                                  <w:numId w:val="0"/>
                                </w:numPr>
                                <w:rPr>
                                  <w:rFonts w:hint="default"/>
                                  <w:lang w:val="en-US" w:eastAsia="zh-CN"/>
                                </w:rPr>
                              </w:pPr>
                              <w:r>
                                <w:rPr>
                                  <w:rFonts w:hint="eastAsia"/>
                                  <w:lang w:val="en-US" w:eastAsia="zh-CN"/>
                                </w:rPr>
                                <w:t>S：固废</w:t>
                              </w:r>
                            </w:p>
                            <w:p>
                              <w:pPr>
                                <w:pStyle w:val="3"/>
                                <w:numPr>
                                  <w:ilvl w:val="0"/>
                                  <w:numId w:val="0"/>
                                </w:numPr>
                                <w:rPr>
                                  <w:rFonts w:hint="eastAsia"/>
                                  <w:lang w:val="en-US" w:eastAsia="zh-CN"/>
                                </w:rPr>
                              </w:pPr>
                              <w:r>
                                <w:rPr>
                                  <w:rFonts w:hint="eastAsia"/>
                                  <w:lang w:val="en-US" w:eastAsia="zh-CN"/>
                                </w:rPr>
                                <w:t>N：噪声</w:t>
                              </w:r>
                            </w:p>
                            <w:p>
                              <w:pPr>
                                <w:pStyle w:val="3"/>
                                <w:numPr>
                                  <w:ilvl w:val="0"/>
                                  <w:numId w:val="0"/>
                                </w:numPr>
                                <w:rPr>
                                  <w:rFonts w:hint="default"/>
                                  <w:lang w:val="en-US" w:eastAsia="zh-CN"/>
                                </w:rPr>
                              </w:pPr>
                              <w:r>
                                <w:rPr>
                                  <w:rFonts w:hint="eastAsia"/>
                                  <w:lang w:val="en-US" w:eastAsia="zh-CN"/>
                                </w:rPr>
                                <w:t>W：废水</w:t>
                              </w:r>
                            </w:p>
                          </w:txbxContent>
                        </v:textbox>
                      </v:shape>
                    </v:group>
                  </w:pict>
                </mc:Fallback>
              </mc:AlternateContent>
            </w: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pStyle w:val="3"/>
              <w:widowControl w:val="0"/>
              <w:numPr>
                <w:ilvl w:val="0"/>
                <w:numId w:val="0"/>
              </w:numPr>
              <w:jc w:val="both"/>
              <w:rPr>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ind w:left="283" w:leftChars="135"/>
              <w:jc w:val="center"/>
              <w:rPr>
                <w:rFonts w:hint="eastAsia"/>
                <w:b/>
                <w:sz w:val="24"/>
              </w:rPr>
            </w:pPr>
          </w:p>
          <w:p>
            <w:pPr>
              <w:jc w:val="center"/>
              <w:rPr>
                <w:rFonts w:hint="eastAsia"/>
                <w:b/>
                <w:sz w:val="24"/>
                <w:lang w:eastAsia="zh-CN"/>
              </w:rPr>
            </w:pPr>
            <w:r>
              <w:rPr>
                <w:rFonts w:hint="eastAsia"/>
                <w:b/>
                <w:sz w:val="24"/>
              </w:rPr>
              <w:t xml:space="preserve">图2-1  </w:t>
            </w:r>
            <w:r>
              <w:rPr>
                <w:rFonts w:hint="eastAsia"/>
                <w:b/>
                <w:sz w:val="24"/>
                <w:lang w:eastAsia="zh-CN"/>
              </w:rPr>
              <w:t>双玻组件用背板玻璃深加工的生产工艺流程图</w:t>
            </w:r>
          </w:p>
          <w:p>
            <w:pPr>
              <w:pStyle w:val="2"/>
              <w:rPr>
                <w:rFonts w:hint="eastAsia"/>
                <w:lang w:eastAsia="zh-CN"/>
              </w:rPr>
            </w:pPr>
          </w:p>
          <w:p>
            <w:pPr>
              <w:adjustRightInd w:val="0"/>
              <w:snapToGrid w:val="0"/>
              <w:spacing w:line="360" w:lineRule="auto"/>
              <w:ind w:firstLine="465"/>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工艺流程描述：</w:t>
            </w:r>
          </w:p>
          <w:p>
            <w:pPr>
              <w:adjustRightInd w:val="0"/>
              <w:snapToGrid w:val="0"/>
              <w:spacing w:line="360" w:lineRule="auto"/>
              <w:ind w:firstLine="465"/>
              <w:rPr>
                <w:rFonts w:hint="default" w:ascii="Times New Roman" w:hAnsi="Times New Roman" w:eastAsia="宋体" w:cs="Times New Roman"/>
                <w:bCs/>
                <w:sz w:val="24"/>
                <w:szCs w:val="22"/>
                <w:lang w:eastAsia="zh-CN"/>
              </w:rPr>
            </w:pPr>
            <w:r>
              <w:rPr>
                <w:rFonts w:hint="default" w:ascii="Times New Roman" w:hAnsi="Times New Roman" w:eastAsia="宋体" w:cs="Times New Roman"/>
                <w:sz w:val="24"/>
              </w:rPr>
              <w:t>（1）</w:t>
            </w:r>
            <w:r>
              <w:rPr>
                <w:rFonts w:hint="default" w:ascii="Times New Roman" w:hAnsi="Times New Roman" w:eastAsia="宋体" w:cs="Times New Roman"/>
                <w:sz w:val="24"/>
                <w:lang w:eastAsia="zh-CN"/>
              </w:rPr>
              <w:t>上片</w:t>
            </w:r>
            <w:r>
              <w:rPr>
                <w:rFonts w:hint="default" w:ascii="Times New Roman" w:hAnsi="Times New Roman" w:eastAsia="宋体" w:cs="Times New Roman"/>
                <w:sz w:val="24"/>
              </w:rPr>
              <w:t>：</w:t>
            </w:r>
            <w:r>
              <w:rPr>
                <w:rFonts w:hint="default" w:ascii="Times New Roman" w:hAnsi="Times New Roman" w:eastAsia="宋体" w:cs="Times New Roman"/>
                <w:sz w:val="24"/>
                <w:lang w:eastAsia="zh-CN"/>
              </w:rPr>
              <w:t>将自产的片状背板薄玻璃经上下机器人系统放置于轨道上架</w:t>
            </w:r>
            <w:r>
              <w:rPr>
                <w:rFonts w:hint="default" w:ascii="Times New Roman" w:hAnsi="Times New Roman" w:eastAsia="宋体" w:cs="Times New Roman"/>
                <w:bCs/>
                <w:sz w:val="24"/>
                <w:szCs w:val="22"/>
                <w:lang w:eastAsia="zh-CN"/>
              </w:rPr>
              <w:t>。</w:t>
            </w:r>
          </w:p>
          <w:p>
            <w:pPr>
              <w:adjustRightInd w:val="0"/>
              <w:snapToGrid w:val="0"/>
              <w:spacing w:line="360" w:lineRule="auto"/>
              <w:ind w:firstLine="465"/>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（2）磨边：采用磨边机将玻璃棱角磨平。磨边时用水流冲洗，无粉尘产生，产生的含尘废水加PAC混凝沉淀处理后回用。</w:t>
            </w:r>
          </w:p>
          <w:p>
            <w:pPr>
              <w:adjustRightInd w:val="0"/>
              <w:snapToGrid w:val="0"/>
              <w:spacing w:line="360" w:lineRule="auto"/>
              <w:ind w:firstLine="465"/>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w:t>
            </w:r>
            <w:r>
              <w:rPr>
                <w:rFonts w:hint="default" w:ascii="Times New Roman" w:hAnsi="Times New Roman" w:eastAsia="宋体" w:cs="Times New Roman"/>
                <w:bCs/>
                <w:sz w:val="24"/>
                <w:szCs w:val="22"/>
                <w:lang w:val="en-US" w:eastAsia="zh-CN"/>
              </w:rPr>
              <w:t>3</w:t>
            </w:r>
            <w:r>
              <w:rPr>
                <w:rFonts w:hint="default" w:ascii="Times New Roman" w:hAnsi="Times New Roman" w:eastAsia="宋体" w:cs="Times New Roman"/>
                <w:bCs/>
                <w:sz w:val="24"/>
                <w:szCs w:val="22"/>
                <w:lang w:eastAsia="zh-CN"/>
              </w:rPr>
              <w:t>）激光打孔:用高功率密度激光束照射被加工材料，使材料很快被加热至汽化温度，蒸发形成孔洞。该过程产生粉尘由激光打孔机配套吸尘装置处理后无组织排放。</w:t>
            </w:r>
          </w:p>
          <w:p>
            <w:pPr>
              <w:adjustRightInd w:val="0"/>
              <w:snapToGrid w:val="0"/>
              <w:spacing w:line="360" w:lineRule="auto"/>
              <w:ind w:firstLine="465"/>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w:t>
            </w:r>
            <w:r>
              <w:rPr>
                <w:rFonts w:hint="default" w:ascii="Times New Roman" w:hAnsi="Times New Roman" w:eastAsia="宋体" w:cs="Times New Roman"/>
                <w:bCs/>
                <w:sz w:val="24"/>
                <w:szCs w:val="22"/>
                <w:lang w:val="en-US" w:eastAsia="zh-CN"/>
              </w:rPr>
              <w:t>4</w:t>
            </w:r>
            <w:r>
              <w:rPr>
                <w:rFonts w:hint="default" w:ascii="Times New Roman" w:hAnsi="Times New Roman" w:eastAsia="宋体" w:cs="Times New Roman"/>
                <w:bCs/>
                <w:sz w:val="24"/>
                <w:szCs w:val="22"/>
                <w:lang w:eastAsia="zh-CN"/>
              </w:rPr>
              <w:t>）清洗:采用清洗机将玻璃上的污物清除(水流冲洗)，清洗废水经混凝沉</w:t>
            </w:r>
          </w:p>
          <w:p>
            <w:pPr>
              <w:adjustRightInd w:val="0"/>
              <w:snapToGrid w:val="0"/>
              <w:spacing w:line="360" w:lineRule="auto"/>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淀处理后回用。清洗过程中不加任何清洗剂。</w:t>
            </w:r>
          </w:p>
          <w:p>
            <w:pPr>
              <w:adjustRightInd w:val="0"/>
              <w:snapToGrid w:val="0"/>
              <w:spacing w:line="360" w:lineRule="auto"/>
              <w:ind w:firstLine="465"/>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w:t>
            </w:r>
            <w:r>
              <w:rPr>
                <w:rFonts w:hint="default" w:ascii="Times New Roman" w:hAnsi="Times New Roman" w:eastAsia="宋体" w:cs="Times New Roman"/>
                <w:bCs/>
                <w:sz w:val="24"/>
                <w:szCs w:val="22"/>
                <w:lang w:val="en-US" w:eastAsia="zh-CN"/>
              </w:rPr>
              <w:t>5</w:t>
            </w:r>
            <w:r>
              <w:rPr>
                <w:rFonts w:hint="default" w:ascii="Times New Roman" w:hAnsi="Times New Roman" w:eastAsia="宋体" w:cs="Times New Roman"/>
                <w:bCs/>
                <w:sz w:val="24"/>
                <w:szCs w:val="22"/>
                <w:lang w:eastAsia="zh-CN"/>
              </w:rPr>
              <w:t>）丝网印刷:清洗后的玻璃经丝网印刷机印上图案。丝网印刷基本原理:丝网印刷板的部分网孔透过釉料，漏印在玻璃表面，丝网印刷板的其余网孔被堵死，不能透过釉料，在玻璃表面形成空白，从而在玻璃表面形成图案。该过程会产生少量有机废气。</w:t>
            </w:r>
          </w:p>
          <w:p>
            <w:pPr>
              <w:adjustRightInd w:val="0"/>
              <w:snapToGrid w:val="0"/>
              <w:spacing w:line="360" w:lineRule="auto"/>
              <w:ind w:firstLine="465"/>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w:t>
            </w:r>
            <w:r>
              <w:rPr>
                <w:rFonts w:hint="default" w:ascii="Times New Roman" w:hAnsi="Times New Roman" w:eastAsia="宋体" w:cs="Times New Roman"/>
                <w:bCs/>
                <w:sz w:val="24"/>
                <w:szCs w:val="22"/>
                <w:lang w:val="en-US" w:eastAsia="zh-CN"/>
              </w:rPr>
              <w:t>6</w:t>
            </w:r>
            <w:r>
              <w:rPr>
                <w:rFonts w:hint="default" w:ascii="Times New Roman" w:hAnsi="Times New Roman" w:eastAsia="宋体" w:cs="Times New Roman"/>
                <w:bCs/>
                <w:sz w:val="24"/>
                <w:szCs w:val="22"/>
                <w:lang w:eastAsia="zh-CN"/>
              </w:rPr>
              <w:t>）烘干:印刷后经电加热烘干机烘干，烘干机四周封闭，两头留缝，用于玻璃进出。烘干温度为180℃。该过程会产生少量有机废气。</w:t>
            </w:r>
          </w:p>
          <w:p>
            <w:pPr>
              <w:adjustRightInd w:val="0"/>
              <w:snapToGrid w:val="0"/>
              <w:spacing w:line="360" w:lineRule="auto"/>
              <w:ind w:firstLine="465"/>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w:t>
            </w:r>
            <w:r>
              <w:rPr>
                <w:rFonts w:hint="default" w:ascii="Times New Roman" w:hAnsi="Times New Roman" w:eastAsia="宋体" w:cs="Times New Roman"/>
                <w:bCs/>
                <w:sz w:val="24"/>
                <w:szCs w:val="22"/>
                <w:lang w:val="en-US" w:eastAsia="zh-CN"/>
              </w:rPr>
              <w:t>7</w:t>
            </w:r>
            <w:r>
              <w:rPr>
                <w:rFonts w:hint="default" w:ascii="Times New Roman" w:hAnsi="Times New Roman" w:eastAsia="宋体" w:cs="Times New Roman"/>
                <w:bCs/>
                <w:sz w:val="24"/>
                <w:szCs w:val="22"/>
                <w:lang w:eastAsia="zh-CN"/>
              </w:rPr>
              <w:t>）钢化:将半成品进入钢化炉，玻璃电加热接近软化点(700℃)时，采用侧</w:t>
            </w:r>
          </w:p>
          <w:p>
            <w:pPr>
              <w:adjustRightInd w:val="0"/>
              <w:snapToGrid w:val="0"/>
              <w:spacing w:line="360" w:lineRule="auto"/>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吹风使玻璃表面急速冷却，使压缩应力分布在玻璃表面，而张引应力则在中心层。因为有强大相等的压缩应力，使外压所产生的张引应力被玻璃强大的压缩应力所抵消，从而提高了玻璃强度和耐热冲击性。釉料中的有机粘结剂200℃以上开始分解成短链烃类物质(VOCs)，VOCs在钢化炉中燃烧，燃烧产物为二氧化碳和水。钢火炉中尚有2%的VOC不能完全燃烧，进入大气。</w:t>
            </w:r>
          </w:p>
          <w:p>
            <w:pPr>
              <w:adjustRightInd w:val="0"/>
              <w:snapToGrid w:val="0"/>
              <w:spacing w:line="360" w:lineRule="auto"/>
              <w:ind w:firstLine="465"/>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w:t>
            </w:r>
            <w:r>
              <w:rPr>
                <w:rFonts w:hint="default" w:ascii="Times New Roman" w:hAnsi="Times New Roman" w:eastAsia="宋体" w:cs="Times New Roman"/>
                <w:bCs/>
                <w:sz w:val="24"/>
                <w:szCs w:val="22"/>
                <w:lang w:val="en-US" w:eastAsia="zh-CN"/>
              </w:rPr>
              <w:t>8</w:t>
            </w:r>
            <w:r>
              <w:rPr>
                <w:rFonts w:hint="default" w:ascii="Times New Roman" w:hAnsi="Times New Roman" w:eastAsia="宋体" w:cs="Times New Roman"/>
                <w:bCs/>
                <w:sz w:val="24"/>
                <w:szCs w:val="22"/>
                <w:lang w:eastAsia="zh-CN"/>
              </w:rPr>
              <w:t>）清洗:采用清洗机将玻璃上的污物清除(水流冲洗)，清洗废水经混凝沉淀处理后回用。清洗过程中不加任何清洗剂。</w:t>
            </w:r>
          </w:p>
          <w:p>
            <w:pPr>
              <w:adjustRightInd w:val="0"/>
              <w:snapToGrid w:val="0"/>
              <w:spacing w:line="360" w:lineRule="auto"/>
              <w:ind w:firstLine="465"/>
              <w:rPr>
                <w:rFonts w:hint="default" w:ascii="Times New Roman" w:hAnsi="Times New Roman" w:eastAsia="宋体" w:cs="Times New Roman"/>
                <w:bCs/>
                <w:sz w:val="24"/>
                <w:szCs w:val="22"/>
                <w:lang w:eastAsia="zh-CN"/>
              </w:rPr>
            </w:pPr>
            <w:r>
              <w:rPr>
                <w:rFonts w:hint="default" w:ascii="Times New Roman" w:hAnsi="Times New Roman" w:eastAsia="宋体" w:cs="Times New Roman"/>
                <w:bCs/>
                <w:sz w:val="24"/>
                <w:szCs w:val="22"/>
                <w:lang w:eastAsia="zh-CN"/>
              </w:rPr>
              <w:t>（</w:t>
            </w:r>
            <w:r>
              <w:rPr>
                <w:rFonts w:hint="default" w:ascii="Times New Roman" w:hAnsi="Times New Roman" w:eastAsia="宋体" w:cs="Times New Roman"/>
                <w:bCs/>
                <w:sz w:val="24"/>
                <w:szCs w:val="22"/>
                <w:lang w:val="en-US" w:eastAsia="zh-CN"/>
              </w:rPr>
              <w:t>9</w:t>
            </w:r>
            <w:r>
              <w:rPr>
                <w:rFonts w:hint="default" w:ascii="Times New Roman" w:hAnsi="Times New Roman" w:eastAsia="宋体" w:cs="Times New Roman"/>
                <w:bCs/>
                <w:sz w:val="24"/>
                <w:szCs w:val="22"/>
                <w:lang w:eastAsia="zh-CN"/>
              </w:rPr>
              <w:t>）检测、堆垛:经检测，合格品经水平堆垛机堆成垛。不合格品经下片机下片。</w:t>
            </w:r>
          </w:p>
          <w:p>
            <w:pPr>
              <w:adjustRightInd w:val="0"/>
              <w:snapToGrid w:val="0"/>
              <w:spacing w:line="360" w:lineRule="auto"/>
              <w:ind w:firstLine="465"/>
              <w:rPr>
                <w:b/>
                <w:sz w:val="24"/>
              </w:rPr>
            </w:pPr>
            <w:r>
              <w:rPr>
                <w:rFonts w:hint="eastAsia"/>
                <w:b/>
                <w:sz w:val="24"/>
              </w:rPr>
              <w:t>2、主</w:t>
            </w:r>
            <w:r>
              <w:rPr>
                <w:b/>
                <w:sz w:val="24"/>
              </w:rPr>
              <w:t>要污染工序</w:t>
            </w:r>
            <w:r>
              <w:rPr>
                <w:rFonts w:hint="eastAsia"/>
                <w:b/>
                <w:sz w:val="24"/>
              </w:rPr>
              <w:t>汇总</w:t>
            </w:r>
          </w:p>
          <w:p>
            <w:pPr>
              <w:spacing w:line="360" w:lineRule="auto"/>
              <w:ind w:firstLine="480"/>
              <w:jc w:val="left"/>
              <w:rPr>
                <w:sz w:val="24"/>
              </w:rPr>
            </w:pPr>
            <w:r>
              <w:rPr>
                <w:rFonts w:hint="eastAsia"/>
                <w:sz w:val="24"/>
              </w:rPr>
              <w:t>本</w:t>
            </w:r>
            <w:r>
              <w:rPr>
                <w:sz w:val="24"/>
              </w:rPr>
              <w:t>项目运营期主要污染工序</w:t>
            </w:r>
            <w:r>
              <w:rPr>
                <w:rFonts w:hint="eastAsia"/>
                <w:sz w:val="24"/>
              </w:rPr>
              <w:t>汇总于</w:t>
            </w:r>
            <w:r>
              <w:rPr>
                <w:sz w:val="24"/>
              </w:rPr>
              <w:t>表</w:t>
            </w:r>
            <w:r>
              <w:rPr>
                <w:rFonts w:hint="eastAsia"/>
                <w:sz w:val="24"/>
              </w:rPr>
              <w:t>2-6</w:t>
            </w:r>
            <w:r>
              <w:rPr>
                <w:sz w:val="24"/>
              </w:rPr>
              <w:t>。</w:t>
            </w:r>
          </w:p>
          <w:p>
            <w:pPr>
              <w:jc w:val="center"/>
              <w:rPr>
                <w:b/>
                <w:sz w:val="24"/>
                <w:szCs w:val="20"/>
              </w:rPr>
            </w:pPr>
            <w:r>
              <w:rPr>
                <w:b/>
                <w:sz w:val="24"/>
                <w:szCs w:val="20"/>
              </w:rPr>
              <w:t>表</w:t>
            </w:r>
            <w:r>
              <w:rPr>
                <w:rFonts w:hint="eastAsia"/>
                <w:b/>
                <w:sz w:val="24"/>
                <w:szCs w:val="20"/>
              </w:rPr>
              <w:t>2</w:t>
            </w:r>
            <w:r>
              <w:rPr>
                <w:b/>
                <w:sz w:val="24"/>
                <w:szCs w:val="20"/>
              </w:rPr>
              <w:t>-</w:t>
            </w:r>
            <w:r>
              <w:rPr>
                <w:rFonts w:hint="eastAsia"/>
                <w:b/>
                <w:sz w:val="24"/>
                <w:szCs w:val="20"/>
              </w:rPr>
              <w:t>6项目</w:t>
            </w:r>
            <w:r>
              <w:rPr>
                <w:b/>
                <w:sz w:val="24"/>
                <w:szCs w:val="20"/>
              </w:rPr>
              <w:t>运营期主要污染工序一览表</w:t>
            </w:r>
          </w:p>
          <w:tbl>
            <w:tblPr>
              <w:tblStyle w:val="36"/>
              <w:tblW w:w="496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736"/>
              <w:gridCol w:w="1128"/>
              <w:gridCol w:w="1185"/>
              <w:gridCol w:w="1707"/>
              <w:gridCol w:w="1394"/>
              <w:gridCol w:w="21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33" w:hRule="atLeast"/>
              </w:trPr>
              <w:tc>
                <w:tcPr>
                  <w:tcW w:w="736" w:type="dxa"/>
                  <w:vAlign w:val="center"/>
                </w:tcPr>
                <w:p>
                  <w:pPr>
                    <w:snapToGrid w:val="0"/>
                    <w:jc w:val="center"/>
                    <w:rPr>
                      <w:b/>
                      <w:bCs/>
                      <w:szCs w:val="21"/>
                    </w:rPr>
                  </w:pPr>
                  <w:r>
                    <w:rPr>
                      <w:b/>
                      <w:kern w:val="24"/>
                      <w:szCs w:val="21"/>
                    </w:rPr>
                    <w:t>类别</w:t>
                  </w:r>
                </w:p>
              </w:tc>
              <w:tc>
                <w:tcPr>
                  <w:tcW w:w="1128" w:type="dxa"/>
                  <w:vAlign w:val="center"/>
                </w:tcPr>
                <w:p>
                  <w:pPr>
                    <w:snapToGrid w:val="0"/>
                    <w:jc w:val="center"/>
                    <w:rPr>
                      <w:b/>
                      <w:bCs/>
                      <w:szCs w:val="21"/>
                    </w:rPr>
                  </w:pPr>
                  <w:r>
                    <w:rPr>
                      <w:b/>
                      <w:kern w:val="24"/>
                      <w:szCs w:val="21"/>
                    </w:rPr>
                    <w:t>代码</w:t>
                  </w:r>
                </w:p>
              </w:tc>
              <w:tc>
                <w:tcPr>
                  <w:tcW w:w="1185" w:type="dxa"/>
                  <w:vAlign w:val="center"/>
                </w:tcPr>
                <w:p>
                  <w:pPr>
                    <w:snapToGrid w:val="0"/>
                    <w:jc w:val="center"/>
                    <w:rPr>
                      <w:b/>
                      <w:bCs/>
                      <w:szCs w:val="21"/>
                    </w:rPr>
                  </w:pPr>
                  <w:r>
                    <w:rPr>
                      <w:b/>
                      <w:kern w:val="24"/>
                      <w:szCs w:val="21"/>
                    </w:rPr>
                    <w:t>产污环节</w:t>
                  </w:r>
                </w:p>
              </w:tc>
              <w:tc>
                <w:tcPr>
                  <w:tcW w:w="1707" w:type="dxa"/>
                  <w:vAlign w:val="center"/>
                </w:tcPr>
                <w:p>
                  <w:pPr>
                    <w:snapToGrid w:val="0"/>
                    <w:jc w:val="center"/>
                    <w:rPr>
                      <w:b/>
                      <w:bCs/>
                      <w:szCs w:val="21"/>
                    </w:rPr>
                  </w:pPr>
                  <w:r>
                    <w:rPr>
                      <w:b/>
                      <w:kern w:val="24"/>
                      <w:szCs w:val="21"/>
                    </w:rPr>
                    <w:t>污染物名称</w:t>
                  </w:r>
                </w:p>
              </w:tc>
              <w:tc>
                <w:tcPr>
                  <w:tcW w:w="1394" w:type="dxa"/>
                  <w:vAlign w:val="center"/>
                </w:tcPr>
                <w:p>
                  <w:pPr>
                    <w:snapToGrid w:val="0"/>
                    <w:jc w:val="center"/>
                    <w:rPr>
                      <w:b/>
                      <w:bCs/>
                      <w:szCs w:val="21"/>
                    </w:rPr>
                  </w:pPr>
                  <w:r>
                    <w:rPr>
                      <w:b/>
                      <w:kern w:val="24"/>
                      <w:szCs w:val="21"/>
                    </w:rPr>
                    <w:t>排放特征</w:t>
                  </w:r>
                </w:p>
              </w:tc>
              <w:tc>
                <w:tcPr>
                  <w:tcW w:w="2177" w:type="dxa"/>
                  <w:vAlign w:val="center"/>
                </w:tcPr>
                <w:p>
                  <w:pPr>
                    <w:snapToGrid w:val="0"/>
                    <w:jc w:val="center"/>
                    <w:rPr>
                      <w:b/>
                      <w:bCs/>
                      <w:szCs w:val="21"/>
                    </w:rPr>
                  </w:pPr>
                  <w:r>
                    <w:rPr>
                      <w:b/>
                      <w:kern w:val="24"/>
                      <w:szCs w:val="21"/>
                    </w:rPr>
                    <w:t>处置措施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91" w:hRule="atLeast"/>
              </w:trPr>
              <w:tc>
                <w:tcPr>
                  <w:tcW w:w="736" w:type="dxa"/>
                  <w:vMerge w:val="restart"/>
                  <w:vAlign w:val="center"/>
                </w:tcPr>
                <w:p>
                  <w:pPr>
                    <w:jc w:val="center"/>
                    <w:rPr>
                      <w:szCs w:val="21"/>
                    </w:rPr>
                  </w:pPr>
                  <w:r>
                    <w:rPr>
                      <w:szCs w:val="21"/>
                    </w:rPr>
                    <w:t>废水</w:t>
                  </w:r>
                </w:p>
              </w:tc>
              <w:tc>
                <w:tcPr>
                  <w:tcW w:w="1128" w:type="dxa"/>
                  <w:vAlign w:val="center"/>
                </w:tcPr>
                <w:p>
                  <w:pPr>
                    <w:snapToGrid w:val="0"/>
                    <w:jc w:val="center"/>
                    <w:rPr>
                      <w:szCs w:val="21"/>
                    </w:rPr>
                  </w:pPr>
                  <w:r>
                    <w:rPr>
                      <w:rFonts w:hint="eastAsia"/>
                      <w:lang w:val="en-US" w:eastAsia="zh-CN"/>
                    </w:rPr>
                    <w:t>W</w:t>
                  </w:r>
                  <w:r>
                    <w:rPr>
                      <w:rFonts w:hint="eastAsia"/>
                      <w:vertAlign w:val="subscript"/>
                      <w:lang w:val="en-US" w:eastAsia="zh-CN"/>
                    </w:rPr>
                    <w:t>1</w:t>
                  </w:r>
                </w:p>
              </w:tc>
              <w:tc>
                <w:tcPr>
                  <w:tcW w:w="1185" w:type="dxa"/>
                  <w:vMerge w:val="restart"/>
                  <w:vAlign w:val="center"/>
                </w:tcPr>
                <w:p>
                  <w:pPr>
                    <w:snapToGrid w:val="0"/>
                    <w:jc w:val="center"/>
                    <w:rPr>
                      <w:rFonts w:hint="eastAsia" w:eastAsia="宋体"/>
                      <w:szCs w:val="21"/>
                      <w:lang w:val="en-US" w:eastAsia="zh-CN"/>
                    </w:rPr>
                  </w:pPr>
                  <w:r>
                    <w:rPr>
                      <w:rFonts w:hint="eastAsia"/>
                      <w:kern w:val="24"/>
                      <w:szCs w:val="21"/>
                      <w:lang w:eastAsia="zh-CN"/>
                    </w:rPr>
                    <w:t>磨边、清洗废水</w:t>
                  </w:r>
                </w:p>
              </w:tc>
              <w:tc>
                <w:tcPr>
                  <w:tcW w:w="1707" w:type="dxa"/>
                  <w:vMerge w:val="restart"/>
                  <w:vAlign w:val="center"/>
                </w:tcPr>
                <w:p>
                  <w:pPr>
                    <w:snapToGrid w:val="0"/>
                    <w:jc w:val="center"/>
                    <w:rPr>
                      <w:rFonts w:hint="eastAsia" w:eastAsia="宋体"/>
                      <w:szCs w:val="21"/>
                      <w:lang w:eastAsia="zh-CN"/>
                    </w:rPr>
                  </w:pPr>
                  <w:r>
                    <w:rPr>
                      <w:rFonts w:hint="eastAsia"/>
                      <w:kern w:val="24"/>
                      <w:szCs w:val="21"/>
                      <w:lang w:val="en-US" w:eastAsia="zh-CN"/>
                    </w:rPr>
                    <w:t>/</w:t>
                  </w:r>
                </w:p>
              </w:tc>
              <w:tc>
                <w:tcPr>
                  <w:tcW w:w="1394" w:type="dxa"/>
                  <w:vAlign w:val="center"/>
                </w:tcPr>
                <w:p>
                  <w:pPr>
                    <w:snapToGrid w:val="0"/>
                    <w:jc w:val="center"/>
                    <w:rPr>
                      <w:szCs w:val="21"/>
                    </w:rPr>
                  </w:pPr>
                  <w:r>
                    <w:rPr>
                      <w:kern w:val="24"/>
                      <w:szCs w:val="21"/>
                    </w:rPr>
                    <w:t>间歇</w:t>
                  </w:r>
                </w:p>
              </w:tc>
              <w:tc>
                <w:tcPr>
                  <w:tcW w:w="2177" w:type="dxa"/>
                  <w:vMerge w:val="restart"/>
                  <w:vAlign w:val="center"/>
                </w:tcPr>
                <w:p>
                  <w:pPr>
                    <w:snapToGrid w:val="0"/>
                    <w:jc w:val="center"/>
                    <w:rPr>
                      <w:rFonts w:hint="eastAsia"/>
                      <w:szCs w:val="21"/>
                      <w:lang w:eastAsia="zh-CN"/>
                    </w:rPr>
                  </w:pPr>
                  <w:r>
                    <w:rPr>
                      <w:rFonts w:hint="eastAsia"/>
                      <w:szCs w:val="21"/>
                      <w:lang w:eastAsia="zh-CN"/>
                    </w:rPr>
                    <w:t>废水经厂内水处理系统（混凝沉淀）处理后循环使用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91" w:hRule="atLeast"/>
              </w:trPr>
              <w:tc>
                <w:tcPr>
                  <w:tcW w:w="736" w:type="dxa"/>
                  <w:vMerge w:val="continue"/>
                  <w:vAlign w:val="center"/>
                </w:tcPr>
                <w:p>
                  <w:pPr>
                    <w:jc w:val="center"/>
                    <w:rPr>
                      <w:szCs w:val="21"/>
                    </w:rPr>
                  </w:pPr>
                </w:p>
              </w:tc>
              <w:tc>
                <w:tcPr>
                  <w:tcW w:w="1128" w:type="dxa"/>
                  <w:vAlign w:val="center"/>
                </w:tcPr>
                <w:p>
                  <w:pPr>
                    <w:snapToGrid w:val="0"/>
                    <w:jc w:val="center"/>
                    <w:rPr>
                      <w:rFonts w:hint="eastAsia"/>
                      <w:lang w:val="en-US" w:eastAsia="zh-CN"/>
                    </w:rPr>
                  </w:pPr>
                  <w:r>
                    <w:rPr>
                      <w:rFonts w:hint="eastAsia"/>
                      <w:lang w:val="en-US" w:eastAsia="zh-CN"/>
                    </w:rPr>
                    <w:t>W</w:t>
                  </w:r>
                  <w:r>
                    <w:rPr>
                      <w:rFonts w:hint="eastAsia"/>
                      <w:vertAlign w:val="subscript"/>
                      <w:lang w:val="en-US" w:eastAsia="zh-CN"/>
                    </w:rPr>
                    <w:t>2</w:t>
                  </w:r>
                </w:p>
              </w:tc>
              <w:tc>
                <w:tcPr>
                  <w:tcW w:w="1185" w:type="dxa"/>
                  <w:vMerge w:val="continue"/>
                  <w:vAlign w:val="center"/>
                </w:tcPr>
                <w:p>
                  <w:pPr>
                    <w:snapToGrid w:val="0"/>
                    <w:jc w:val="center"/>
                    <w:rPr>
                      <w:rFonts w:hint="eastAsia" w:eastAsia="宋体"/>
                      <w:kern w:val="24"/>
                      <w:szCs w:val="21"/>
                      <w:lang w:eastAsia="zh-CN"/>
                    </w:rPr>
                  </w:pPr>
                </w:p>
              </w:tc>
              <w:tc>
                <w:tcPr>
                  <w:tcW w:w="1707" w:type="dxa"/>
                  <w:vMerge w:val="continue"/>
                  <w:vAlign w:val="center"/>
                </w:tcPr>
                <w:p>
                  <w:pPr>
                    <w:snapToGrid w:val="0"/>
                    <w:jc w:val="center"/>
                    <w:rPr>
                      <w:kern w:val="24"/>
                      <w:szCs w:val="21"/>
                    </w:rPr>
                  </w:pPr>
                </w:p>
              </w:tc>
              <w:tc>
                <w:tcPr>
                  <w:tcW w:w="1394" w:type="dxa"/>
                  <w:vAlign w:val="center"/>
                </w:tcPr>
                <w:p>
                  <w:pPr>
                    <w:snapToGrid w:val="0"/>
                    <w:jc w:val="center"/>
                    <w:rPr>
                      <w:kern w:val="24"/>
                      <w:szCs w:val="21"/>
                    </w:rPr>
                  </w:pPr>
                  <w:r>
                    <w:rPr>
                      <w:kern w:val="24"/>
                      <w:szCs w:val="21"/>
                    </w:rPr>
                    <w:t>间歇</w:t>
                  </w:r>
                </w:p>
              </w:tc>
              <w:tc>
                <w:tcPr>
                  <w:tcW w:w="2177" w:type="dxa"/>
                  <w:vMerge w:val="continue"/>
                  <w:vAlign w:val="center"/>
                </w:tcPr>
                <w:p>
                  <w:pPr>
                    <w:snapToGrid w:val="0"/>
                    <w:jc w:val="center"/>
                    <w:rPr>
                      <w:rFonts w:hint="eastAsia"/>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736" w:type="dxa"/>
                  <w:vMerge w:val="continue"/>
                  <w:vAlign w:val="center"/>
                </w:tcPr>
                <w:p>
                  <w:pPr>
                    <w:jc w:val="center"/>
                    <w:rPr>
                      <w:szCs w:val="21"/>
                    </w:rPr>
                  </w:pPr>
                </w:p>
              </w:tc>
              <w:tc>
                <w:tcPr>
                  <w:tcW w:w="1128" w:type="dxa"/>
                  <w:vAlign w:val="center"/>
                </w:tcPr>
                <w:p>
                  <w:pPr>
                    <w:snapToGrid w:val="0"/>
                    <w:jc w:val="center"/>
                    <w:rPr>
                      <w:rFonts w:hint="default"/>
                      <w:lang w:val="en-US" w:eastAsia="zh-CN"/>
                    </w:rPr>
                  </w:pPr>
                  <w:r>
                    <w:rPr>
                      <w:rFonts w:hint="eastAsia"/>
                      <w:lang w:val="en-US" w:eastAsia="zh-CN"/>
                    </w:rPr>
                    <w:t>/</w:t>
                  </w:r>
                </w:p>
              </w:tc>
              <w:tc>
                <w:tcPr>
                  <w:tcW w:w="1185" w:type="dxa"/>
                  <w:vAlign w:val="center"/>
                </w:tcPr>
                <w:p>
                  <w:pPr>
                    <w:snapToGrid w:val="0"/>
                    <w:jc w:val="center"/>
                    <w:rPr>
                      <w:rFonts w:hint="eastAsia"/>
                      <w:kern w:val="24"/>
                      <w:szCs w:val="21"/>
                      <w:lang w:eastAsia="zh-CN"/>
                    </w:rPr>
                  </w:pPr>
                  <w:r>
                    <w:rPr>
                      <w:rFonts w:hint="eastAsia"/>
                      <w:kern w:val="24"/>
                      <w:szCs w:val="21"/>
                      <w:lang w:eastAsia="zh-CN"/>
                    </w:rPr>
                    <w:t>职工用水</w:t>
                  </w:r>
                </w:p>
              </w:tc>
              <w:tc>
                <w:tcPr>
                  <w:tcW w:w="1707" w:type="dxa"/>
                  <w:vAlign w:val="center"/>
                </w:tcPr>
                <w:p>
                  <w:pPr>
                    <w:snapToGrid w:val="0"/>
                    <w:jc w:val="center"/>
                    <w:rPr>
                      <w:kern w:val="24"/>
                      <w:szCs w:val="21"/>
                    </w:rPr>
                  </w:pPr>
                  <w:r>
                    <w:rPr>
                      <w:kern w:val="24"/>
                      <w:szCs w:val="21"/>
                    </w:rPr>
                    <w:t>生活污水</w:t>
                  </w:r>
                </w:p>
              </w:tc>
              <w:tc>
                <w:tcPr>
                  <w:tcW w:w="1394" w:type="dxa"/>
                  <w:vAlign w:val="center"/>
                </w:tcPr>
                <w:p>
                  <w:pPr>
                    <w:snapToGrid w:val="0"/>
                    <w:jc w:val="center"/>
                    <w:rPr>
                      <w:kern w:val="24"/>
                      <w:szCs w:val="21"/>
                    </w:rPr>
                  </w:pPr>
                  <w:r>
                    <w:rPr>
                      <w:kern w:val="24"/>
                      <w:szCs w:val="21"/>
                    </w:rPr>
                    <w:t>间歇</w:t>
                  </w:r>
                </w:p>
              </w:tc>
              <w:tc>
                <w:tcPr>
                  <w:tcW w:w="2177" w:type="dxa"/>
                  <w:vAlign w:val="center"/>
                </w:tcPr>
                <w:p>
                  <w:pPr>
                    <w:snapToGrid w:val="0"/>
                    <w:jc w:val="center"/>
                    <w:rPr>
                      <w:rFonts w:hint="eastAsia"/>
                      <w:szCs w:val="21"/>
                      <w:lang w:eastAsia="zh-CN"/>
                    </w:rPr>
                  </w:pPr>
                  <w:r>
                    <w:rPr>
                      <w:rFonts w:hint="eastAsia"/>
                      <w:szCs w:val="21"/>
                      <w:lang w:eastAsia="zh-CN"/>
                    </w:rPr>
                    <w:t>接入宜兴市城市污水处理厂集中处理，尾水排入武宜运河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5" w:hRule="atLeast"/>
              </w:trPr>
              <w:tc>
                <w:tcPr>
                  <w:tcW w:w="736" w:type="dxa"/>
                  <w:vMerge w:val="restart"/>
                  <w:vAlign w:val="center"/>
                </w:tcPr>
                <w:p>
                  <w:pPr>
                    <w:jc w:val="center"/>
                    <w:rPr>
                      <w:bCs/>
                      <w:szCs w:val="21"/>
                    </w:rPr>
                  </w:pPr>
                  <w:r>
                    <w:rPr>
                      <w:rFonts w:hint="eastAsia"/>
                      <w:bCs/>
                      <w:szCs w:val="21"/>
                    </w:rPr>
                    <w:t>废气</w:t>
                  </w:r>
                </w:p>
              </w:tc>
              <w:tc>
                <w:tcPr>
                  <w:tcW w:w="1128" w:type="dxa"/>
                  <w:vAlign w:val="center"/>
                </w:tcPr>
                <w:p>
                  <w:pPr>
                    <w:snapToGrid w:val="0"/>
                    <w:jc w:val="center"/>
                    <w:rPr>
                      <w:bCs/>
                      <w:szCs w:val="21"/>
                    </w:rPr>
                  </w:pPr>
                  <w:r>
                    <w:rPr>
                      <w:rFonts w:hint="eastAsia"/>
                      <w:lang w:val="en-US" w:eastAsia="zh-CN"/>
                    </w:rPr>
                    <w:t>G</w:t>
                  </w:r>
                  <w:r>
                    <w:rPr>
                      <w:rFonts w:hint="eastAsia"/>
                      <w:vertAlign w:val="subscript"/>
                      <w:lang w:val="en-US" w:eastAsia="zh-CN"/>
                    </w:rPr>
                    <w:t>1</w:t>
                  </w:r>
                </w:p>
              </w:tc>
              <w:tc>
                <w:tcPr>
                  <w:tcW w:w="1185" w:type="dxa"/>
                  <w:vAlign w:val="center"/>
                </w:tcPr>
                <w:p>
                  <w:pPr>
                    <w:snapToGrid w:val="0"/>
                    <w:jc w:val="center"/>
                    <w:rPr>
                      <w:rFonts w:hint="eastAsia" w:eastAsia="宋体"/>
                      <w:szCs w:val="21"/>
                      <w:lang w:eastAsia="zh-CN"/>
                    </w:rPr>
                  </w:pPr>
                  <w:r>
                    <w:rPr>
                      <w:rFonts w:hint="eastAsia"/>
                      <w:bCs/>
                      <w:kern w:val="24"/>
                      <w:szCs w:val="21"/>
                      <w:lang w:eastAsia="zh-CN"/>
                    </w:rPr>
                    <w:t>激光打孔</w:t>
                  </w:r>
                </w:p>
              </w:tc>
              <w:tc>
                <w:tcPr>
                  <w:tcW w:w="1707" w:type="dxa"/>
                  <w:vAlign w:val="center"/>
                </w:tcPr>
                <w:p>
                  <w:pPr>
                    <w:snapToGrid w:val="0"/>
                    <w:jc w:val="center"/>
                    <w:rPr>
                      <w:szCs w:val="21"/>
                    </w:rPr>
                  </w:pPr>
                  <w:r>
                    <w:rPr>
                      <w:bCs/>
                      <w:kern w:val="24"/>
                      <w:szCs w:val="21"/>
                    </w:rPr>
                    <w:t>粉尘（颗粒物）</w:t>
                  </w:r>
                </w:p>
              </w:tc>
              <w:tc>
                <w:tcPr>
                  <w:tcW w:w="1394" w:type="dxa"/>
                  <w:vAlign w:val="center"/>
                </w:tcPr>
                <w:p>
                  <w:pPr>
                    <w:snapToGrid w:val="0"/>
                    <w:jc w:val="center"/>
                    <w:rPr>
                      <w:sz w:val="24"/>
                      <w:szCs w:val="21"/>
                    </w:rPr>
                  </w:pPr>
                  <w:r>
                    <w:rPr>
                      <w:bCs/>
                      <w:kern w:val="24"/>
                      <w:szCs w:val="21"/>
                    </w:rPr>
                    <w:t>间歇</w:t>
                  </w:r>
                </w:p>
              </w:tc>
              <w:tc>
                <w:tcPr>
                  <w:tcW w:w="2177" w:type="dxa"/>
                  <w:vAlign w:val="center"/>
                </w:tcPr>
                <w:p>
                  <w:pPr>
                    <w:snapToGrid w:val="0"/>
                    <w:jc w:val="center"/>
                    <w:rPr>
                      <w:rFonts w:hint="eastAsia"/>
                      <w:szCs w:val="21"/>
                      <w:lang w:eastAsia="zh-CN"/>
                    </w:rPr>
                  </w:pPr>
                  <w:r>
                    <w:rPr>
                      <w:rFonts w:hint="eastAsia"/>
                      <w:szCs w:val="21"/>
                      <w:lang w:eastAsia="zh-CN"/>
                    </w:rPr>
                    <w:t>设备配套吸尘装置处理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5" w:hRule="atLeast"/>
              </w:trPr>
              <w:tc>
                <w:tcPr>
                  <w:tcW w:w="736" w:type="dxa"/>
                  <w:vMerge w:val="continue"/>
                  <w:vAlign w:val="center"/>
                </w:tcPr>
                <w:p>
                  <w:pPr>
                    <w:jc w:val="center"/>
                    <w:rPr>
                      <w:bCs/>
                      <w:szCs w:val="21"/>
                    </w:rPr>
                  </w:pPr>
                </w:p>
              </w:tc>
              <w:tc>
                <w:tcPr>
                  <w:tcW w:w="1128" w:type="dxa"/>
                  <w:vAlign w:val="center"/>
                </w:tcPr>
                <w:p>
                  <w:pPr>
                    <w:snapToGrid w:val="0"/>
                    <w:jc w:val="center"/>
                    <w:rPr>
                      <w:bCs/>
                      <w:szCs w:val="21"/>
                    </w:rPr>
                  </w:pPr>
                  <w:r>
                    <w:rPr>
                      <w:rFonts w:hint="eastAsia"/>
                      <w:lang w:val="en-US" w:eastAsia="zh-CN"/>
                    </w:rPr>
                    <w:t>G</w:t>
                  </w:r>
                  <w:r>
                    <w:rPr>
                      <w:rFonts w:hint="eastAsia"/>
                      <w:vertAlign w:val="subscript"/>
                      <w:lang w:val="en-US" w:eastAsia="zh-CN"/>
                    </w:rPr>
                    <w:t>2</w:t>
                  </w:r>
                </w:p>
              </w:tc>
              <w:tc>
                <w:tcPr>
                  <w:tcW w:w="1185" w:type="dxa"/>
                  <w:vAlign w:val="center"/>
                </w:tcPr>
                <w:p>
                  <w:pPr>
                    <w:snapToGrid w:val="0"/>
                    <w:jc w:val="center"/>
                    <w:rPr>
                      <w:rFonts w:hint="eastAsia" w:eastAsia="宋体"/>
                      <w:szCs w:val="21"/>
                      <w:lang w:eastAsia="zh-CN"/>
                    </w:rPr>
                  </w:pPr>
                  <w:r>
                    <w:rPr>
                      <w:rFonts w:hint="eastAsia"/>
                      <w:bCs/>
                      <w:kern w:val="24"/>
                      <w:szCs w:val="21"/>
                      <w:lang w:eastAsia="zh-CN"/>
                    </w:rPr>
                    <w:t>丝网印刷</w:t>
                  </w:r>
                </w:p>
              </w:tc>
              <w:tc>
                <w:tcPr>
                  <w:tcW w:w="1707" w:type="dxa"/>
                  <w:vAlign w:val="center"/>
                </w:tcPr>
                <w:p>
                  <w:pPr>
                    <w:snapToGrid w:val="0"/>
                    <w:jc w:val="center"/>
                    <w:rPr>
                      <w:szCs w:val="21"/>
                    </w:rPr>
                  </w:pPr>
                  <w:r>
                    <w:rPr>
                      <w:rFonts w:hint="eastAsia"/>
                      <w:lang w:val="en-US" w:eastAsia="zh-CN"/>
                    </w:rPr>
                    <w:t>VOC</w:t>
                  </w:r>
                  <w:r>
                    <w:rPr>
                      <w:rFonts w:hint="eastAsia"/>
                      <w:vertAlign w:val="subscript"/>
                      <w:lang w:val="en-US" w:eastAsia="zh-CN"/>
                    </w:rPr>
                    <w:t>S</w:t>
                  </w:r>
                </w:p>
              </w:tc>
              <w:tc>
                <w:tcPr>
                  <w:tcW w:w="1394" w:type="dxa"/>
                  <w:vAlign w:val="center"/>
                </w:tcPr>
                <w:p>
                  <w:pPr>
                    <w:snapToGrid w:val="0"/>
                    <w:jc w:val="center"/>
                    <w:rPr>
                      <w:sz w:val="24"/>
                      <w:szCs w:val="21"/>
                    </w:rPr>
                  </w:pPr>
                  <w:r>
                    <w:rPr>
                      <w:bCs/>
                      <w:kern w:val="24"/>
                      <w:szCs w:val="21"/>
                    </w:rPr>
                    <w:t>间歇</w:t>
                  </w:r>
                </w:p>
              </w:tc>
              <w:tc>
                <w:tcPr>
                  <w:tcW w:w="2177" w:type="dxa"/>
                  <w:vAlign w:val="center"/>
                </w:tcPr>
                <w:p>
                  <w:pPr>
                    <w:snapToGrid w:val="0"/>
                    <w:jc w:val="center"/>
                    <w:rPr>
                      <w:rFonts w:hint="default"/>
                      <w:szCs w:val="21"/>
                      <w:lang w:val="en-US" w:eastAsia="zh-CN"/>
                    </w:rPr>
                  </w:pPr>
                  <w:r>
                    <w:rPr>
                      <w:rFonts w:hint="eastAsia"/>
                      <w:szCs w:val="21"/>
                      <w:lang w:eastAsia="zh-CN"/>
                    </w:rPr>
                    <w:t>集气罩</w:t>
                  </w:r>
                  <w:r>
                    <w:rPr>
                      <w:rFonts w:hint="eastAsia"/>
                      <w:szCs w:val="21"/>
                      <w:lang w:val="en-US" w:eastAsia="zh-CN"/>
                    </w:rPr>
                    <w:t>+</w:t>
                  </w:r>
                  <w:r>
                    <w:rPr>
                      <w:rFonts w:hint="eastAsia"/>
                      <w:szCs w:val="21"/>
                      <w:lang w:eastAsia="zh-CN"/>
                    </w:rPr>
                    <w:t>活性炭二级吸附</w:t>
                  </w:r>
                  <w:r>
                    <w:rPr>
                      <w:rFonts w:hint="eastAsia"/>
                      <w:szCs w:val="21"/>
                      <w:lang w:val="en-US" w:eastAsia="zh-CN"/>
                    </w:rPr>
                    <w:t>+15米排气筒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77" w:hRule="atLeast"/>
              </w:trPr>
              <w:tc>
                <w:tcPr>
                  <w:tcW w:w="736" w:type="dxa"/>
                  <w:vMerge w:val="continue"/>
                  <w:vAlign w:val="center"/>
                </w:tcPr>
                <w:p>
                  <w:pPr>
                    <w:jc w:val="center"/>
                    <w:rPr>
                      <w:bCs/>
                      <w:szCs w:val="21"/>
                    </w:rPr>
                  </w:pPr>
                </w:p>
              </w:tc>
              <w:tc>
                <w:tcPr>
                  <w:tcW w:w="1128" w:type="dxa"/>
                  <w:vAlign w:val="center"/>
                </w:tcPr>
                <w:p>
                  <w:pPr>
                    <w:snapToGrid w:val="0"/>
                    <w:jc w:val="center"/>
                    <w:rPr>
                      <w:bCs/>
                      <w:szCs w:val="21"/>
                    </w:rPr>
                  </w:pPr>
                  <w:r>
                    <w:rPr>
                      <w:rFonts w:hint="eastAsia"/>
                      <w:lang w:val="en-US" w:eastAsia="zh-CN"/>
                    </w:rPr>
                    <w:t>G</w:t>
                  </w:r>
                  <w:r>
                    <w:rPr>
                      <w:rFonts w:hint="eastAsia"/>
                      <w:vertAlign w:val="subscript"/>
                      <w:lang w:val="en-US" w:eastAsia="zh-CN"/>
                    </w:rPr>
                    <w:t>3</w:t>
                  </w:r>
                </w:p>
              </w:tc>
              <w:tc>
                <w:tcPr>
                  <w:tcW w:w="1185" w:type="dxa"/>
                  <w:vAlign w:val="center"/>
                </w:tcPr>
                <w:p>
                  <w:pPr>
                    <w:snapToGrid w:val="0"/>
                    <w:jc w:val="center"/>
                    <w:rPr>
                      <w:rFonts w:hint="eastAsia" w:eastAsia="宋体"/>
                      <w:szCs w:val="21"/>
                      <w:lang w:eastAsia="zh-CN"/>
                    </w:rPr>
                  </w:pPr>
                  <w:r>
                    <w:rPr>
                      <w:rFonts w:hint="eastAsia"/>
                      <w:bCs/>
                      <w:kern w:val="24"/>
                      <w:szCs w:val="21"/>
                      <w:lang w:eastAsia="zh-CN"/>
                    </w:rPr>
                    <w:t>烘干</w:t>
                  </w:r>
                </w:p>
              </w:tc>
              <w:tc>
                <w:tcPr>
                  <w:tcW w:w="1707" w:type="dxa"/>
                  <w:vAlign w:val="center"/>
                </w:tcPr>
                <w:p>
                  <w:pPr>
                    <w:snapToGrid w:val="0"/>
                    <w:jc w:val="center"/>
                    <w:rPr>
                      <w:rFonts w:hint="eastAsia" w:eastAsia="宋体"/>
                      <w:szCs w:val="21"/>
                      <w:lang w:eastAsia="zh-CN"/>
                    </w:rPr>
                  </w:pPr>
                  <w:r>
                    <w:rPr>
                      <w:rFonts w:hint="eastAsia"/>
                      <w:lang w:val="en-US" w:eastAsia="zh-CN"/>
                    </w:rPr>
                    <w:t>VOC</w:t>
                  </w:r>
                  <w:r>
                    <w:rPr>
                      <w:rFonts w:hint="eastAsia"/>
                      <w:vertAlign w:val="subscript"/>
                      <w:lang w:val="en-US" w:eastAsia="zh-CN"/>
                    </w:rPr>
                    <w:t>S</w:t>
                  </w:r>
                </w:p>
              </w:tc>
              <w:tc>
                <w:tcPr>
                  <w:tcW w:w="1394" w:type="dxa"/>
                  <w:vAlign w:val="center"/>
                </w:tcPr>
                <w:p>
                  <w:pPr>
                    <w:snapToGrid w:val="0"/>
                    <w:jc w:val="center"/>
                    <w:rPr>
                      <w:sz w:val="24"/>
                      <w:szCs w:val="21"/>
                    </w:rPr>
                  </w:pPr>
                  <w:r>
                    <w:rPr>
                      <w:bCs/>
                      <w:kern w:val="24"/>
                      <w:szCs w:val="21"/>
                    </w:rPr>
                    <w:t>间歇</w:t>
                  </w:r>
                </w:p>
              </w:tc>
              <w:tc>
                <w:tcPr>
                  <w:tcW w:w="2177" w:type="dxa"/>
                  <w:vAlign w:val="center"/>
                </w:tcPr>
                <w:p>
                  <w:pPr>
                    <w:snapToGrid w:val="0"/>
                    <w:jc w:val="center"/>
                    <w:rPr>
                      <w:rFonts w:hint="eastAsia"/>
                      <w:szCs w:val="21"/>
                      <w:lang w:eastAsia="zh-CN"/>
                    </w:rPr>
                  </w:pPr>
                  <w:r>
                    <w:rPr>
                      <w:rFonts w:hint="eastAsia"/>
                      <w:szCs w:val="21"/>
                      <w:lang w:eastAsia="zh-CN"/>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5" w:hRule="atLeast"/>
              </w:trPr>
              <w:tc>
                <w:tcPr>
                  <w:tcW w:w="736" w:type="dxa"/>
                  <w:vMerge w:val="continue"/>
                  <w:vAlign w:val="center"/>
                </w:tcPr>
                <w:p>
                  <w:pPr>
                    <w:jc w:val="center"/>
                    <w:rPr>
                      <w:bCs/>
                      <w:szCs w:val="21"/>
                    </w:rPr>
                  </w:pPr>
                </w:p>
              </w:tc>
              <w:tc>
                <w:tcPr>
                  <w:tcW w:w="1128" w:type="dxa"/>
                  <w:vAlign w:val="center"/>
                </w:tcPr>
                <w:p>
                  <w:pPr>
                    <w:snapToGrid w:val="0"/>
                    <w:jc w:val="center"/>
                    <w:rPr>
                      <w:bCs/>
                      <w:kern w:val="24"/>
                      <w:szCs w:val="21"/>
                    </w:rPr>
                  </w:pPr>
                  <w:r>
                    <w:rPr>
                      <w:rFonts w:hint="eastAsia"/>
                      <w:lang w:val="en-US" w:eastAsia="zh-CN"/>
                    </w:rPr>
                    <w:t>G</w:t>
                  </w:r>
                  <w:r>
                    <w:rPr>
                      <w:rFonts w:hint="eastAsia"/>
                      <w:vertAlign w:val="subscript"/>
                      <w:lang w:val="en-US" w:eastAsia="zh-CN"/>
                    </w:rPr>
                    <w:t>4</w:t>
                  </w:r>
                </w:p>
              </w:tc>
              <w:tc>
                <w:tcPr>
                  <w:tcW w:w="1185" w:type="dxa"/>
                  <w:vAlign w:val="center"/>
                </w:tcPr>
                <w:p>
                  <w:pPr>
                    <w:snapToGrid w:val="0"/>
                    <w:jc w:val="center"/>
                    <w:rPr>
                      <w:rFonts w:hint="eastAsia"/>
                      <w:bCs/>
                      <w:kern w:val="24"/>
                      <w:szCs w:val="21"/>
                      <w:lang w:eastAsia="zh-CN"/>
                    </w:rPr>
                  </w:pPr>
                  <w:r>
                    <w:rPr>
                      <w:rFonts w:hint="eastAsia"/>
                      <w:bCs/>
                      <w:kern w:val="24"/>
                      <w:szCs w:val="21"/>
                      <w:lang w:eastAsia="zh-CN"/>
                    </w:rPr>
                    <w:t>钢化</w:t>
                  </w:r>
                </w:p>
              </w:tc>
              <w:tc>
                <w:tcPr>
                  <w:tcW w:w="1707" w:type="dxa"/>
                  <w:vAlign w:val="center"/>
                </w:tcPr>
                <w:p>
                  <w:pPr>
                    <w:snapToGrid w:val="0"/>
                    <w:jc w:val="center"/>
                    <w:rPr>
                      <w:rFonts w:hint="eastAsia" w:eastAsia="宋体"/>
                      <w:bCs/>
                      <w:kern w:val="24"/>
                      <w:szCs w:val="21"/>
                      <w:lang w:eastAsia="zh-CN"/>
                    </w:rPr>
                  </w:pPr>
                  <w:r>
                    <w:rPr>
                      <w:rFonts w:hint="eastAsia"/>
                      <w:lang w:val="en-US" w:eastAsia="zh-CN"/>
                    </w:rPr>
                    <w:t>VOC</w:t>
                  </w:r>
                  <w:r>
                    <w:rPr>
                      <w:rFonts w:hint="eastAsia"/>
                      <w:vertAlign w:val="subscript"/>
                      <w:lang w:val="en-US" w:eastAsia="zh-CN"/>
                    </w:rPr>
                    <w:t>S</w:t>
                  </w:r>
                </w:p>
              </w:tc>
              <w:tc>
                <w:tcPr>
                  <w:tcW w:w="1394" w:type="dxa"/>
                  <w:vAlign w:val="center"/>
                </w:tcPr>
                <w:p>
                  <w:pPr>
                    <w:snapToGrid w:val="0"/>
                    <w:jc w:val="center"/>
                    <w:rPr>
                      <w:bCs/>
                      <w:kern w:val="24"/>
                      <w:szCs w:val="21"/>
                    </w:rPr>
                  </w:pPr>
                  <w:r>
                    <w:rPr>
                      <w:bCs/>
                      <w:kern w:val="24"/>
                      <w:szCs w:val="21"/>
                    </w:rPr>
                    <w:t>间歇</w:t>
                  </w:r>
                </w:p>
              </w:tc>
              <w:tc>
                <w:tcPr>
                  <w:tcW w:w="2177" w:type="dxa"/>
                  <w:vAlign w:val="center"/>
                </w:tcPr>
                <w:p>
                  <w:pPr>
                    <w:snapToGrid w:val="0"/>
                    <w:jc w:val="center"/>
                    <w:rPr>
                      <w:rFonts w:hint="eastAsia"/>
                      <w:szCs w:val="21"/>
                      <w:lang w:eastAsia="zh-CN"/>
                    </w:rPr>
                  </w:pPr>
                  <w:r>
                    <w:rPr>
                      <w:rFonts w:hint="eastAsia"/>
                      <w:szCs w:val="21"/>
                      <w:lang w:eastAsia="zh-CN"/>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0" w:hRule="atLeast"/>
              </w:trPr>
              <w:tc>
                <w:tcPr>
                  <w:tcW w:w="736" w:type="dxa"/>
                  <w:vAlign w:val="center"/>
                </w:tcPr>
                <w:p>
                  <w:pPr>
                    <w:jc w:val="center"/>
                    <w:rPr>
                      <w:bCs/>
                      <w:szCs w:val="21"/>
                    </w:rPr>
                  </w:pPr>
                  <w:r>
                    <w:rPr>
                      <w:bCs/>
                      <w:szCs w:val="21"/>
                    </w:rPr>
                    <w:t>噪声</w:t>
                  </w:r>
                </w:p>
              </w:tc>
              <w:tc>
                <w:tcPr>
                  <w:tcW w:w="1128" w:type="dxa"/>
                  <w:vAlign w:val="center"/>
                </w:tcPr>
                <w:p>
                  <w:pPr>
                    <w:snapToGrid w:val="0"/>
                    <w:jc w:val="center"/>
                    <w:rPr>
                      <w:bCs/>
                      <w:szCs w:val="21"/>
                    </w:rPr>
                  </w:pPr>
                  <w:r>
                    <w:rPr>
                      <w:kern w:val="24"/>
                      <w:szCs w:val="21"/>
                    </w:rPr>
                    <w:t>N</w:t>
                  </w:r>
                </w:p>
              </w:tc>
              <w:tc>
                <w:tcPr>
                  <w:tcW w:w="1185" w:type="dxa"/>
                  <w:vAlign w:val="center"/>
                </w:tcPr>
                <w:p>
                  <w:pPr>
                    <w:snapToGrid w:val="0"/>
                    <w:jc w:val="center"/>
                    <w:rPr>
                      <w:rFonts w:hint="eastAsia" w:eastAsia="宋体"/>
                      <w:szCs w:val="21"/>
                      <w:lang w:eastAsia="zh-CN"/>
                    </w:rPr>
                  </w:pPr>
                  <w:r>
                    <w:rPr>
                      <w:rFonts w:hint="eastAsia"/>
                      <w:kern w:val="24"/>
                      <w:szCs w:val="21"/>
                      <w:lang w:eastAsia="zh-CN"/>
                    </w:rPr>
                    <w:t>激光打孔、烘干机、磨边机等设备</w:t>
                  </w:r>
                </w:p>
              </w:tc>
              <w:tc>
                <w:tcPr>
                  <w:tcW w:w="1707" w:type="dxa"/>
                  <w:vAlign w:val="center"/>
                </w:tcPr>
                <w:p>
                  <w:pPr>
                    <w:snapToGrid w:val="0"/>
                    <w:jc w:val="center"/>
                    <w:rPr>
                      <w:szCs w:val="21"/>
                    </w:rPr>
                  </w:pPr>
                  <w:r>
                    <w:rPr>
                      <w:kern w:val="24"/>
                      <w:szCs w:val="21"/>
                    </w:rPr>
                    <w:t>噪声</w:t>
                  </w:r>
                </w:p>
              </w:tc>
              <w:tc>
                <w:tcPr>
                  <w:tcW w:w="1394" w:type="dxa"/>
                  <w:vAlign w:val="center"/>
                </w:tcPr>
                <w:p>
                  <w:pPr>
                    <w:snapToGrid w:val="0"/>
                    <w:jc w:val="center"/>
                    <w:rPr>
                      <w:rFonts w:hint="eastAsia" w:eastAsia="宋体"/>
                      <w:szCs w:val="21"/>
                      <w:lang w:eastAsia="zh-CN"/>
                    </w:rPr>
                  </w:pPr>
                  <w:r>
                    <w:rPr>
                      <w:rFonts w:hint="eastAsia"/>
                      <w:kern w:val="24"/>
                      <w:szCs w:val="21"/>
                      <w:lang w:eastAsia="zh-CN"/>
                    </w:rPr>
                    <w:t>间歇</w:t>
                  </w:r>
                </w:p>
              </w:tc>
              <w:tc>
                <w:tcPr>
                  <w:tcW w:w="2177" w:type="dxa"/>
                  <w:tcBorders>
                    <w:bottom w:val="single" w:color="auto" w:sz="4" w:space="0"/>
                  </w:tcBorders>
                  <w:vAlign w:val="center"/>
                </w:tcPr>
                <w:p>
                  <w:pPr>
                    <w:snapToGrid w:val="0"/>
                    <w:jc w:val="center"/>
                    <w:rPr>
                      <w:rFonts w:hint="eastAsia"/>
                      <w:szCs w:val="21"/>
                      <w:lang w:eastAsia="zh-CN"/>
                    </w:rPr>
                  </w:pPr>
                  <w:r>
                    <w:rPr>
                      <w:rFonts w:hint="eastAsia"/>
                      <w:szCs w:val="21"/>
                      <w:lang w:eastAsia="zh-CN"/>
                    </w:rPr>
                    <w:t>设备基础减振、厂房安装吸音材料、隔声门窗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736" w:type="dxa"/>
                  <w:vMerge w:val="restart"/>
                  <w:vAlign w:val="center"/>
                </w:tcPr>
                <w:p>
                  <w:pPr>
                    <w:jc w:val="center"/>
                    <w:rPr>
                      <w:szCs w:val="21"/>
                    </w:rPr>
                  </w:pPr>
                  <w:r>
                    <w:rPr>
                      <w:szCs w:val="21"/>
                    </w:rPr>
                    <w:t>固废</w:t>
                  </w:r>
                </w:p>
              </w:tc>
              <w:tc>
                <w:tcPr>
                  <w:tcW w:w="1128" w:type="dxa"/>
                  <w:vAlign w:val="center"/>
                </w:tcPr>
                <w:p>
                  <w:pPr>
                    <w:snapToGrid w:val="0"/>
                    <w:jc w:val="center"/>
                    <w:rPr>
                      <w:szCs w:val="21"/>
                    </w:rPr>
                  </w:pPr>
                  <w:r>
                    <w:rPr>
                      <w:kern w:val="24"/>
                      <w:szCs w:val="21"/>
                    </w:rPr>
                    <w:t>S1</w:t>
                  </w:r>
                </w:p>
              </w:tc>
              <w:tc>
                <w:tcPr>
                  <w:tcW w:w="1185" w:type="dxa"/>
                  <w:vAlign w:val="center"/>
                </w:tcPr>
                <w:p>
                  <w:pPr>
                    <w:snapToGrid w:val="0"/>
                    <w:jc w:val="center"/>
                    <w:rPr>
                      <w:rFonts w:hint="eastAsia" w:eastAsia="宋体"/>
                      <w:szCs w:val="21"/>
                      <w:lang w:eastAsia="zh-CN"/>
                    </w:rPr>
                  </w:pPr>
                  <w:r>
                    <w:rPr>
                      <w:rFonts w:hint="eastAsia"/>
                      <w:kern w:val="24"/>
                      <w:szCs w:val="21"/>
                      <w:lang w:eastAsia="zh-CN"/>
                    </w:rPr>
                    <w:t>激光打孔</w:t>
                  </w:r>
                </w:p>
              </w:tc>
              <w:tc>
                <w:tcPr>
                  <w:tcW w:w="1707" w:type="dxa"/>
                  <w:vAlign w:val="center"/>
                </w:tcPr>
                <w:p>
                  <w:pPr>
                    <w:snapToGrid w:val="0"/>
                    <w:jc w:val="center"/>
                    <w:rPr>
                      <w:rFonts w:hint="eastAsia" w:eastAsia="宋体"/>
                      <w:szCs w:val="21"/>
                      <w:lang w:eastAsia="zh-CN"/>
                    </w:rPr>
                  </w:pPr>
                  <w:r>
                    <w:rPr>
                      <w:rFonts w:hint="eastAsia"/>
                      <w:kern w:val="24"/>
                      <w:szCs w:val="21"/>
                      <w:lang w:eastAsia="zh-CN"/>
                    </w:rPr>
                    <w:t>玻璃碎屑</w:t>
                  </w:r>
                </w:p>
              </w:tc>
              <w:tc>
                <w:tcPr>
                  <w:tcW w:w="1394" w:type="dxa"/>
                  <w:vAlign w:val="center"/>
                </w:tcPr>
                <w:p>
                  <w:pPr>
                    <w:snapToGrid w:val="0"/>
                    <w:jc w:val="center"/>
                    <w:rPr>
                      <w:szCs w:val="21"/>
                    </w:rPr>
                  </w:pPr>
                  <w:r>
                    <w:rPr>
                      <w:kern w:val="24"/>
                      <w:szCs w:val="21"/>
                    </w:rPr>
                    <w:t>间歇</w:t>
                  </w:r>
                </w:p>
              </w:tc>
              <w:tc>
                <w:tcPr>
                  <w:tcW w:w="2177" w:type="dxa"/>
                  <w:vMerge w:val="restart"/>
                  <w:vAlign w:val="center"/>
                </w:tcPr>
                <w:p>
                  <w:pPr>
                    <w:snapToGrid w:val="0"/>
                    <w:jc w:val="center"/>
                    <w:rPr>
                      <w:rFonts w:hint="eastAsia"/>
                      <w:szCs w:val="21"/>
                      <w:lang w:eastAsia="zh-CN"/>
                    </w:rPr>
                  </w:pPr>
                  <w:r>
                    <w:rPr>
                      <w:rFonts w:hint="eastAsia"/>
                      <w:szCs w:val="21"/>
                      <w:lang w:eastAsia="zh-CN"/>
                    </w:rPr>
                    <w:t>收集后外售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736" w:type="dxa"/>
                  <w:vMerge w:val="continue"/>
                  <w:vAlign w:val="center"/>
                </w:tcPr>
                <w:p>
                  <w:pPr>
                    <w:jc w:val="center"/>
                    <w:rPr>
                      <w:szCs w:val="21"/>
                    </w:rPr>
                  </w:pPr>
                </w:p>
              </w:tc>
              <w:tc>
                <w:tcPr>
                  <w:tcW w:w="1128" w:type="dxa"/>
                  <w:vAlign w:val="center"/>
                </w:tcPr>
                <w:p>
                  <w:pPr>
                    <w:snapToGrid w:val="0"/>
                    <w:jc w:val="center"/>
                    <w:rPr>
                      <w:szCs w:val="21"/>
                    </w:rPr>
                  </w:pPr>
                  <w:r>
                    <w:rPr>
                      <w:kern w:val="24"/>
                      <w:szCs w:val="21"/>
                    </w:rPr>
                    <w:t>S2</w:t>
                  </w:r>
                </w:p>
              </w:tc>
              <w:tc>
                <w:tcPr>
                  <w:tcW w:w="1185" w:type="dxa"/>
                  <w:vAlign w:val="center"/>
                </w:tcPr>
                <w:p>
                  <w:pPr>
                    <w:snapToGrid w:val="0"/>
                    <w:jc w:val="center"/>
                    <w:rPr>
                      <w:rFonts w:hint="eastAsia" w:eastAsia="宋体"/>
                      <w:szCs w:val="21"/>
                      <w:lang w:eastAsia="zh-CN"/>
                    </w:rPr>
                  </w:pPr>
                  <w:r>
                    <w:rPr>
                      <w:rFonts w:hint="eastAsia"/>
                      <w:szCs w:val="21"/>
                      <w:lang w:eastAsia="zh-CN"/>
                    </w:rPr>
                    <w:t>检测</w:t>
                  </w:r>
                </w:p>
              </w:tc>
              <w:tc>
                <w:tcPr>
                  <w:tcW w:w="1707" w:type="dxa"/>
                  <w:vAlign w:val="center"/>
                </w:tcPr>
                <w:p>
                  <w:pPr>
                    <w:snapToGrid w:val="0"/>
                    <w:jc w:val="center"/>
                    <w:rPr>
                      <w:rFonts w:hint="eastAsia" w:eastAsia="宋体"/>
                      <w:szCs w:val="21"/>
                      <w:lang w:eastAsia="zh-CN"/>
                    </w:rPr>
                  </w:pPr>
                  <w:r>
                    <w:rPr>
                      <w:rFonts w:hint="eastAsia"/>
                      <w:szCs w:val="21"/>
                      <w:lang w:eastAsia="zh-CN"/>
                    </w:rPr>
                    <w:t>不合格品</w:t>
                  </w:r>
                </w:p>
              </w:tc>
              <w:tc>
                <w:tcPr>
                  <w:tcW w:w="1394" w:type="dxa"/>
                  <w:vAlign w:val="center"/>
                </w:tcPr>
                <w:p>
                  <w:pPr>
                    <w:snapToGrid w:val="0"/>
                    <w:jc w:val="center"/>
                    <w:rPr>
                      <w:szCs w:val="21"/>
                    </w:rPr>
                  </w:pPr>
                  <w:r>
                    <w:rPr>
                      <w:kern w:val="24"/>
                      <w:szCs w:val="21"/>
                    </w:rPr>
                    <w:t>间歇</w:t>
                  </w:r>
                </w:p>
              </w:tc>
              <w:tc>
                <w:tcPr>
                  <w:tcW w:w="2177" w:type="dxa"/>
                  <w:vMerge w:val="continue"/>
                  <w:vAlign w:val="center"/>
                </w:tcPr>
                <w:p>
                  <w:pPr>
                    <w:snapToGrid w:val="0"/>
                    <w:jc w:val="center"/>
                    <w:rPr>
                      <w:rFonts w:hint="eastAsia"/>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736" w:type="dxa"/>
                  <w:vMerge w:val="continue"/>
                  <w:vAlign w:val="center"/>
                </w:tcPr>
                <w:p>
                  <w:pPr>
                    <w:jc w:val="center"/>
                    <w:rPr>
                      <w:szCs w:val="21"/>
                    </w:rPr>
                  </w:pPr>
                </w:p>
              </w:tc>
              <w:tc>
                <w:tcPr>
                  <w:tcW w:w="1128" w:type="dxa"/>
                  <w:vAlign w:val="center"/>
                </w:tcPr>
                <w:p>
                  <w:pPr>
                    <w:snapToGrid w:val="0"/>
                    <w:jc w:val="center"/>
                    <w:rPr>
                      <w:rFonts w:hint="default" w:eastAsia="宋体"/>
                      <w:szCs w:val="21"/>
                      <w:lang w:val="en-US" w:eastAsia="zh-CN"/>
                    </w:rPr>
                  </w:pPr>
                  <w:r>
                    <w:rPr>
                      <w:rFonts w:hint="eastAsia"/>
                      <w:szCs w:val="21"/>
                      <w:lang w:val="en-US" w:eastAsia="zh-CN"/>
                    </w:rPr>
                    <w:t>/</w:t>
                  </w:r>
                </w:p>
              </w:tc>
              <w:tc>
                <w:tcPr>
                  <w:tcW w:w="1185" w:type="dxa"/>
                  <w:vAlign w:val="center"/>
                </w:tcPr>
                <w:p>
                  <w:pPr>
                    <w:adjustRightInd w:val="0"/>
                    <w:jc w:val="center"/>
                    <w:rPr>
                      <w:rFonts w:hint="eastAsia" w:eastAsia="宋体"/>
                      <w:szCs w:val="21"/>
                      <w:lang w:eastAsia="zh-CN"/>
                    </w:rPr>
                  </w:pPr>
                  <w:r>
                    <w:rPr>
                      <w:rFonts w:hint="eastAsia"/>
                      <w:szCs w:val="21"/>
                      <w:lang w:eastAsia="zh-CN"/>
                    </w:rPr>
                    <w:t>粉尘</w:t>
                  </w:r>
                </w:p>
              </w:tc>
              <w:tc>
                <w:tcPr>
                  <w:tcW w:w="1707" w:type="dxa"/>
                  <w:vAlign w:val="center"/>
                </w:tcPr>
                <w:p>
                  <w:pPr>
                    <w:snapToGrid w:val="0"/>
                    <w:jc w:val="center"/>
                    <w:rPr>
                      <w:rFonts w:hint="eastAsia" w:eastAsia="宋体"/>
                      <w:szCs w:val="21"/>
                      <w:lang w:eastAsia="zh-CN"/>
                    </w:rPr>
                  </w:pPr>
                  <w:r>
                    <w:rPr>
                      <w:rFonts w:hint="eastAsia"/>
                      <w:kern w:val="24"/>
                      <w:szCs w:val="21"/>
                      <w:lang w:eastAsia="zh-CN"/>
                    </w:rPr>
                    <w:t>吸尘装置</w:t>
                  </w:r>
                </w:p>
              </w:tc>
              <w:tc>
                <w:tcPr>
                  <w:tcW w:w="1394" w:type="dxa"/>
                  <w:vAlign w:val="center"/>
                </w:tcPr>
                <w:p>
                  <w:pPr>
                    <w:snapToGrid w:val="0"/>
                    <w:jc w:val="center"/>
                    <w:rPr>
                      <w:szCs w:val="21"/>
                    </w:rPr>
                  </w:pPr>
                  <w:r>
                    <w:rPr>
                      <w:kern w:val="24"/>
                      <w:szCs w:val="21"/>
                    </w:rPr>
                    <w:t>间歇</w:t>
                  </w:r>
                </w:p>
              </w:tc>
              <w:tc>
                <w:tcPr>
                  <w:tcW w:w="2177" w:type="dxa"/>
                  <w:vMerge w:val="continue"/>
                  <w:vAlign w:val="center"/>
                </w:tcPr>
                <w:p>
                  <w:pPr>
                    <w:snapToGrid w:val="0"/>
                    <w:jc w:val="center"/>
                    <w:rPr>
                      <w:rFonts w:hint="eastAsia"/>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0" w:hRule="atLeast"/>
              </w:trPr>
              <w:tc>
                <w:tcPr>
                  <w:tcW w:w="736" w:type="dxa"/>
                  <w:vMerge w:val="continue"/>
                  <w:vAlign w:val="center"/>
                </w:tcPr>
                <w:p>
                  <w:pPr>
                    <w:jc w:val="center"/>
                    <w:rPr>
                      <w:szCs w:val="21"/>
                    </w:rPr>
                  </w:pPr>
                </w:p>
              </w:tc>
              <w:tc>
                <w:tcPr>
                  <w:tcW w:w="1128" w:type="dxa"/>
                  <w:vAlign w:val="center"/>
                </w:tcPr>
                <w:p>
                  <w:pPr>
                    <w:snapToGrid w:val="0"/>
                    <w:jc w:val="center"/>
                    <w:rPr>
                      <w:rFonts w:hint="default"/>
                      <w:kern w:val="24"/>
                      <w:szCs w:val="21"/>
                      <w:lang w:val="en-US" w:eastAsia="zh-CN"/>
                    </w:rPr>
                  </w:pPr>
                  <w:r>
                    <w:rPr>
                      <w:rFonts w:hint="eastAsia"/>
                      <w:kern w:val="24"/>
                      <w:szCs w:val="21"/>
                      <w:lang w:val="en-US" w:eastAsia="zh-CN"/>
                    </w:rPr>
                    <w:t>/</w:t>
                  </w:r>
                </w:p>
              </w:tc>
              <w:tc>
                <w:tcPr>
                  <w:tcW w:w="1185" w:type="dxa"/>
                  <w:vAlign w:val="center"/>
                </w:tcPr>
                <w:p>
                  <w:pPr>
                    <w:adjustRightInd w:val="0"/>
                    <w:jc w:val="center"/>
                    <w:rPr>
                      <w:rFonts w:hint="default"/>
                      <w:szCs w:val="21"/>
                      <w:lang w:val="en-US" w:eastAsia="zh-CN"/>
                    </w:rPr>
                  </w:pPr>
                  <w:r>
                    <w:rPr>
                      <w:rFonts w:hint="eastAsia"/>
                      <w:szCs w:val="21"/>
                      <w:lang w:eastAsia="zh-CN"/>
                    </w:rPr>
                    <w:t>废活性炭</w:t>
                  </w:r>
                  <w:r>
                    <w:rPr>
                      <w:rFonts w:hint="eastAsia"/>
                      <w:szCs w:val="21"/>
                      <w:lang w:val="en-US" w:eastAsia="zh-CN"/>
                    </w:rPr>
                    <w:t>HW49</w:t>
                  </w:r>
                </w:p>
              </w:tc>
              <w:tc>
                <w:tcPr>
                  <w:tcW w:w="1707" w:type="dxa"/>
                  <w:vAlign w:val="center"/>
                </w:tcPr>
                <w:p>
                  <w:pPr>
                    <w:snapToGrid w:val="0"/>
                    <w:jc w:val="center"/>
                    <w:rPr>
                      <w:rFonts w:hint="eastAsia"/>
                      <w:kern w:val="24"/>
                      <w:szCs w:val="21"/>
                      <w:lang w:eastAsia="zh-CN"/>
                    </w:rPr>
                  </w:pPr>
                  <w:r>
                    <w:rPr>
                      <w:rFonts w:hint="eastAsia"/>
                      <w:kern w:val="24"/>
                      <w:szCs w:val="21"/>
                      <w:lang w:eastAsia="zh-CN"/>
                    </w:rPr>
                    <w:t>活性炭吸附装置</w:t>
                  </w:r>
                </w:p>
              </w:tc>
              <w:tc>
                <w:tcPr>
                  <w:tcW w:w="1394" w:type="dxa"/>
                  <w:vAlign w:val="center"/>
                </w:tcPr>
                <w:p>
                  <w:pPr>
                    <w:snapToGrid w:val="0"/>
                    <w:jc w:val="center"/>
                    <w:rPr>
                      <w:kern w:val="24"/>
                      <w:szCs w:val="21"/>
                    </w:rPr>
                  </w:pPr>
                  <w:r>
                    <w:rPr>
                      <w:kern w:val="24"/>
                      <w:szCs w:val="21"/>
                    </w:rPr>
                    <w:t>间歇</w:t>
                  </w:r>
                </w:p>
              </w:tc>
              <w:tc>
                <w:tcPr>
                  <w:tcW w:w="2177" w:type="dxa"/>
                  <w:vAlign w:val="center"/>
                </w:tcPr>
                <w:p>
                  <w:pPr>
                    <w:snapToGrid w:val="0"/>
                    <w:jc w:val="center"/>
                    <w:rPr>
                      <w:rFonts w:hint="eastAsia"/>
                      <w:szCs w:val="21"/>
                      <w:lang w:eastAsia="zh-CN"/>
                    </w:rPr>
                  </w:pPr>
                  <w:r>
                    <w:rPr>
                      <w:rFonts w:hint="eastAsia"/>
                      <w:szCs w:val="21"/>
                      <w:lang w:eastAsia="zh-CN"/>
                    </w:rPr>
                    <w:t>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36" w:type="dxa"/>
                  <w:vMerge w:val="continue"/>
                  <w:vAlign w:val="center"/>
                </w:tcPr>
                <w:p>
                  <w:pPr>
                    <w:jc w:val="center"/>
                    <w:rPr>
                      <w:szCs w:val="21"/>
                    </w:rPr>
                  </w:pPr>
                </w:p>
              </w:tc>
              <w:tc>
                <w:tcPr>
                  <w:tcW w:w="1128" w:type="dxa"/>
                  <w:vAlign w:val="center"/>
                </w:tcPr>
                <w:p>
                  <w:pPr>
                    <w:snapToGrid w:val="0"/>
                    <w:jc w:val="center"/>
                    <w:rPr>
                      <w:szCs w:val="21"/>
                    </w:rPr>
                  </w:pPr>
                  <w:r>
                    <w:rPr>
                      <w:kern w:val="24"/>
                      <w:szCs w:val="21"/>
                    </w:rPr>
                    <w:t>/</w:t>
                  </w:r>
                </w:p>
              </w:tc>
              <w:tc>
                <w:tcPr>
                  <w:tcW w:w="1185" w:type="dxa"/>
                  <w:vAlign w:val="center"/>
                </w:tcPr>
                <w:p>
                  <w:pPr>
                    <w:adjustRightInd w:val="0"/>
                    <w:jc w:val="center"/>
                    <w:rPr>
                      <w:rFonts w:hint="eastAsia" w:eastAsia="宋体"/>
                      <w:szCs w:val="21"/>
                      <w:lang w:eastAsia="zh-CN"/>
                    </w:rPr>
                  </w:pPr>
                  <w:r>
                    <w:rPr>
                      <w:rFonts w:hint="eastAsia"/>
                      <w:szCs w:val="21"/>
                      <w:lang w:eastAsia="zh-CN"/>
                    </w:rPr>
                    <w:t>污泥</w:t>
                  </w:r>
                </w:p>
              </w:tc>
              <w:tc>
                <w:tcPr>
                  <w:tcW w:w="1707" w:type="dxa"/>
                  <w:vAlign w:val="center"/>
                </w:tcPr>
                <w:p>
                  <w:pPr>
                    <w:snapToGrid w:val="0"/>
                    <w:jc w:val="center"/>
                    <w:rPr>
                      <w:rFonts w:hint="eastAsia" w:eastAsia="宋体"/>
                      <w:szCs w:val="21"/>
                      <w:lang w:eastAsia="zh-CN"/>
                    </w:rPr>
                  </w:pPr>
                  <w:r>
                    <w:rPr>
                      <w:rFonts w:hint="eastAsia"/>
                      <w:kern w:val="24"/>
                      <w:szCs w:val="21"/>
                      <w:lang w:eastAsia="zh-CN"/>
                    </w:rPr>
                    <w:t>废水处理</w:t>
                  </w:r>
                </w:p>
              </w:tc>
              <w:tc>
                <w:tcPr>
                  <w:tcW w:w="1394" w:type="dxa"/>
                  <w:vAlign w:val="center"/>
                </w:tcPr>
                <w:p>
                  <w:pPr>
                    <w:snapToGrid w:val="0"/>
                    <w:jc w:val="center"/>
                    <w:rPr>
                      <w:szCs w:val="21"/>
                    </w:rPr>
                  </w:pPr>
                  <w:r>
                    <w:rPr>
                      <w:kern w:val="24"/>
                      <w:szCs w:val="21"/>
                    </w:rPr>
                    <w:t>间歇</w:t>
                  </w:r>
                </w:p>
              </w:tc>
              <w:tc>
                <w:tcPr>
                  <w:tcW w:w="2177" w:type="dxa"/>
                  <w:vAlign w:val="center"/>
                </w:tcPr>
                <w:p>
                  <w:pPr>
                    <w:snapToGrid w:val="0"/>
                    <w:jc w:val="center"/>
                    <w:rPr>
                      <w:rFonts w:hint="eastAsia"/>
                      <w:szCs w:val="21"/>
                      <w:lang w:eastAsia="zh-CN"/>
                    </w:rPr>
                  </w:pPr>
                  <w:r>
                    <w:rPr>
                      <w:rFonts w:hint="eastAsia"/>
                      <w:szCs w:val="21"/>
                      <w:lang w:eastAsia="zh-CN"/>
                    </w:rPr>
                    <w:t>废水处理沉淀池污泥，出售相关单位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36" w:type="dxa"/>
                  <w:vMerge w:val="continue"/>
                  <w:vAlign w:val="center"/>
                </w:tcPr>
                <w:p>
                  <w:pPr>
                    <w:jc w:val="center"/>
                    <w:rPr>
                      <w:szCs w:val="21"/>
                    </w:rPr>
                  </w:pPr>
                </w:p>
              </w:tc>
              <w:tc>
                <w:tcPr>
                  <w:tcW w:w="1128" w:type="dxa"/>
                  <w:vAlign w:val="center"/>
                </w:tcPr>
                <w:p>
                  <w:pPr>
                    <w:snapToGrid w:val="0"/>
                    <w:jc w:val="center"/>
                    <w:rPr>
                      <w:szCs w:val="21"/>
                    </w:rPr>
                  </w:pPr>
                  <w:r>
                    <w:rPr>
                      <w:kern w:val="24"/>
                      <w:szCs w:val="21"/>
                    </w:rPr>
                    <w:t>/</w:t>
                  </w:r>
                </w:p>
              </w:tc>
              <w:tc>
                <w:tcPr>
                  <w:tcW w:w="1185" w:type="dxa"/>
                  <w:vAlign w:val="center"/>
                </w:tcPr>
                <w:p>
                  <w:pPr>
                    <w:snapToGrid w:val="0"/>
                    <w:jc w:val="center"/>
                    <w:rPr>
                      <w:rFonts w:hint="eastAsia" w:eastAsia="宋体"/>
                      <w:szCs w:val="21"/>
                      <w:lang w:eastAsia="zh-CN"/>
                    </w:rPr>
                  </w:pPr>
                  <w:r>
                    <w:rPr>
                      <w:rFonts w:hint="eastAsia"/>
                      <w:szCs w:val="21"/>
                      <w:lang w:eastAsia="zh-CN"/>
                    </w:rPr>
                    <w:t>生活垃圾</w:t>
                  </w:r>
                </w:p>
              </w:tc>
              <w:tc>
                <w:tcPr>
                  <w:tcW w:w="1707" w:type="dxa"/>
                  <w:vAlign w:val="center"/>
                </w:tcPr>
                <w:p>
                  <w:pPr>
                    <w:snapToGrid w:val="0"/>
                    <w:jc w:val="center"/>
                    <w:rPr>
                      <w:rFonts w:hint="eastAsia" w:eastAsia="宋体"/>
                      <w:szCs w:val="21"/>
                      <w:lang w:eastAsia="zh-CN"/>
                    </w:rPr>
                  </w:pPr>
                  <w:r>
                    <w:rPr>
                      <w:rFonts w:hint="eastAsia"/>
                      <w:kern w:val="24"/>
                      <w:szCs w:val="21"/>
                      <w:lang w:eastAsia="zh-CN"/>
                    </w:rPr>
                    <w:t>办公、生活</w:t>
                  </w:r>
                </w:p>
              </w:tc>
              <w:tc>
                <w:tcPr>
                  <w:tcW w:w="1394" w:type="dxa"/>
                  <w:vAlign w:val="center"/>
                </w:tcPr>
                <w:p>
                  <w:pPr>
                    <w:snapToGrid w:val="0"/>
                    <w:jc w:val="center"/>
                    <w:rPr>
                      <w:szCs w:val="21"/>
                    </w:rPr>
                  </w:pPr>
                  <w:r>
                    <w:rPr>
                      <w:kern w:val="24"/>
                      <w:szCs w:val="21"/>
                    </w:rPr>
                    <w:t>间歇</w:t>
                  </w:r>
                </w:p>
              </w:tc>
              <w:tc>
                <w:tcPr>
                  <w:tcW w:w="2177" w:type="dxa"/>
                  <w:vAlign w:val="center"/>
                </w:tcPr>
                <w:p>
                  <w:pPr>
                    <w:snapToGrid w:val="0"/>
                    <w:jc w:val="center"/>
                    <w:rPr>
                      <w:rFonts w:hint="eastAsia"/>
                      <w:szCs w:val="21"/>
                      <w:lang w:eastAsia="zh-CN"/>
                    </w:rPr>
                  </w:pPr>
                  <w:r>
                    <w:rPr>
                      <w:rFonts w:hint="eastAsia"/>
                      <w:szCs w:val="21"/>
                      <w:lang w:eastAsia="zh-CN"/>
                    </w:rPr>
                    <w:t>环卫部门统一清运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736" w:type="dxa"/>
                  <w:vAlign w:val="center"/>
                </w:tcPr>
                <w:p>
                  <w:pPr>
                    <w:jc w:val="center"/>
                    <w:rPr>
                      <w:szCs w:val="21"/>
                    </w:rPr>
                  </w:pPr>
                </w:p>
              </w:tc>
              <w:tc>
                <w:tcPr>
                  <w:tcW w:w="1128" w:type="dxa"/>
                  <w:vAlign w:val="center"/>
                </w:tcPr>
                <w:p>
                  <w:pPr>
                    <w:snapToGrid w:val="0"/>
                    <w:jc w:val="center"/>
                    <w:rPr>
                      <w:rFonts w:hint="default" w:eastAsia="宋体"/>
                      <w:kern w:val="24"/>
                      <w:szCs w:val="21"/>
                      <w:lang w:val="en-US" w:eastAsia="zh-CN"/>
                    </w:rPr>
                  </w:pPr>
                  <w:r>
                    <w:rPr>
                      <w:rFonts w:hint="eastAsia"/>
                      <w:kern w:val="24"/>
                      <w:szCs w:val="21"/>
                      <w:lang w:val="en-US" w:eastAsia="zh-CN"/>
                    </w:rPr>
                    <w:t>/</w:t>
                  </w:r>
                </w:p>
              </w:tc>
              <w:tc>
                <w:tcPr>
                  <w:tcW w:w="1185" w:type="dxa"/>
                  <w:vAlign w:val="center"/>
                </w:tcPr>
                <w:p>
                  <w:pPr>
                    <w:snapToGrid w:val="0"/>
                    <w:jc w:val="center"/>
                    <w:rPr>
                      <w:rFonts w:hint="default" w:eastAsia="宋体"/>
                      <w:szCs w:val="21"/>
                      <w:lang w:val="en-US" w:eastAsia="zh-CN"/>
                    </w:rPr>
                  </w:pPr>
                  <w:r>
                    <w:rPr>
                      <w:rFonts w:hint="eastAsia"/>
                      <w:szCs w:val="21"/>
                      <w:lang w:val="en-US" w:eastAsia="zh-CN"/>
                    </w:rPr>
                    <w:t>废包装桶</w:t>
                  </w:r>
                </w:p>
              </w:tc>
              <w:tc>
                <w:tcPr>
                  <w:tcW w:w="1707" w:type="dxa"/>
                  <w:vAlign w:val="center"/>
                </w:tcPr>
                <w:p>
                  <w:pPr>
                    <w:snapToGrid w:val="0"/>
                    <w:jc w:val="center"/>
                    <w:rPr>
                      <w:rFonts w:hint="default"/>
                      <w:kern w:val="24"/>
                      <w:szCs w:val="21"/>
                      <w:lang w:val="en-US" w:eastAsia="zh-CN"/>
                    </w:rPr>
                  </w:pPr>
                  <w:r>
                    <w:rPr>
                      <w:rFonts w:hint="eastAsia"/>
                      <w:kern w:val="24"/>
                      <w:szCs w:val="21"/>
                      <w:lang w:eastAsia="zh-CN"/>
                    </w:rPr>
                    <w:t>釉料</w:t>
                  </w:r>
                  <w:r>
                    <w:rPr>
                      <w:rFonts w:hint="eastAsia"/>
                      <w:kern w:val="24"/>
                      <w:szCs w:val="21"/>
                      <w:lang w:val="en-US" w:eastAsia="zh-CN"/>
                    </w:rPr>
                    <w:t>20kg塑料桶</w:t>
                  </w:r>
                </w:p>
              </w:tc>
              <w:tc>
                <w:tcPr>
                  <w:tcW w:w="1394" w:type="dxa"/>
                  <w:vAlign w:val="center"/>
                </w:tcPr>
                <w:p>
                  <w:pPr>
                    <w:snapToGrid w:val="0"/>
                    <w:jc w:val="center"/>
                    <w:rPr>
                      <w:rFonts w:hint="eastAsia" w:eastAsia="宋体"/>
                      <w:kern w:val="24"/>
                      <w:szCs w:val="21"/>
                      <w:lang w:eastAsia="zh-CN"/>
                    </w:rPr>
                  </w:pPr>
                  <w:r>
                    <w:rPr>
                      <w:rFonts w:hint="eastAsia"/>
                      <w:kern w:val="24"/>
                      <w:szCs w:val="21"/>
                      <w:lang w:eastAsia="zh-CN"/>
                    </w:rPr>
                    <w:t>间歇</w:t>
                  </w:r>
                </w:p>
              </w:tc>
              <w:tc>
                <w:tcPr>
                  <w:tcW w:w="2177" w:type="dxa"/>
                  <w:vAlign w:val="center"/>
                </w:tcPr>
                <w:p>
                  <w:pPr>
                    <w:snapToGrid w:val="0"/>
                    <w:jc w:val="center"/>
                    <w:rPr>
                      <w:rFonts w:hint="eastAsia"/>
                      <w:szCs w:val="21"/>
                      <w:lang w:eastAsia="zh-CN"/>
                    </w:rPr>
                  </w:pPr>
                  <w:r>
                    <w:rPr>
                      <w:rFonts w:hint="eastAsia"/>
                      <w:szCs w:val="21"/>
                      <w:lang w:eastAsia="zh-CN"/>
                    </w:rPr>
                    <w:t>供应商回收</w:t>
                  </w:r>
                </w:p>
              </w:tc>
            </w:tr>
          </w:tbl>
          <w:p>
            <w:pPr>
              <w:spacing w:line="360" w:lineRule="auto"/>
              <w:ind w:firstLine="480" w:firstLineChars="200"/>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390" w:type="dxa"/>
            <w:vAlign w:val="center"/>
          </w:tcPr>
          <w:p>
            <w:pPr>
              <w:pStyle w:val="32"/>
              <w:adjustRightInd w:val="0"/>
              <w:snapToGrid w:val="0"/>
              <w:spacing w:before="0" w:beforeAutospacing="0" w:after="0" w:afterAutospacing="0"/>
              <w:jc w:val="center"/>
              <w:rPr>
                <w:rFonts w:cs="宋体"/>
                <w:b/>
                <w:szCs w:val="24"/>
              </w:rPr>
            </w:pPr>
            <w:r>
              <w:rPr>
                <w:rFonts w:hint="eastAsia" w:cs="宋体"/>
                <w:b/>
                <w:bCs/>
                <w:kern w:val="2"/>
                <w:szCs w:val="24"/>
              </w:rPr>
              <w:t>与项目有关的原有环境污染问题</w:t>
            </w:r>
          </w:p>
        </w:tc>
        <w:tc>
          <w:tcPr>
            <w:tcW w:w="8666" w:type="dxa"/>
          </w:tcPr>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1、现场踏勘情况</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建设项目所在地现场勘查情况：</w:t>
            </w:r>
            <w:r>
              <w:rPr>
                <w:rFonts w:hint="default" w:ascii="Times New Roman" w:hAnsi="Times New Roman" w:eastAsia="宋体" w:cs="Times New Roman"/>
                <w:sz w:val="24"/>
                <w:szCs w:val="24"/>
                <w:lang w:eastAsia="zh-CN"/>
              </w:rPr>
              <w:t>中建材(宜兴)新能源有限公司前身为远东光电股份有限公司，远东光电股份有限公司成立于2004年，原名为宜兴市金运通微晶科技有限公司，位于宜兴市高塍镇桃园工业集中区，是一家专业从事微晶玻璃行业尖端产品研究、开发和制造的高新技术企业。2011年10月份宜兴市金运通微晶科技有限公司更名为远东光电股份有限公司。2016年6月，在宜兴市委市政府、高塍镇委镇政府的支持下，在宜兴产业扶持资金的撬动下，远东光电与凯盛科技集团、保利协鑫集团正式启动战略重组。2016年10月中建材(宜兴)新能源有限公司正式成立，2016年10月31日中建材(宜兴)新能源有限公司收购了远东光电股份有限公司的部分厂房和部分生产线(太阳能涂膜玻璃生产线)。</w:t>
            </w:r>
            <w:r>
              <w:rPr>
                <w:rFonts w:hint="default" w:ascii="Times New Roman" w:hAnsi="Times New Roman" w:eastAsia="宋体" w:cs="Times New Roman"/>
                <w:sz w:val="24"/>
                <w:szCs w:val="24"/>
                <w:lang w:val="en-US" w:eastAsia="zh-CN"/>
              </w:rPr>
              <w:t>2020年</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月</w:t>
            </w:r>
            <w:r>
              <w:rPr>
                <w:rFonts w:hint="default" w:ascii="Times New Roman" w:hAnsi="Times New Roman" w:eastAsia="宋体" w:cs="Times New Roman"/>
                <w:sz w:val="24"/>
                <w:szCs w:val="24"/>
                <w:lang w:eastAsia="zh-CN"/>
              </w:rPr>
              <w:t>中建材(宜兴)新能源有限公司经宜兴市行政审批局同意，购置国产激光打孔机、丝网印刷机、钢化炉等设备，采用先进的激光打孔技术、丝网印刷技术、超薄钢化技术，对原有公用设施进行适应性改造，形成了双玻背板生产线年加工达</w:t>
            </w:r>
            <w:r>
              <w:rPr>
                <w:rFonts w:hint="default" w:ascii="Times New Roman" w:hAnsi="Times New Roman" w:eastAsia="宋体" w:cs="Times New Roman"/>
                <w:sz w:val="24"/>
                <w:szCs w:val="24"/>
                <w:lang w:val="en-US" w:eastAsia="zh-CN"/>
              </w:rPr>
              <w:t>650万平方米的生产能力。</w:t>
            </w:r>
          </w:p>
          <w:p>
            <w:pPr>
              <w:pStyle w:val="2"/>
              <w:keepNext w:val="0"/>
              <w:keepLines w:val="0"/>
              <w:pageBreakBefore w:val="0"/>
              <w:widowControl/>
              <w:kinsoku/>
              <w:wordWrap/>
              <w:overflowPunct/>
              <w:topLinePunct w:val="0"/>
              <w:autoSpaceDE/>
              <w:autoSpaceDN/>
              <w:bidi w:val="0"/>
              <w:adjustRightInd/>
              <w:snapToGrid w:val="0"/>
              <w:spacing w:line="360" w:lineRule="auto"/>
              <w:ind w:right="113"/>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宜兴市金运通微晶科技有限公司《年产4800万m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太阳能涂膜玻璃生产线项目环境影响报告书》于2011年6月28日通过宜兴市环保局审批。该项目建设分两期完成，每期各建设一条生产线，一期为二窑四线(250t/d×2)，年产1600万m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太阳能涂膜玻璃；二期为二密八线(500/d×2)，年产3200万m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太阳能涂膜玻璃。实际建设时，一期工程中原辅材料发生了变动，与原环评出现了不符，2015年8月远东光电股份有限公司委托苏州科太环境技术有限公司对照实际情况，结合相关法律法规，对公司“年产4800万m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太阳能涂膜玻璃生产线项目”环境影响报告书进行调整补充评价，调整后最终产能将维持原4800万m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太阳能涂膜玻璃不变，仍在原有立项范围内。2015年10月21日由宜兴市环境保护局对该调整报告予以审批。2018年2月完成了一期工程的建设(一期为二窑四线(250t/d×2)，年产1600万m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太阳能涂膜玻璃)，进入试运行阶段。于2018年12月通过三同时”验收。</w:t>
            </w:r>
            <w:r>
              <w:rPr>
                <w:rFonts w:hint="default" w:ascii="Times New Roman" w:hAnsi="Times New Roman" w:eastAsia="宋体" w:cs="Times New Roman"/>
                <w:sz w:val="24"/>
                <w:szCs w:val="24"/>
                <w:lang w:eastAsia="zh-CN"/>
              </w:rPr>
              <w:t>中建材(宜兴)新能源有限公司</w:t>
            </w:r>
            <w:r>
              <w:rPr>
                <w:rFonts w:hint="default" w:ascii="Times New Roman" w:hAnsi="Times New Roman" w:eastAsia="宋体" w:cs="Times New Roman"/>
                <w:sz w:val="24"/>
                <w:szCs w:val="24"/>
                <w:lang w:val="en-US" w:eastAsia="zh-CN"/>
              </w:rPr>
              <w:t>《双玻组件用背板玻璃深加工项目环境影响报告书》于2020年</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月通过宜兴市环保局审批。企业于2020年7月安装设备，2020年8月进入试运行阶段，目前双玻背板生产线年加工能力达650万平方米。于2020年10月通过</w:t>
            </w:r>
            <w:r>
              <w:rPr>
                <w:rFonts w:hint="eastAsia" w:cs="Times New Roman"/>
                <w:sz w:val="24"/>
                <w:szCs w:val="24"/>
                <w:lang w:val="en-US" w:eastAsia="zh-CN"/>
              </w:rPr>
              <w:t>“</w:t>
            </w:r>
            <w:r>
              <w:rPr>
                <w:rFonts w:hint="default" w:ascii="Times New Roman" w:hAnsi="Times New Roman" w:eastAsia="宋体" w:cs="Times New Roman"/>
                <w:sz w:val="24"/>
                <w:szCs w:val="24"/>
                <w:lang w:val="en-US" w:eastAsia="zh-CN"/>
              </w:rPr>
              <w:t>三同时”验收。</w:t>
            </w:r>
          </w:p>
          <w:p>
            <w:pPr>
              <w:jc w:val="center"/>
              <w:rPr>
                <w:rFonts w:hint="default"/>
                <w:b/>
                <w:sz w:val="24"/>
                <w:szCs w:val="20"/>
                <w:lang w:eastAsia="zh-CN"/>
              </w:rPr>
            </w:pPr>
            <w:r>
              <w:rPr>
                <w:rFonts w:hint="default"/>
                <w:b/>
                <w:sz w:val="24"/>
                <w:szCs w:val="20"/>
              </w:rPr>
              <w:t>表2-</w:t>
            </w:r>
            <w:r>
              <w:rPr>
                <w:rFonts w:hint="default"/>
                <w:b/>
                <w:sz w:val="24"/>
                <w:szCs w:val="20"/>
                <w:lang w:val="en-US" w:eastAsia="zh-CN"/>
              </w:rPr>
              <w:t>7</w:t>
            </w:r>
            <w:r>
              <w:rPr>
                <w:rFonts w:hint="default"/>
                <w:b/>
                <w:sz w:val="24"/>
                <w:szCs w:val="20"/>
                <w:lang w:eastAsia="zh-CN"/>
              </w:rPr>
              <w:t>企业建设情况表</w:t>
            </w:r>
          </w:p>
          <w:tbl>
            <w:tblPr>
              <w:tblStyle w:val="36"/>
              <w:tblW w:w="498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84"/>
              <w:gridCol w:w="1706"/>
              <w:gridCol w:w="54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33" w:hRule="atLeast"/>
              </w:trPr>
              <w:tc>
                <w:tcPr>
                  <w:tcW w:w="1184" w:type="dxa"/>
                  <w:vAlign w:val="center"/>
                </w:tcPr>
                <w:p>
                  <w:pPr>
                    <w:snapToGrid w:val="0"/>
                    <w:jc w:val="center"/>
                    <w:rPr>
                      <w:rFonts w:hint="eastAsia"/>
                      <w:lang w:eastAsia="zh-CN"/>
                    </w:rPr>
                  </w:pPr>
                  <w:r>
                    <w:rPr>
                      <w:rFonts w:hint="eastAsia"/>
                      <w:lang w:eastAsia="zh-CN"/>
                    </w:rPr>
                    <w:t>序号</w:t>
                  </w:r>
                </w:p>
              </w:tc>
              <w:tc>
                <w:tcPr>
                  <w:tcW w:w="1706" w:type="dxa"/>
                  <w:vAlign w:val="center"/>
                </w:tcPr>
                <w:p>
                  <w:pPr>
                    <w:snapToGrid w:val="0"/>
                    <w:jc w:val="center"/>
                    <w:rPr>
                      <w:rFonts w:hint="eastAsia"/>
                      <w:lang w:eastAsia="zh-CN"/>
                    </w:rPr>
                  </w:pPr>
                  <w:r>
                    <w:rPr>
                      <w:rFonts w:hint="eastAsia"/>
                      <w:lang w:eastAsia="zh-CN"/>
                    </w:rPr>
                    <w:t>项目</w:t>
                  </w:r>
                </w:p>
              </w:tc>
              <w:tc>
                <w:tcPr>
                  <w:tcW w:w="5480" w:type="dxa"/>
                  <w:vAlign w:val="center"/>
                </w:tcPr>
                <w:p>
                  <w:pPr>
                    <w:snapToGrid w:val="0"/>
                    <w:jc w:val="center"/>
                    <w:rPr>
                      <w:rFonts w:hint="eastAsia"/>
                      <w:lang w:eastAsia="zh-CN"/>
                    </w:rPr>
                  </w:pPr>
                  <w:r>
                    <w:rPr>
                      <w:rFonts w:hint="eastAsia"/>
                      <w:lang w:eastAsia="zh-CN"/>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2" w:hRule="atLeast"/>
              </w:trPr>
              <w:tc>
                <w:tcPr>
                  <w:tcW w:w="1184" w:type="dxa"/>
                  <w:vMerge w:val="restart"/>
                  <w:vAlign w:val="center"/>
                </w:tcPr>
                <w:p>
                  <w:pPr>
                    <w:snapToGrid w:val="0"/>
                    <w:jc w:val="center"/>
                    <w:rPr>
                      <w:rFonts w:hint="default"/>
                      <w:lang w:val="en-US" w:eastAsia="zh-CN"/>
                    </w:rPr>
                  </w:pPr>
                  <w:r>
                    <w:rPr>
                      <w:rFonts w:hint="eastAsia"/>
                      <w:lang w:val="en-US" w:eastAsia="zh-CN"/>
                    </w:rPr>
                    <w:t>1</w:t>
                  </w:r>
                </w:p>
              </w:tc>
              <w:tc>
                <w:tcPr>
                  <w:tcW w:w="1706" w:type="dxa"/>
                  <w:vMerge w:val="restart"/>
                  <w:vAlign w:val="center"/>
                </w:tcPr>
                <w:p>
                  <w:pPr>
                    <w:snapToGrid w:val="0"/>
                    <w:jc w:val="center"/>
                    <w:rPr>
                      <w:rFonts w:hint="eastAsia"/>
                      <w:lang w:eastAsia="zh-CN"/>
                    </w:rPr>
                  </w:pPr>
                  <w:r>
                    <w:rPr>
                      <w:rFonts w:hint="eastAsia"/>
                      <w:lang w:eastAsia="zh-CN"/>
                    </w:rPr>
                    <w:t>环评编制</w:t>
                  </w:r>
                </w:p>
              </w:tc>
              <w:tc>
                <w:tcPr>
                  <w:tcW w:w="5480" w:type="dxa"/>
                  <w:vMerge w:val="restart"/>
                  <w:vAlign w:val="center"/>
                </w:tcPr>
                <w:p>
                  <w:pPr>
                    <w:snapToGrid w:val="0"/>
                    <w:jc w:val="center"/>
                    <w:rPr>
                      <w:rFonts w:hint="default"/>
                      <w:lang w:val="en-US" w:eastAsia="zh-CN"/>
                    </w:rPr>
                  </w:pPr>
                  <w:r>
                    <w:rPr>
                      <w:rFonts w:hint="eastAsia"/>
                      <w:lang w:val="en-US" w:eastAsia="zh-CN"/>
                    </w:rPr>
                    <w:t>2011年6月宜兴市金运通微晶科技有限公司委托北京嘉和绿洲环保技术投资有限公司编制了《年产4800万m2太阳能涂膜玻璃生产线项目环境影响报告书》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2" w:hRule="atLeast"/>
              </w:trPr>
              <w:tc>
                <w:tcPr>
                  <w:tcW w:w="1184" w:type="dxa"/>
                  <w:vMerge w:val="continue"/>
                  <w:vAlign w:val="center"/>
                </w:tcPr>
                <w:p>
                  <w:pPr>
                    <w:snapToGrid w:val="0"/>
                    <w:jc w:val="center"/>
                    <w:rPr>
                      <w:rFonts w:hint="eastAsia"/>
                      <w:lang w:eastAsia="zh-CN"/>
                    </w:rPr>
                  </w:pPr>
                </w:p>
              </w:tc>
              <w:tc>
                <w:tcPr>
                  <w:tcW w:w="1706" w:type="dxa"/>
                  <w:vMerge w:val="continue"/>
                  <w:vAlign w:val="center"/>
                </w:tcPr>
                <w:p>
                  <w:pPr>
                    <w:snapToGrid w:val="0"/>
                    <w:jc w:val="center"/>
                  </w:pPr>
                </w:p>
              </w:tc>
              <w:tc>
                <w:tcPr>
                  <w:tcW w:w="5480" w:type="dxa"/>
                  <w:vMerge w:val="continue"/>
                  <w:vAlign w:val="center"/>
                </w:tcPr>
                <w:p>
                  <w:pPr>
                    <w:snapToGrid w:val="0"/>
                    <w:jc w:val="center"/>
                    <w:rPr>
                      <w:rFonts w:hint="eastAsia"/>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184" w:type="dxa"/>
                  <w:vAlign w:val="center"/>
                </w:tcPr>
                <w:p>
                  <w:pPr>
                    <w:snapToGrid w:val="0"/>
                    <w:jc w:val="center"/>
                    <w:rPr>
                      <w:rFonts w:hint="default"/>
                      <w:lang w:val="en-US" w:eastAsia="zh-CN"/>
                    </w:rPr>
                  </w:pPr>
                  <w:r>
                    <w:rPr>
                      <w:rFonts w:hint="eastAsia"/>
                      <w:lang w:val="en-US" w:eastAsia="zh-CN"/>
                    </w:rPr>
                    <w:t>2</w:t>
                  </w:r>
                </w:p>
              </w:tc>
              <w:tc>
                <w:tcPr>
                  <w:tcW w:w="1706" w:type="dxa"/>
                  <w:vAlign w:val="center"/>
                </w:tcPr>
                <w:p>
                  <w:pPr>
                    <w:snapToGrid w:val="0"/>
                    <w:jc w:val="center"/>
                    <w:rPr>
                      <w:rFonts w:hint="eastAsia"/>
                      <w:lang w:eastAsia="zh-CN"/>
                    </w:rPr>
                  </w:pPr>
                  <w:r>
                    <w:rPr>
                      <w:rFonts w:hint="eastAsia"/>
                      <w:lang w:eastAsia="zh-CN"/>
                    </w:rPr>
                    <w:t>环评批复</w:t>
                  </w:r>
                </w:p>
              </w:tc>
              <w:tc>
                <w:tcPr>
                  <w:tcW w:w="5480" w:type="dxa"/>
                  <w:vAlign w:val="center"/>
                </w:tcPr>
                <w:p>
                  <w:pPr>
                    <w:snapToGrid w:val="0"/>
                    <w:jc w:val="center"/>
                    <w:rPr>
                      <w:rFonts w:hint="default"/>
                      <w:lang w:val="en-US" w:eastAsia="zh-CN"/>
                    </w:rPr>
                  </w:pPr>
                  <w:r>
                    <w:rPr>
                      <w:rFonts w:hint="eastAsia"/>
                      <w:lang w:val="en-US" w:eastAsia="zh-CN"/>
                    </w:rPr>
                    <w:t>2011年6月28日，宜兴市环保局对该环境影响报告书出具了批复（宜环发[2011]第43号）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184" w:type="dxa"/>
                  <w:vAlign w:val="center"/>
                </w:tcPr>
                <w:p>
                  <w:pPr>
                    <w:snapToGrid w:val="0"/>
                    <w:jc w:val="center"/>
                    <w:rPr>
                      <w:rFonts w:hint="default"/>
                      <w:lang w:val="en-US" w:eastAsia="zh-CN"/>
                    </w:rPr>
                  </w:pPr>
                  <w:r>
                    <w:rPr>
                      <w:rFonts w:hint="eastAsia"/>
                      <w:lang w:val="en-US" w:eastAsia="zh-CN"/>
                    </w:rPr>
                    <w:t>3</w:t>
                  </w:r>
                </w:p>
              </w:tc>
              <w:tc>
                <w:tcPr>
                  <w:tcW w:w="1706" w:type="dxa"/>
                  <w:vAlign w:val="center"/>
                </w:tcPr>
                <w:p>
                  <w:pPr>
                    <w:snapToGrid w:val="0"/>
                    <w:jc w:val="center"/>
                    <w:rPr>
                      <w:rFonts w:hint="eastAsia"/>
                      <w:lang w:eastAsia="zh-CN"/>
                    </w:rPr>
                  </w:pPr>
                  <w:r>
                    <w:rPr>
                      <w:rFonts w:hint="eastAsia"/>
                      <w:lang w:eastAsia="zh-CN"/>
                    </w:rPr>
                    <w:t>调整报告编制</w:t>
                  </w:r>
                </w:p>
              </w:tc>
              <w:tc>
                <w:tcPr>
                  <w:tcW w:w="5480" w:type="dxa"/>
                  <w:vAlign w:val="center"/>
                </w:tcPr>
                <w:p>
                  <w:pPr>
                    <w:snapToGrid w:val="0"/>
                    <w:jc w:val="center"/>
                    <w:rPr>
                      <w:rFonts w:hint="default"/>
                      <w:lang w:val="en-US" w:eastAsia="zh-CN"/>
                    </w:rPr>
                  </w:pPr>
                  <w:r>
                    <w:rPr>
                      <w:rFonts w:hint="eastAsia"/>
                      <w:lang w:val="en-US" w:eastAsia="zh-CN"/>
                    </w:rPr>
                    <w:t>2015年8月远东光电股份有限公司委托苏州科太环境技术有限公司对照实际情况，结合相关法律法规，对公司“年产4800万m2太阳能涂膜玻璃生产线项目”环境影响报告书进行调整补充评价。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184" w:type="dxa"/>
                  <w:vAlign w:val="center"/>
                </w:tcPr>
                <w:p>
                  <w:pPr>
                    <w:snapToGrid w:val="0"/>
                    <w:jc w:val="center"/>
                    <w:rPr>
                      <w:rFonts w:hint="default"/>
                      <w:lang w:val="en-US" w:eastAsia="zh-CN"/>
                    </w:rPr>
                  </w:pPr>
                  <w:r>
                    <w:rPr>
                      <w:rFonts w:hint="eastAsia"/>
                      <w:lang w:val="en-US" w:eastAsia="zh-CN"/>
                    </w:rPr>
                    <w:t>4</w:t>
                  </w:r>
                </w:p>
              </w:tc>
              <w:tc>
                <w:tcPr>
                  <w:tcW w:w="1706" w:type="dxa"/>
                  <w:vAlign w:val="center"/>
                </w:tcPr>
                <w:p>
                  <w:pPr>
                    <w:snapToGrid w:val="0"/>
                    <w:jc w:val="center"/>
                    <w:rPr>
                      <w:rFonts w:hint="eastAsia"/>
                      <w:lang w:eastAsia="zh-CN"/>
                    </w:rPr>
                  </w:pPr>
                  <w:r>
                    <w:rPr>
                      <w:rFonts w:hint="eastAsia"/>
                      <w:lang w:eastAsia="zh-CN"/>
                    </w:rPr>
                    <w:t>调整报告批复</w:t>
                  </w:r>
                </w:p>
              </w:tc>
              <w:tc>
                <w:tcPr>
                  <w:tcW w:w="5480" w:type="dxa"/>
                  <w:vAlign w:val="center"/>
                </w:tcPr>
                <w:p>
                  <w:pPr>
                    <w:snapToGrid w:val="0"/>
                    <w:jc w:val="center"/>
                    <w:rPr>
                      <w:rFonts w:hint="default"/>
                      <w:lang w:val="en-US" w:eastAsia="zh-CN"/>
                    </w:rPr>
                  </w:pPr>
                  <w:r>
                    <w:rPr>
                      <w:rFonts w:hint="eastAsia"/>
                      <w:lang w:val="en-US" w:eastAsia="zh-CN"/>
                    </w:rPr>
                    <w:t>2015年10月21日由宜兴市环境保护局对该调整报告予以审批。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184" w:type="dxa"/>
                  <w:vAlign w:val="center"/>
                </w:tcPr>
                <w:p>
                  <w:pPr>
                    <w:snapToGrid w:val="0"/>
                    <w:jc w:val="center"/>
                    <w:rPr>
                      <w:rFonts w:hint="default"/>
                      <w:lang w:val="en-US" w:eastAsia="zh-CN"/>
                    </w:rPr>
                  </w:pPr>
                  <w:r>
                    <w:rPr>
                      <w:rFonts w:hint="eastAsia"/>
                      <w:lang w:val="en-US" w:eastAsia="zh-CN"/>
                    </w:rPr>
                    <w:t>5</w:t>
                  </w:r>
                </w:p>
              </w:tc>
              <w:tc>
                <w:tcPr>
                  <w:tcW w:w="1706" w:type="dxa"/>
                  <w:vAlign w:val="center"/>
                </w:tcPr>
                <w:p>
                  <w:pPr>
                    <w:snapToGrid w:val="0"/>
                    <w:jc w:val="center"/>
                    <w:rPr>
                      <w:rFonts w:hint="eastAsia"/>
                      <w:lang w:eastAsia="zh-CN"/>
                    </w:rPr>
                  </w:pPr>
                  <w:r>
                    <w:rPr>
                      <w:rFonts w:hint="eastAsia"/>
                      <w:lang w:eastAsia="zh-CN"/>
                    </w:rPr>
                    <w:t>三同时验收情况</w:t>
                  </w:r>
                </w:p>
              </w:tc>
              <w:tc>
                <w:tcPr>
                  <w:tcW w:w="5480" w:type="dxa"/>
                  <w:vAlign w:val="center"/>
                </w:tcPr>
                <w:p>
                  <w:pPr>
                    <w:snapToGrid w:val="0"/>
                    <w:jc w:val="center"/>
                    <w:rPr>
                      <w:rFonts w:hint="default"/>
                      <w:lang w:val="en-US" w:eastAsia="zh-CN"/>
                    </w:rPr>
                  </w:pPr>
                  <w:r>
                    <w:rPr>
                      <w:rFonts w:hint="eastAsia"/>
                      <w:lang w:val="en-US" w:eastAsia="zh-CN"/>
                    </w:rPr>
                    <w:t>2018年12月企业通过“三同时”验收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184" w:type="dxa"/>
                  <w:vAlign w:val="center"/>
                </w:tcPr>
                <w:p>
                  <w:pPr>
                    <w:snapToGrid w:val="0"/>
                    <w:jc w:val="center"/>
                    <w:rPr>
                      <w:rFonts w:hint="default"/>
                      <w:lang w:val="en-US" w:eastAsia="zh-CN"/>
                    </w:rPr>
                  </w:pPr>
                  <w:r>
                    <w:rPr>
                      <w:rFonts w:hint="eastAsia"/>
                      <w:lang w:val="en-US" w:eastAsia="zh-CN"/>
                    </w:rPr>
                    <w:t>6</w:t>
                  </w:r>
                </w:p>
              </w:tc>
              <w:tc>
                <w:tcPr>
                  <w:tcW w:w="1706" w:type="dxa"/>
                  <w:vAlign w:val="center"/>
                </w:tcPr>
                <w:p>
                  <w:pPr>
                    <w:snapToGrid w:val="0"/>
                    <w:jc w:val="center"/>
                    <w:rPr>
                      <w:rFonts w:hint="eastAsia"/>
                      <w:lang w:eastAsia="zh-CN"/>
                    </w:rPr>
                  </w:pPr>
                  <w:r>
                    <w:rPr>
                      <w:rFonts w:hint="eastAsia"/>
                      <w:lang w:eastAsia="zh-CN"/>
                    </w:rPr>
                    <w:t>环评编制</w:t>
                  </w:r>
                </w:p>
              </w:tc>
              <w:tc>
                <w:tcPr>
                  <w:tcW w:w="5480" w:type="dxa"/>
                  <w:vAlign w:val="center"/>
                </w:tcPr>
                <w:p>
                  <w:pPr>
                    <w:snapToGrid w:val="0"/>
                    <w:jc w:val="center"/>
                    <w:rPr>
                      <w:rFonts w:hint="default"/>
                      <w:lang w:val="en-US" w:eastAsia="zh-CN"/>
                    </w:rPr>
                  </w:pPr>
                  <w:r>
                    <w:rPr>
                      <w:rFonts w:hint="eastAsia"/>
                      <w:lang w:val="en-US" w:eastAsia="zh-CN"/>
                    </w:rPr>
                    <w:t>2020年4月中建材(宜兴)新能源有限公司委托江苏兴盛环境科学研究院有限公司编制了《双玻组件用背板玻璃深加工项目环境影响报告书》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184" w:type="dxa"/>
                  <w:vAlign w:val="center"/>
                </w:tcPr>
                <w:p>
                  <w:pPr>
                    <w:snapToGrid w:val="0"/>
                    <w:jc w:val="center"/>
                    <w:rPr>
                      <w:rFonts w:hint="default"/>
                      <w:lang w:val="en-US" w:eastAsia="zh-CN"/>
                    </w:rPr>
                  </w:pPr>
                  <w:r>
                    <w:rPr>
                      <w:rFonts w:hint="eastAsia"/>
                      <w:lang w:val="en-US" w:eastAsia="zh-CN"/>
                    </w:rPr>
                    <w:t>7</w:t>
                  </w:r>
                </w:p>
              </w:tc>
              <w:tc>
                <w:tcPr>
                  <w:tcW w:w="1706" w:type="dxa"/>
                  <w:vAlign w:val="center"/>
                </w:tcPr>
                <w:p>
                  <w:pPr>
                    <w:snapToGrid w:val="0"/>
                    <w:jc w:val="center"/>
                    <w:rPr>
                      <w:rFonts w:hint="eastAsia"/>
                      <w:lang w:eastAsia="zh-CN"/>
                    </w:rPr>
                  </w:pPr>
                  <w:r>
                    <w:rPr>
                      <w:rFonts w:hint="eastAsia"/>
                      <w:lang w:eastAsia="zh-CN"/>
                    </w:rPr>
                    <w:t>环评批复</w:t>
                  </w:r>
                </w:p>
              </w:tc>
              <w:tc>
                <w:tcPr>
                  <w:tcW w:w="5480" w:type="dxa"/>
                  <w:vAlign w:val="center"/>
                </w:tcPr>
                <w:p>
                  <w:pPr>
                    <w:snapToGrid w:val="0"/>
                    <w:jc w:val="center"/>
                    <w:rPr>
                      <w:rFonts w:hint="eastAsia"/>
                      <w:lang w:eastAsia="zh-CN"/>
                    </w:rPr>
                  </w:pPr>
                  <w:r>
                    <w:rPr>
                      <w:rFonts w:hint="eastAsia"/>
                      <w:lang w:val="en-US" w:eastAsia="zh-CN"/>
                    </w:rPr>
                    <w:t>2020年6月28日，无锡市行政审批局对该环境影响报告书出具了批复（锡行审环许[2020]2216号）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184" w:type="dxa"/>
                  <w:vAlign w:val="center"/>
                </w:tcPr>
                <w:p>
                  <w:pPr>
                    <w:snapToGrid w:val="0"/>
                    <w:jc w:val="center"/>
                    <w:rPr>
                      <w:rFonts w:hint="default"/>
                      <w:lang w:val="en-US" w:eastAsia="zh-CN"/>
                    </w:rPr>
                  </w:pPr>
                  <w:r>
                    <w:rPr>
                      <w:rFonts w:hint="eastAsia"/>
                      <w:lang w:val="en-US" w:eastAsia="zh-CN"/>
                    </w:rPr>
                    <w:t>8</w:t>
                  </w:r>
                </w:p>
              </w:tc>
              <w:tc>
                <w:tcPr>
                  <w:tcW w:w="1706" w:type="dxa"/>
                  <w:vAlign w:val="center"/>
                </w:tcPr>
                <w:p>
                  <w:pPr>
                    <w:snapToGrid w:val="0"/>
                    <w:jc w:val="center"/>
                    <w:rPr>
                      <w:rFonts w:hint="eastAsia"/>
                      <w:lang w:eastAsia="zh-CN"/>
                    </w:rPr>
                  </w:pPr>
                  <w:r>
                    <w:rPr>
                      <w:rFonts w:hint="eastAsia"/>
                      <w:lang w:eastAsia="zh-CN"/>
                    </w:rPr>
                    <w:t>三同时验收情况</w:t>
                  </w:r>
                </w:p>
              </w:tc>
              <w:tc>
                <w:tcPr>
                  <w:tcW w:w="5480" w:type="dxa"/>
                  <w:vAlign w:val="center"/>
                </w:tcPr>
                <w:p>
                  <w:pPr>
                    <w:snapToGrid w:val="0"/>
                    <w:jc w:val="center"/>
                    <w:rPr>
                      <w:rFonts w:hint="default"/>
                      <w:lang w:val="en-US" w:eastAsia="zh-CN"/>
                    </w:rPr>
                  </w:pPr>
                  <w:r>
                    <w:rPr>
                      <w:rFonts w:hint="eastAsia"/>
                      <w:lang w:val="en-US" w:eastAsia="zh-CN"/>
                    </w:rPr>
                    <w:t>2020年10月企业通过“三同时”验收</w:t>
                  </w:r>
                </w:p>
              </w:tc>
            </w:tr>
          </w:tbl>
          <w:p>
            <w:pPr>
              <w:pStyle w:val="3"/>
              <w:numPr>
                <w:ilvl w:val="0"/>
                <w:numId w:val="0"/>
              </w:numPr>
              <w:rPr>
                <w:rFonts w:hint="default"/>
                <w:lang w:val="en-US" w:eastAsia="zh-CN"/>
              </w:rPr>
            </w:pP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2、依托工程情况</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建设项目供电兴市</w:t>
            </w:r>
            <w:r>
              <w:rPr>
                <w:rFonts w:hint="eastAsia" w:ascii="宋体" w:hAnsi="宋体" w:eastAsia="宋体" w:cs="宋体"/>
                <w:sz w:val="24"/>
                <w:szCs w:val="24"/>
                <w:lang w:eastAsia="zh-CN"/>
              </w:rPr>
              <w:t>高塍镇</w:t>
            </w:r>
            <w:r>
              <w:rPr>
                <w:rFonts w:hint="eastAsia" w:ascii="宋体" w:hAnsi="宋体" w:eastAsia="宋体" w:cs="宋体"/>
                <w:sz w:val="24"/>
                <w:szCs w:val="24"/>
              </w:rPr>
              <w:t>的供电部门供给，年供电量</w:t>
            </w:r>
            <w:r>
              <w:rPr>
                <w:rFonts w:hint="eastAsia" w:ascii="宋体" w:hAnsi="宋体" w:eastAsia="宋体" w:cs="宋体"/>
                <w:sz w:val="24"/>
                <w:szCs w:val="24"/>
                <w:lang w:val="en-US" w:eastAsia="zh-CN"/>
              </w:rPr>
              <w:t>1717</w:t>
            </w:r>
            <w:r>
              <w:rPr>
                <w:rFonts w:hint="eastAsia" w:ascii="宋体" w:hAnsi="宋体" w:eastAsia="宋体" w:cs="宋体"/>
                <w:sz w:val="24"/>
                <w:szCs w:val="24"/>
              </w:rPr>
              <w:t>万kWh；供水依托已建供水管道，由宜兴市</w:t>
            </w:r>
            <w:r>
              <w:rPr>
                <w:rFonts w:hint="eastAsia" w:ascii="宋体" w:hAnsi="宋体" w:eastAsia="宋体" w:cs="宋体"/>
                <w:sz w:val="24"/>
                <w:szCs w:val="24"/>
                <w:lang w:eastAsia="zh-CN"/>
              </w:rPr>
              <w:t>高塍镇</w:t>
            </w:r>
            <w:r>
              <w:rPr>
                <w:rFonts w:hint="eastAsia" w:ascii="宋体" w:hAnsi="宋体" w:eastAsia="宋体" w:cs="宋体"/>
                <w:sz w:val="24"/>
                <w:szCs w:val="24"/>
              </w:rPr>
              <w:t>供水部门供给，总供水</w:t>
            </w:r>
            <w:r>
              <w:rPr>
                <w:rFonts w:hint="eastAsia" w:ascii="宋体" w:hAnsi="宋体" w:cs="宋体"/>
                <w:sz w:val="24"/>
                <w:szCs w:val="24"/>
                <w:lang w:val="en-US" w:eastAsia="zh-CN"/>
              </w:rPr>
              <w:t>28</w:t>
            </w:r>
            <w:r>
              <w:rPr>
                <w:rFonts w:hint="eastAsia" w:ascii="宋体" w:hAnsi="宋体" w:eastAsia="宋体" w:cs="宋体"/>
                <w:sz w:val="24"/>
                <w:szCs w:val="24"/>
                <w:lang w:val="en-US" w:eastAsia="zh-CN"/>
              </w:rPr>
              <w:t>00</w:t>
            </w:r>
            <w:r>
              <w:rPr>
                <w:rFonts w:hint="eastAsia" w:ascii="宋体" w:hAnsi="宋体" w:eastAsia="宋体" w:cs="宋体"/>
                <w:sz w:val="24"/>
                <w:szCs w:val="24"/>
              </w:rPr>
              <w:t>t/a；排水依托</w:t>
            </w:r>
            <w:r>
              <w:rPr>
                <w:rFonts w:hint="eastAsia" w:ascii="宋体" w:hAnsi="宋体" w:eastAsia="宋体" w:cs="宋体"/>
                <w:sz w:val="24"/>
                <w:szCs w:val="24"/>
                <w:lang w:val="en-US" w:eastAsia="zh-CN"/>
              </w:rPr>
              <w:t>中建材(宜兴)新能源有限公司</w:t>
            </w:r>
            <w:r>
              <w:rPr>
                <w:rFonts w:hint="eastAsia" w:ascii="宋体" w:hAnsi="宋体" w:eastAsia="宋体" w:cs="宋体"/>
                <w:sz w:val="24"/>
                <w:szCs w:val="24"/>
              </w:rPr>
              <w:t>已建污水管网，将生活污水接管至</w:t>
            </w:r>
            <w:r>
              <w:rPr>
                <w:rFonts w:hint="eastAsia" w:ascii="宋体" w:hAnsi="宋体" w:eastAsia="宋体" w:cs="宋体"/>
                <w:sz w:val="24"/>
                <w:szCs w:val="24"/>
                <w:lang w:eastAsia="zh-CN"/>
              </w:rPr>
              <w:t>城市污水处理厂</w:t>
            </w:r>
            <w:r>
              <w:rPr>
                <w:rFonts w:hint="eastAsia" w:ascii="宋体" w:hAnsi="宋体" w:eastAsia="宋体" w:cs="宋体"/>
                <w:sz w:val="24"/>
                <w:szCs w:val="24"/>
              </w:rPr>
              <w:t>集中处理。</w:t>
            </w:r>
          </w:p>
          <w:p>
            <w:pPr>
              <w:numPr>
                <w:ilvl w:val="0"/>
                <w:numId w:val="3"/>
              </w:numPr>
              <w:adjustRightInd w:val="0"/>
              <w:snapToGrid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主要环境问题</w:t>
            </w:r>
          </w:p>
          <w:p>
            <w:pPr>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根据中建材（宜兴）新能源有限公司年产4800万m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太阳能涂膜玻璃生产线项目工程竣工环境保护验收监测报告、双玻组件用背板玻璃深加工项目工程竣工环境保护验收监测报告，原有污染情况如下：</w:t>
            </w:r>
          </w:p>
          <w:p>
            <w:pPr>
              <w:adjustRightInd w:val="0"/>
              <w:snapToGrid w:val="0"/>
              <w:spacing w:line="360" w:lineRule="auto"/>
              <w:ind w:firstLine="480" w:firstLineChars="2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 xml:space="preserve"> 废气：</w:t>
            </w:r>
            <w:r>
              <w:rPr>
                <w:rFonts w:hint="eastAsia" w:ascii="宋体" w:hAnsi="宋体" w:eastAsia="宋体" w:cs="宋体"/>
                <w:sz w:val="24"/>
                <w:szCs w:val="24"/>
                <w:lang w:val="en-US" w:eastAsia="zh-CN"/>
              </w:rPr>
              <w:t>太阳能涂抹玻璃生产线生产过程中产生的主要污染物为粉尘，原料运输、装卸、入库、堆放、出库产生粉尘；原材料制备系统配料等过程产生粉尘；生产车间窑头、投料平台产生粉尘；碎玻璃系统破碎、输送落料店产生粉尘；这些粉尘经袋式除尘器除尘后由排气筒排放，根据验收监测报告，粉尘有组织排放浓度及排放速率达到《大气污染物综合排放标准》（GB16297-1996）表2中二级标准最高允许排放浓度（粉尘≤120mg/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w:t>
            </w:r>
          </w:p>
          <w:p>
            <w:pPr>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太阳能涂抹玻璃生产线生产车间的玻璃熔窑产生的烟尘和SO</w:t>
            </w:r>
            <w:r>
              <w:rPr>
                <w:rFonts w:hint="eastAsia" w:ascii="宋体" w:hAnsi="宋体" w:eastAsia="宋体" w:cs="宋体"/>
                <w:sz w:val="24"/>
                <w:szCs w:val="24"/>
                <w:vertAlign w:val="subscript"/>
                <w:lang w:val="en-US" w:eastAsia="zh-CN"/>
              </w:rPr>
              <w:t>2</w:t>
            </w:r>
            <w:r>
              <w:rPr>
                <w:rFonts w:hint="eastAsia" w:ascii="宋体" w:hAnsi="宋体" w:eastAsia="宋体" w:cs="宋体"/>
                <w:sz w:val="24"/>
                <w:szCs w:val="24"/>
                <w:lang w:val="en-US" w:eastAsia="zh-CN"/>
              </w:rPr>
              <w:t>，经余热利用后直接由50m高烟囱1#排放。根据验收监测报告，玻璃熔窑烟气SO</w:t>
            </w:r>
            <w:r>
              <w:rPr>
                <w:rFonts w:hint="eastAsia" w:ascii="宋体" w:hAnsi="宋体" w:eastAsia="宋体" w:cs="宋体"/>
                <w:sz w:val="24"/>
                <w:szCs w:val="24"/>
                <w:vertAlign w:val="subscript"/>
                <w:lang w:val="en-US" w:eastAsia="zh-CN"/>
              </w:rPr>
              <w:t>2</w:t>
            </w:r>
            <w:r>
              <w:rPr>
                <w:rFonts w:hint="eastAsia" w:ascii="宋体" w:hAnsi="宋体" w:eastAsia="宋体" w:cs="宋体"/>
                <w:sz w:val="24"/>
                <w:szCs w:val="24"/>
                <w:lang w:val="en-US" w:eastAsia="zh-CN"/>
              </w:rPr>
              <w:t>和烟尘排放浓度达到《工业炉窑大气污染物排放标准》（GB9078-1996）表2、4二级标准（烟尘≤50mg/m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，SO</w:t>
            </w:r>
            <w:r>
              <w:rPr>
                <w:rFonts w:hint="eastAsia" w:ascii="宋体" w:hAnsi="宋体" w:eastAsia="宋体" w:cs="宋体"/>
                <w:sz w:val="24"/>
                <w:szCs w:val="24"/>
                <w:vertAlign w:val="subscript"/>
                <w:lang w:val="en-US" w:eastAsia="zh-CN"/>
              </w:rPr>
              <w:t>2</w:t>
            </w:r>
            <w:r>
              <w:rPr>
                <w:rFonts w:hint="eastAsia" w:ascii="宋体" w:hAnsi="宋体" w:eastAsia="宋体" w:cs="宋体"/>
                <w:sz w:val="24"/>
                <w:szCs w:val="24"/>
                <w:lang w:val="en-US" w:eastAsia="zh-CN"/>
              </w:rPr>
              <w:t>≤500mg/m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生产过程中未捕集的粉尘，经车间机械通风装置换气后呈无组织排放。根据验收监测报告，监测结果表明该企业厂界下风向各污染物无组织排放最高点排放浓度达到《大气污染物综合排放标准》（GB16297-1996）表2中无组织排放监控浓度标准限值（粉尘≤1.0mg/m</w:t>
            </w:r>
            <w:r>
              <w:rPr>
                <w:rFonts w:hint="eastAsia" w:ascii="宋体" w:hAnsi="宋体" w:eastAsia="宋体" w:cs="宋体"/>
                <w:sz w:val="24"/>
                <w:szCs w:val="24"/>
                <w:vertAlign w:val="superscript"/>
                <w:lang w:val="en-US" w:eastAsia="zh-CN"/>
              </w:rPr>
              <w:t>3</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背板玻璃深加工生产线</w:t>
            </w:r>
            <w:r>
              <w:rPr>
                <w:rFonts w:hint="default" w:ascii="宋体" w:hAnsi="宋体" w:eastAsia="宋体" w:cs="宋体"/>
                <w:sz w:val="24"/>
                <w:szCs w:val="24"/>
                <w:lang w:val="en-US" w:eastAsia="zh-CN"/>
              </w:rPr>
              <w:t>生产过程中丝网印刷、烘干工序产生的VOC</w:t>
            </w:r>
            <w:r>
              <w:rPr>
                <w:rFonts w:hint="eastAsia" w:ascii="宋体" w:hAnsi="宋体" w:cs="宋体"/>
                <w:sz w:val="24"/>
                <w:szCs w:val="24"/>
                <w:lang w:val="en-US" w:eastAsia="zh-CN"/>
              </w:rPr>
              <w:t>s</w:t>
            </w:r>
            <w:r>
              <w:rPr>
                <w:rFonts w:hint="default" w:ascii="宋体" w:hAnsi="宋体" w:eastAsia="宋体" w:cs="宋体"/>
                <w:sz w:val="24"/>
                <w:szCs w:val="24"/>
                <w:lang w:val="en-US" w:eastAsia="zh-CN"/>
              </w:rPr>
              <w:t>经二级活性炭吸附处理后其排放浓度范围为1.02~1.78mg/m</w:t>
            </w:r>
            <w:r>
              <w:rPr>
                <w:rFonts w:hint="default" w:ascii="宋体" w:hAnsi="宋体" w:eastAsia="宋体" w:cs="宋体"/>
                <w:sz w:val="24"/>
                <w:szCs w:val="24"/>
                <w:vertAlign w:val="superscript"/>
                <w:lang w:val="en-US" w:eastAsia="zh-CN"/>
              </w:rPr>
              <w:t>3</w:t>
            </w:r>
            <w:r>
              <w:rPr>
                <w:rFonts w:hint="default" w:ascii="宋体" w:hAnsi="宋体" w:eastAsia="宋体" w:cs="宋体"/>
                <w:sz w:val="24"/>
                <w:szCs w:val="24"/>
                <w:lang w:val="en-US" w:eastAsia="zh-CN"/>
              </w:rPr>
              <w:t>，排放速率最大值为0.01kg/h，满足《工业企业挥发性有机物排放控制标准》（DB12/524-2014）表2中“丝网印刷、印后加工工艺”标准。</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厂界无组织排放废气VOC</w:t>
            </w:r>
            <w:r>
              <w:rPr>
                <w:rFonts w:hint="eastAsia" w:ascii="宋体" w:hAnsi="宋体" w:eastAsia="宋体" w:cs="宋体"/>
                <w:sz w:val="24"/>
                <w:szCs w:val="24"/>
                <w:lang w:val="en-US" w:eastAsia="zh-CN"/>
              </w:rPr>
              <w:t>s</w:t>
            </w:r>
            <w:r>
              <w:rPr>
                <w:rFonts w:hint="default" w:ascii="宋体" w:hAnsi="宋体" w:eastAsia="宋体" w:cs="宋体"/>
                <w:sz w:val="24"/>
                <w:szCs w:val="24"/>
                <w:lang w:val="en-US" w:eastAsia="zh-CN"/>
              </w:rPr>
              <w:t>周界外浓度最高点为0.263mg/m</w:t>
            </w:r>
            <w:r>
              <w:rPr>
                <w:rFonts w:hint="default" w:ascii="宋体" w:hAnsi="宋体" w:eastAsia="宋体" w:cs="宋体"/>
                <w:sz w:val="24"/>
                <w:szCs w:val="24"/>
                <w:vertAlign w:val="superscript"/>
                <w:lang w:val="en-US" w:eastAsia="zh-CN"/>
              </w:rPr>
              <w:t>3</w:t>
            </w:r>
            <w:r>
              <w:rPr>
                <w:rFonts w:hint="default" w:ascii="宋体" w:hAnsi="宋体" w:eastAsia="宋体" w:cs="宋体"/>
                <w:sz w:val="24"/>
                <w:szCs w:val="24"/>
                <w:lang w:val="en-US" w:eastAsia="zh-CN"/>
              </w:rPr>
              <w:t>，满足《工业企业挥发性有机物排放控制标准》（DB12/524-2014）表5中其它行业标准。</w:t>
            </w:r>
            <w:r>
              <w:rPr>
                <w:rFonts w:hint="default" w:ascii="宋体" w:hAnsi="宋体" w:eastAsia="宋体" w:cs="宋体"/>
                <w:sz w:val="24"/>
                <w:szCs w:val="24"/>
                <w:lang w:eastAsia="zh-CN"/>
              </w:rPr>
              <w:t>厂界</w:t>
            </w:r>
            <w:r>
              <w:rPr>
                <w:rFonts w:hint="default" w:ascii="宋体" w:hAnsi="宋体" w:eastAsia="宋体" w:cs="宋体"/>
                <w:sz w:val="24"/>
                <w:szCs w:val="24"/>
              </w:rPr>
              <w:t>无组织</w:t>
            </w:r>
            <w:r>
              <w:rPr>
                <w:rFonts w:hint="default" w:ascii="宋体" w:hAnsi="宋体" w:eastAsia="宋体" w:cs="宋体"/>
                <w:sz w:val="24"/>
                <w:szCs w:val="24"/>
                <w:lang w:eastAsia="zh-CN"/>
              </w:rPr>
              <w:t>排放</w:t>
            </w:r>
            <w:r>
              <w:rPr>
                <w:rFonts w:hint="default" w:ascii="宋体" w:hAnsi="宋体" w:eastAsia="宋体" w:cs="宋体"/>
                <w:sz w:val="24"/>
                <w:szCs w:val="24"/>
              </w:rPr>
              <w:t>废气</w:t>
            </w:r>
            <w:r>
              <w:rPr>
                <w:rFonts w:hint="default" w:ascii="宋体" w:hAnsi="宋体" w:eastAsia="宋体" w:cs="宋体"/>
                <w:sz w:val="24"/>
                <w:szCs w:val="24"/>
                <w:lang w:val="en-US" w:eastAsia="zh-CN"/>
              </w:rPr>
              <w:t>颗粒物</w:t>
            </w:r>
            <w:r>
              <w:rPr>
                <w:rFonts w:hint="default" w:ascii="宋体" w:hAnsi="宋体" w:eastAsia="宋体" w:cs="宋体"/>
                <w:sz w:val="24"/>
                <w:szCs w:val="24"/>
              </w:rPr>
              <w:t>周界外浓度最高点为</w:t>
            </w:r>
            <w:r>
              <w:rPr>
                <w:rFonts w:hint="default" w:ascii="宋体" w:hAnsi="宋体" w:eastAsia="宋体" w:cs="宋体"/>
                <w:sz w:val="24"/>
                <w:szCs w:val="24"/>
                <w:lang w:val="en-US" w:eastAsia="zh-CN"/>
              </w:rPr>
              <w:t>0.285</w:t>
            </w:r>
            <w:r>
              <w:rPr>
                <w:rFonts w:hint="default" w:ascii="宋体" w:hAnsi="宋体" w:eastAsia="宋体" w:cs="宋体"/>
                <w:sz w:val="24"/>
                <w:szCs w:val="24"/>
              </w:rPr>
              <w:t>mg/m</w:t>
            </w:r>
            <w:r>
              <w:rPr>
                <w:rFonts w:hint="default" w:ascii="宋体" w:hAnsi="宋体" w:eastAsia="宋体" w:cs="宋体"/>
                <w:sz w:val="24"/>
                <w:szCs w:val="24"/>
                <w:vertAlign w:val="superscript"/>
              </w:rPr>
              <w:t>3</w:t>
            </w:r>
            <w:r>
              <w:rPr>
                <w:rFonts w:hint="default" w:ascii="宋体" w:hAnsi="宋体" w:eastAsia="宋体" w:cs="宋体"/>
                <w:sz w:val="24"/>
                <w:szCs w:val="24"/>
              </w:rPr>
              <w:t>，</w:t>
            </w:r>
            <w:r>
              <w:rPr>
                <w:rFonts w:hint="default" w:ascii="宋体" w:hAnsi="宋体" w:eastAsia="宋体" w:cs="宋体"/>
                <w:sz w:val="24"/>
                <w:szCs w:val="24"/>
                <w:lang w:val="en-US" w:eastAsia="zh-CN"/>
              </w:rPr>
              <w:t>满足《大气污染综合排放标准》（GB16297-1996）表2中标准。</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厂界内无组织排放废气VOC</w:t>
            </w:r>
            <w:r>
              <w:rPr>
                <w:rFonts w:hint="eastAsia" w:ascii="宋体" w:hAnsi="宋体" w:eastAsia="宋体" w:cs="宋体"/>
                <w:sz w:val="24"/>
                <w:szCs w:val="24"/>
                <w:lang w:val="en-US" w:eastAsia="zh-CN"/>
              </w:rPr>
              <w:t>s</w:t>
            </w:r>
            <w:r>
              <w:rPr>
                <w:rFonts w:hint="default" w:ascii="宋体" w:hAnsi="宋体" w:eastAsia="宋体" w:cs="宋体"/>
                <w:sz w:val="24"/>
                <w:szCs w:val="24"/>
                <w:lang w:val="en-US" w:eastAsia="zh-CN"/>
              </w:rPr>
              <w:t>周界外浓度最高点为0.507mg/m</w:t>
            </w:r>
            <w:r>
              <w:rPr>
                <w:rFonts w:hint="default" w:ascii="宋体" w:hAnsi="宋体" w:eastAsia="宋体" w:cs="宋体"/>
                <w:sz w:val="24"/>
                <w:szCs w:val="24"/>
                <w:vertAlign w:val="superscript"/>
                <w:lang w:val="en-US" w:eastAsia="zh-CN"/>
              </w:rPr>
              <w:t>3</w:t>
            </w:r>
            <w:r>
              <w:rPr>
                <w:rFonts w:hint="default" w:ascii="宋体" w:hAnsi="宋体" w:eastAsia="宋体" w:cs="宋体"/>
                <w:sz w:val="24"/>
                <w:szCs w:val="24"/>
                <w:lang w:val="en-US" w:eastAsia="zh-CN"/>
              </w:rPr>
              <w:t>，满足《挥发性有机物无组织排放控制标准》（GB37822-2019）表A1中特别排放限值。</w:t>
            </w:r>
          </w:p>
          <w:p>
            <w:pPr>
              <w:adjustRightInd w:val="0"/>
              <w:snapToGrid w:val="0"/>
              <w:spacing w:line="360" w:lineRule="auto"/>
              <w:ind w:firstLine="480" w:firstLineChars="2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废水：</w:t>
            </w:r>
            <w:r>
              <w:rPr>
                <w:rFonts w:hint="eastAsia" w:ascii="宋体" w:hAnsi="宋体" w:eastAsia="宋体" w:cs="宋体"/>
                <w:sz w:val="24"/>
                <w:szCs w:val="24"/>
                <w:lang w:val="en-US" w:eastAsia="zh-CN"/>
              </w:rPr>
              <w:t>太阳能涂抹玻璃生产线生产废水主要为磨边清洗废水，经混凝沉淀处理后达标回用，不外排；杂排水（包括余热锅炉排水和冷却塔排水）接管至宜兴市城市污水处理厂集中处理；生活污水经化粪池处理后接管至宜兴市城市污水处理厂集中处理，尾水排入武宜运河。根据验收监测报告，接管口废水中各污染物浓度满足</w:t>
            </w:r>
            <w:r>
              <w:rPr>
                <w:rFonts w:hint="default" w:ascii="宋体" w:hAnsi="宋体" w:eastAsia="宋体" w:cs="宋体"/>
                <w:sz w:val="24"/>
                <w:szCs w:val="24"/>
              </w:rPr>
              <w:t>《污水综合排放标准》（GB 8978-1996）表4中三级标准</w:t>
            </w:r>
            <w:r>
              <w:rPr>
                <w:rFonts w:hint="eastAsia" w:ascii="宋体" w:hAnsi="宋体" w:eastAsia="宋体" w:cs="宋体"/>
                <w:sz w:val="24"/>
                <w:szCs w:val="24"/>
                <w:lang w:eastAsia="zh-CN"/>
              </w:rPr>
              <w:t>及</w:t>
            </w:r>
            <w:r>
              <w:rPr>
                <w:rFonts w:hint="default" w:ascii="宋体" w:hAnsi="宋体" w:eastAsia="宋体" w:cs="宋体"/>
                <w:sz w:val="24"/>
                <w:szCs w:val="24"/>
              </w:rPr>
              <w:t>《污水排入城镇下水道水质标准》（GB/T31962-2015）表1中B等级标准要求</w:t>
            </w:r>
            <w:r>
              <w:rPr>
                <w:rFonts w:hint="eastAsia" w:ascii="宋体" w:hAnsi="宋体" w:eastAsia="宋体" w:cs="宋体"/>
                <w:sz w:val="24"/>
                <w:szCs w:val="24"/>
                <w:lang w:eastAsia="zh-CN"/>
              </w:rPr>
              <w:t>。</w:t>
            </w:r>
          </w:p>
          <w:p>
            <w:pPr>
              <w:adjustRightInd w:val="0"/>
              <w:snapToGrid w:val="0"/>
              <w:spacing w:line="360" w:lineRule="auto"/>
              <w:ind w:firstLine="480" w:firstLineChars="200"/>
              <w:rPr>
                <w:rFonts w:hint="default" w:ascii="宋体" w:hAnsi="宋体" w:eastAsia="宋体" w:cs="宋体"/>
                <w:sz w:val="24"/>
                <w:szCs w:val="24"/>
                <w:lang w:eastAsia="zh-CN"/>
              </w:rPr>
            </w:pPr>
            <w:r>
              <w:rPr>
                <w:rFonts w:hint="eastAsia" w:ascii="宋体" w:hAnsi="宋体" w:eastAsia="宋体" w:cs="宋体"/>
                <w:sz w:val="24"/>
                <w:szCs w:val="24"/>
                <w:lang w:val="en-US" w:eastAsia="zh-CN"/>
              </w:rPr>
              <w:t>背板玻璃深加工生产线</w:t>
            </w:r>
            <w:r>
              <w:rPr>
                <w:rFonts w:hint="default" w:ascii="宋体" w:hAnsi="宋体" w:eastAsia="宋体" w:cs="宋体"/>
                <w:sz w:val="24"/>
                <w:szCs w:val="24"/>
                <w:lang w:val="en-US" w:eastAsia="zh-CN"/>
              </w:rPr>
              <w:t>生产废水主要为磨边清洗废水，经混凝沉淀处理后达标回用，不外排；</w:t>
            </w:r>
            <w:r>
              <w:rPr>
                <w:rFonts w:hint="eastAsia" w:ascii="宋体" w:hAnsi="宋体" w:eastAsia="宋体" w:cs="宋体"/>
                <w:sz w:val="24"/>
                <w:szCs w:val="24"/>
                <w:lang w:val="en-US" w:eastAsia="zh-CN"/>
              </w:rPr>
              <w:t>背板玻璃深加工生产线</w:t>
            </w:r>
            <w:r>
              <w:rPr>
                <w:rFonts w:hint="default" w:ascii="宋体" w:hAnsi="宋体" w:eastAsia="宋体" w:cs="宋体"/>
                <w:sz w:val="24"/>
                <w:szCs w:val="24"/>
              </w:rPr>
              <w:t>生活污水中pH值、悬浮物、化学需氧量满足《污水综合排放标准》（GB 8978-1996）表4中三级标准，标准中无规定的氨氮</w:t>
            </w:r>
            <w:r>
              <w:rPr>
                <w:rFonts w:hint="default" w:ascii="宋体" w:hAnsi="宋体" w:eastAsia="宋体" w:cs="宋体"/>
                <w:sz w:val="24"/>
                <w:szCs w:val="24"/>
                <w:lang w:eastAsia="zh-CN"/>
              </w:rPr>
              <w:t>、</w:t>
            </w:r>
            <w:r>
              <w:rPr>
                <w:rFonts w:hint="default" w:ascii="宋体" w:hAnsi="宋体" w:eastAsia="宋体" w:cs="宋体"/>
                <w:sz w:val="24"/>
                <w:szCs w:val="24"/>
              </w:rPr>
              <w:t>总磷</w:t>
            </w:r>
            <w:r>
              <w:rPr>
                <w:rFonts w:hint="default" w:ascii="宋体" w:hAnsi="宋体" w:eastAsia="宋体" w:cs="宋体"/>
                <w:sz w:val="24"/>
                <w:szCs w:val="24"/>
                <w:lang w:eastAsia="zh-CN"/>
              </w:rPr>
              <w:t>和总氮</w:t>
            </w:r>
            <w:r>
              <w:rPr>
                <w:rFonts w:hint="default" w:ascii="宋体" w:hAnsi="宋体" w:eastAsia="宋体" w:cs="宋体"/>
                <w:sz w:val="24"/>
                <w:szCs w:val="24"/>
              </w:rPr>
              <w:t>指标满足《污水排入城镇下水道水质标准》（GB/T31962-2015）表1中B等级标准要求</w:t>
            </w:r>
            <w:r>
              <w:rPr>
                <w:rFonts w:hint="default" w:ascii="宋体" w:hAnsi="宋体" w:eastAsia="宋体" w:cs="宋体"/>
                <w:sz w:val="24"/>
                <w:szCs w:val="24"/>
                <w:lang w:eastAsia="zh-CN"/>
              </w:rPr>
              <w:t>。</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噪声：项目厂界噪声排放均满足</w:t>
            </w:r>
            <w:r>
              <w:rPr>
                <w:rFonts w:hint="eastAsia" w:ascii="宋体" w:hAnsi="宋体" w:eastAsia="宋体" w:cs="宋体"/>
                <w:sz w:val="24"/>
                <w:szCs w:val="24"/>
                <w:lang w:val="en-US" w:eastAsia="zh-CN"/>
              </w:rPr>
              <w:t>《工业企业厂界环境噪声排放标准》</w:t>
            </w:r>
            <w:r>
              <w:rPr>
                <w:rFonts w:hint="default" w:ascii="宋体" w:hAnsi="宋体" w:eastAsia="宋体" w:cs="宋体"/>
                <w:sz w:val="24"/>
                <w:szCs w:val="24"/>
                <w:lang w:val="en-US" w:eastAsia="zh-CN"/>
              </w:rPr>
              <w:t>（GB12348-2008）2类标准，昼间≤60dB(A)，夜间≤50dB(A)，符合环评批复要求</w:t>
            </w:r>
            <w:r>
              <w:rPr>
                <w:rFonts w:hint="eastAsia" w:ascii="宋体" w:hAnsi="宋体" w:eastAsia="宋体" w:cs="宋体"/>
                <w:sz w:val="24"/>
                <w:szCs w:val="24"/>
                <w:lang w:val="en-US" w:eastAsia="zh-CN"/>
              </w:rPr>
              <w:t>。</w:t>
            </w:r>
          </w:p>
          <w:p>
            <w:pPr>
              <w:adjustRightInd w:val="0"/>
              <w:snapToGrid w:val="0"/>
              <w:spacing w:line="360" w:lineRule="auto"/>
              <w:ind w:firstLine="480" w:firstLineChars="2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固废：</w:t>
            </w:r>
            <w:r>
              <w:rPr>
                <w:rFonts w:hint="eastAsia" w:ascii="宋体" w:hAnsi="宋体" w:eastAsia="宋体" w:cs="宋体"/>
                <w:sz w:val="24"/>
                <w:szCs w:val="24"/>
                <w:lang w:val="en-US" w:eastAsia="zh-CN"/>
              </w:rPr>
              <w:t>太阳能涂抹玻璃生产线固体废物主要有生产过程中产生的碎玻璃，熔窑检修时产生的废耐火材料、布袋除尘器收集的粉尘、沉淀池污泥（含脱硫渣）以及职工生产过程中产生的边角料收集后出售给相应公司回收利用。其中碎玻璃及布袋除尘器收集的粉尘收集后作为熟料回用于生产，废耐火材料由厂家回收利用，沉淀池污泥（含脱硫渣）外售做建材。</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背板玻璃深加工生产线</w:t>
            </w:r>
            <w:r>
              <w:rPr>
                <w:rFonts w:hint="default" w:ascii="宋体" w:hAnsi="宋体" w:eastAsia="宋体" w:cs="宋体"/>
                <w:sz w:val="24"/>
                <w:szCs w:val="24"/>
                <w:lang w:val="en-US" w:eastAsia="zh-CN"/>
              </w:rPr>
              <w:t>废包装桶由供应商回收，不需要修复和加工即可用于其原始用途，故不作为固体废物管理。激光打孔工序产生玻璃碎屑，检测工序产生不合格品，激光打孔机配套吸尘装置收集粉尘，废水处理沉淀池污泥均出售相关单位。活性炭吸附装置产生废活性炭属于危废（HW49），委托无锡市工业废物安全处置有限公司处置；固废实现零排放，不会造成二次污染。固体废物做到零排放，对周围环境无影响。</w:t>
            </w:r>
          </w:p>
          <w:p>
            <w:pPr>
              <w:jc w:val="center"/>
              <w:rPr>
                <w:rFonts w:hint="default"/>
                <w:b/>
                <w:sz w:val="24"/>
                <w:szCs w:val="20"/>
                <w:lang w:val="en-US" w:eastAsia="zh-CN"/>
              </w:rPr>
            </w:pPr>
            <w:r>
              <w:rPr>
                <w:rFonts w:hint="default"/>
                <w:b/>
                <w:sz w:val="24"/>
                <w:szCs w:val="20"/>
              </w:rPr>
              <w:t>表2-</w:t>
            </w:r>
            <w:r>
              <w:rPr>
                <w:rFonts w:hint="eastAsia"/>
                <w:b/>
                <w:sz w:val="24"/>
                <w:szCs w:val="20"/>
                <w:lang w:val="en-US" w:eastAsia="zh-CN"/>
              </w:rPr>
              <w:t>8  原有污染物排放量汇总表</w:t>
            </w:r>
          </w:p>
          <w:tbl>
            <w:tblPr>
              <w:tblStyle w:val="36"/>
              <w:tblW w:w="476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747"/>
              <w:gridCol w:w="920"/>
              <w:gridCol w:w="1218"/>
              <w:gridCol w:w="1705"/>
              <w:gridCol w:w="1705"/>
              <w:gridCol w:w="17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33" w:hRule="atLeast"/>
              </w:trPr>
              <w:tc>
                <w:tcPr>
                  <w:tcW w:w="1667" w:type="dxa"/>
                  <w:gridSpan w:val="2"/>
                  <w:vAlign w:val="center"/>
                </w:tcPr>
                <w:p>
                  <w:pPr>
                    <w:snapToGrid w:val="0"/>
                    <w:jc w:val="center"/>
                    <w:rPr>
                      <w:rFonts w:hint="eastAsia"/>
                      <w:lang w:eastAsia="zh-CN"/>
                    </w:rPr>
                  </w:pPr>
                  <w:r>
                    <w:rPr>
                      <w:rFonts w:hint="eastAsia"/>
                      <w:lang w:eastAsia="zh-CN"/>
                    </w:rPr>
                    <w:t>种类</w:t>
                  </w:r>
                </w:p>
              </w:tc>
              <w:tc>
                <w:tcPr>
                  <w:tcW w:w="1218" w:type="dxa"/>
                  <w:vAlign w:val="center"/>
                </w:tcPr>
                <w:p>
                  <w:pPr>
                    <w:snapToGrid w:val="0"/>
                    <w:jc w:val="center"/>
                    <w:rPr>
                      <w:rFonts w:hint="eastAsia"/>
                      <w:lang w:eastAsia="zh-CN"/>
                    </w:rPr>
                  </w:pPr>
                  <w:r>
                    <w:rPr>
                      <w:rFonts w:hint="eastAsia"/>
                      <w:lang w:eastAsia="zh-CN"/>
                    </w:rPr>
                    <w:t>污染物名称</w:t>
                  </w:r>
                </w:p>
              </w:tc>
              <w:tc>
                <w:tcPr>
                  <w:tcW w:w="1705" w:type="dxa"/>
                  <w:vAlign w:val="center"/>
                </w:tcPr>
                <w:p>
                  <w:pPr>
                    <w:snapToGrid w:val="0"/>
                    <w:jc w:val="center"/>
                    <w:rPr>
                      <w:rFonts w:hint="eastAsia"/>
                      <w:lang w:eastAsia="zh-CN"/>
                    </w:rPr>
                  </w:pPr>
                  <w:r>
                    <w:rPr>
                      <w:rFonts w:hint="eastAsia"/>
                      <w:lang w:eastAsia="zh-CN"/>
                    </w:rPr>
                    <w:t>接管量</w:t>
                  </w:r>
                </w:p>
              </w:tc>
              <w:tc>
                <w:tcPr>
                  <w:tcW w:w="1705" w:type="dxa"/>
                  <w:vAlign w:val="center"/>
                </w:tcPr>
                <w:p>
                  <w:pPr>
                    <w:snapToGrid w:val="0"/>
                    <w:jc w:val="center"/>
                    <w:rPr>
                      <w:rFonts w:hint="eastAsia"/>
                      <w:lang w:eastAsia="zh-CN"/>
                    </w:rPr>
                  </w:pPr>
                  <w:r>
                    <w:rPr>
                      <w:rFonts w:hint="eastAsia"/>
                      <w:lang w:eastAsia="zh-CN"/>
                    </w:rPr>
                    <w:t>排放量</w:t>
                  </w:r>
                </w:p>
              </w:tc>
              <w:tc>
                <w:tcPr>
                  <w:tcW w:w="1705" w:type="dxa"/>
                  <w:vAlign w:val="center"/>
                </w:tcPr>
                <w:p>
                  <w:pPr>
                    <w:snapToGrid w:val="0"/>
                    <w:jc w:val="center"/>
                    <w:rPr>
                      <w:rFonts w:hint="eastAsia"/>
                      <w:lang w:eastAsia="zh-CN"/>
                    </w:rPr>
                  </w:pPr>
                  <w:r>
                    <w:rPr>
                      <w:rFonts w:hint="eastAsia"/>
                      <w:lang w:eastAsia="zh-CN"/>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667" w:type="dxa"/>
                  <w:gridSpan w:val="2"/>
                  <w:vMerge w:val="restart"/>
                  <w:vAlign w:val="center"/>
                </w:tcPr>
                <w:p>
                  <w:pPr>
                    <w:snapToGrid w:val="0"/>
                    <w:jc w:val="center"/>
                    <w:rPr>
                      <w:rFonts w:hint="default"/>
                      <w:lang w:val="en-US" w:eastAsia="zh-CN"/>
                    </w:rPr>
                  </w:pPr>
                  <w:r>
                    <w:rPr>
                      <w:rFonts w:hint="eastAsia"/>
                      <w:lang w:val="en-US" w:eastAsia="zh-CN"/>
                    </w:rPr>
                    <w:t>废水</w:t>
                  </w:r>
                </w:p>
              </w:tc>
              <w:tc>
                <w:tcPr>
                  <w:tcW w:w="1218" w:type="dxa"/>
                  <w:vAlign w:val="center"/>
                </w:tcPr>
                <w:p>
                  <w:pPr>
                    <w:snapToGrid w:val="0"/>
                    <w:jc w:val="center"/>
                    <w:rPr>
                      <w:rFonts w:hint="eastAsia"/>
                      <w:lang w:eastAsia="zh-CN"/>
                    </w:rPr>
                  </w:pPr>
                  <w:r>
                    <w:rPr>
                      <w:rFonts w:hint="eastAsia"/>
                      <w:lang w:eastAsia="zh-CN"/>
                    </w:rPr>
                    <w:t>废水量</w:t>
                  </w:r>
                </w:p>
              </w:tc>
              <w:tc>
                <w:tcPr>
                  <w:tcW w:w="1705" w:type="dxa"/>
                  <w:vAlign w:val="center"/>
                </w:tcPr>
                <w:p>
                  <w:pPr>
                    <w:snapToGrid w:val="0"/>
                    <w:jc w:val="center"/>
                    <w:rPr>
                      <w:rFonts w:hint="default"/>
                      <w:lang w:val="en-US" w:eastAsia="zh-CN"/>
                    </w:rPr>
                  </w:pPr>
                  <w:r>
                    <w:rPr>
                      <w:rFonts w:hint="eastAsia"/>
                      <w:lang w:val="en-US" w:eastAsia="zh-CN"/>
                    </w:rPr>
                    <w:t>24350</w:t>
                  </w:r>
                </w:p>
              </w:tc>
              <w:tc>
                <w:tcPr>
                  <w:tcW w:w="1705" w:type="dxa"/>
                  <w:vAlign w:val="center"/>
                </w:tcPr>
                <w:p>
                  <w:pPr>
                    <w:snapToGrid w:val="0"/>
                    <w:jc w:val="center"/>
                    <w:rPr>
                      <w:rFonts w:hint="default"/>
                      <w:lang w:val="en-US" w:eastAsia="zh-CN"/>
                    </w:rPr>
                  </w:pPr>
                  <w:r>
                    <w:rPr>
                      <w:rFonts w:hint="eastAsia"/>
                      <w:lang w:val="en-US" w:eastAsia="zh-CN"/>
                    </w:rPr>
                    <w:t>24350</w:t>
                  </w:r>
                </w:p>
              </w:tc>
              <w:tc>
                <w:tcPr>
                  <w:tcW w:w="1705" w:type="dxa"/>
                  <w:vMerge w:val="restart"/>
                  <w:vAlign w:val="center"/>
                </w:tcPr>
                <w:p>
                  <w:pPr>
                    <w:snapToGrid w:val="0"/>
                    <w:jc w:val="center"/>
                    <w:rPr>
                      <w:rFonts w:hint="eastAsia"/>
                      <w:lang w:eastAsia="zh-CN"/>
                    </w:rPr>
                  </w:pPr>
                  <w:r>
                    <w:rPr>
                      <w:rFonts w:hint="eastAsia"/>
                      <w:lang w:val="en-US" w:eastAsia="zh-CN"/>
                    </w:rPr>
                    <w:t>接入宜兴市城市污水处理厂集中处理，尾水排入武宜运河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667" w:type="dxa"/>
                  <w:gridSpan w:val="2"/>
                  <w:vMerge w:val="continue"/>
                  <w:vAlign w:val="center"/>
                </w:tcPr>
                <w:p>
                  <w:pPr>
                    <w:snapToGrid w:val="0"/>
                    <w:jc w:val="center"/>
                    <w:rPr>
                      <w:rFonts w:hint="default"/>
                      <w:lang w:val="en-US" w:eastAsia="zh-CN"/>
                    </w:rPr>
                  </w:pPr>
                </w:p>
              </w:tc>
              <w:tc>
                <w:tcPr>
                  <w:tcW w:w="1218" w:type="dxa"/>
                  <w:vAlign w:val="center"/>
                </w:tcPr>
                <w:p>
                  <w:pPr>
                    <w:snapToGrid w:val="0"/>
                    <w:jc w:val="center"/>
                    <w:rPr>
                      <w:rFonts w:hint="default"/>
                      <w:lang w:val="en-US" w:eastAsia="zh-CN"/>
                    </w:rPr>
                  </w:pPr>
                  <w:r>
                    <w:rPr>
                      <w:rFonts w:hint="eastAsia"/>
                      <w:lang w:val="en-US" w:eastAsia="zh-CN"/>
                    </w:rPr>
                    <w:t>COD</w:t>
                  </w:r>
                </w:p>
              </w:tc>
              <w:tc>
                <w:tcPr>
                  <w:tcW w:w="1705" w:type="dxa"/>
                  <w:vAlign w:val="center"/>
                </w:tcPr>
                <w:p>
                  <w:pPr>
                    <w:snapToGrid w:val="0"/>
                    <w:jc w:val="center"/>
                    <w:rPr>
                      <w:rFonts w:hint="default"/>
                      <w:lang w:val="en-US" w:eastAsia="zh-CN"/>
                    </w:rPr>
                  </w:pPr>
                  <w:r>
                    <w:rPr>
                      <w:rFonts w:hint="eastAsia"/>
                      <w:lang w:val="en-US" w:eastAsia="zh-CN"/>
                    </w:rPr>
                    <w:t>6.06</w:t>
                  </w:r>
                </w:p>
              </w:tc>
              <w:tc>
                <w:tcPr>
                  <w:tcW w:w="1705" w:type="dxa"/>
                  <w:vAlign w:val="center"/>
                </w:tcPr>
                <w:p>
                  <w:pPr>
                    <w:snapToGrid w:val="0"/>
                    <w:jc w:val="center"/>
                    <w:rPr>
                      <w:rFonts w:hint="default"/>
                      <w:lang w:val="en-US" w:eastAsia="zh-CN"/>
                    </w:rPr>
                  </w:pPr>
                  <w:r>
                    <w:rPr>
                      <w:rFonts w:hint="eastAsia"/>
                      <w:lang w:val="en-US" w:eastAsia="zh-CN"/>
                    </w:rPr>
                    <w:t>1.208</w:t>
                  </w:r>
                </w:p>
              </w:tc>
              <w:tc>
                <w:tcPr>
                  <w:tcW w:w="1705" w:type="dxa"/>
                  <w:vMerge w:val="continue"/>
                  <w:vAlign w:val="center"/>
                </w:tcPr>
                <w:p>
                  <w:pPr>
                    <w:snapToGrid w:val="0"/>
                    <w:jc w:val="center"/>
                    <w:rPr>
                      <w:rFonts w:hint="eastAsia"/>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667" w:type="dxa"/>
                  <w:gridSpan w:val="2"/>
                  <w:vMerge w:val="continue"/>
                  <w:vAlign w:val="center"/>
                </w:tcPr>
                <w:p>
                  <w:pPr>
                    <w:snapToGrid w:val="0"/>
                    <w:jc w:val="center"/>
                    <w:rPr>
                      <w:rFonts w:hint="default"/>
                      <w:lang w:val="en-US" w:eastAsia="zh-CN"/>
                    </w:rPr>
                  </w:pPr>
                </w:p>
              </w:tc>
              <w:tc>
                <w:tcPr>
                  <w:tcW w:w="1218" w:type="dxa"/>
                  <w:vAlign w:val="center"/>
                </w:tcPr>
                <w:p>
                  <w:pPr>
                    <w:snapToGrid w:val="0"/>
                    <w:jc w:val="center"/>
                    <w:rPr>
                      <w:rFonts w:hint="default"/>
                      <w:lang w:val="en-US" w:eastAsia="zh-CN"/>
                    </w:rPr>
                  </w:pPr>
                  <w:r>
                    <w:rPr>
                      <w:rFonts w:hint="eastAsia"/>
                      <w:lang w:val="en-US" w:eastAsia="zh-CN"/>
                    </w:rPr>
                    <w:t>SS</w:t>
                  </w:r>
                </w:p>
              </w:tc>
              <w:tc>
                <w:tcPr>
                  <w:tcW w:w="1705" w:type="dxa"/>
                  <w:vAlign w:val="center"/>
                </w:tcPr>
                <w:p>
                  <w:pPr>
                    <w:snapToGrid w:val="0"/>
                    <w:jc w:val="center"/>
                    <w:rPr>
                      <w:rFonts w:hint="default"/>
                      <w:lang w:val="en-US" w:eastAsia="zh-CN"/>
                    </w:rPr>
                  </w:pPr>
                  <w:r>
                    <w:rPr>
                      <w:rFonts w:hint="eastAsia"/>
                      <w:lang w:val="en-US" w:eastAsia="zh-CN"/>
                    </w:rPr>
                    <w:t>4.617</w:t>
                  </w:r>
                </w:p>
              </w:tc>
              <w:tc>
                <w:tcPr>
                  <w:tcW w:w="1705" w:type="dxa"/>
                  <w:vAlign w:val="center"/>
                </w:tcPr>
                <w:p>
                  <w:pPr>
                    <w:snapToGrid w:val="0"/>
                    <w:jc w:val="center"/>
                    <w:rPr>
                      <w:rFonts w:hint="default"/>
                      <w:lang w:val="en-US" w:eastAsia="zh-CN"/>
                    </w:rPr>
                  </w:pPr>
                  <w:r>
                    <w:rPr>
                      <w:rFonts w:hint="eastAsia"/>
                      <w:lang w:val="en-US" w:eastAsia="zh-CN"/>
                    </w:rPr>
                    <w:t>0.244</w:t>
                  </w:r>
                </w:p>
              </w:tc>
              <w:tc>
                <w:tcPr>
                  <w:tcW w:w="1705" w:type="dxa"/>
                  <w:vMerge w:val="continue"/>
                  <w:vAlign w:val="center"/>
                </w:tcPr>
                <w:p>
                  <w:pPr>
                    <w:snapToGrid w:val="0"/>
                    <w:jc w:val="center"/>
                    <w:rPr>
                      <w:rFonts w:hint="eastAsia"/>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667" w:type="dxa"/>
                  <w:gridSpan w:val="2"/>
                  <w:vMerge w:val="continue"/>
                  <w:vAlign w:val="center"/>
                </w:tcPr>
                <w:p>
                  <w:pPr>
                    <w:snapToGrid w:val="0"/>
                    <w:jc w:val="center"/>
                    <w:rPr>
                      <w:rFonts w:hint="default"/>
                      <w:lang w:val="en-US" w:eastAsia="zh-CN"/>
                    </w:rPr>
                  </w:pPr>
                </w:p>
              </w:tc>
              <w:tc>
                <w:tcPr>
                  <w:tcW w:w="1218" w:type="dxa"/>
                  <w:vAlign w:val="center"/>
                </w:tcPr>
                <w:p>
                  <w:pPr>
                    <w:snapToGrid w:val="0"/>
                    <w:jc w:val="center"/>
                    <w:rPr>
                      <w:rFonts w:hint="default"/>
                      <w:lang w:val="en-US" w:eastAsia="zh-CN"/>
                    </w:rPr>
                  </w:pPr>
                  <w:r>
                    <w:rPr>
                      <w:rFonts w:hint="eastAsia"/>
                      <w:lang w:val="en-US" w:eastAsia="zh-CN"/>
                    </w:rPr>
                    <w:t>NH</w:t>
                  </w:r>
                  <w:r>
                    <w:rPr>
                      <w:rFonts w:hint="eastAsia"/>
                      <w:vertAlign w:val="subscript"/>
                      <w:lang w:val="en-US" w:eastAsia="zh-CN"/>
                    </w:rPr>
                    <w:t>3</w:t>
                  </w:r>
                  <w:r>
                    <w:rPr>
                      <w:rFonts w:hint="eastAsia"/>
                      <w:lang w:val="en-US" w:eastAsia="zh-CN"/>
                    </w:rPr>
                    <w:t>-N</w:t>
                  </w:r>
                </w:p>
              </w:tc>
              <w:tc>
                <w:tcPr>
                  <w:tcW w:w="1705" w:type="dxa"/>
                  <w:vAlign w:val="center"/>
                </w:tcPr>
                <w:p>
                  <w:pPr>
                    <w:snapToGrid w:val="0"/>
                    <w:jc w:val="center"/>
                    <w:rPr>
                      <w:rFonts w:hint="default"/>
                      <w:lang w:val="en-US" w:eastAsia="zh-CN"/>
                    </w:rPr>
                  </w:pPr>
                  <w:r>
                    <w:rPr>
                      <w:rFonts w:hint="eastAsia"/>
                      <w:lang w:val="en-US" w:eastAsia="zh-CN"/>
                    </w:rPr>
                    <w:t>0.366</w:t>
                  </w:r>
                </w:p>
              </w:tc>
              <w:tc>
                <w:tcPr>
                  <w:tcW w:w="1705" w:type="dxa"/>
                  <w:vAlign w:val="center"/>
                </w:tcPr>
                <w:p>
                  <w:pPr>
                    <w:snapToGrid w:val="0"/>
                    <w:jc w:val="center"/>
                    <w:rPr>
                      <w:rFonts w:hint="default"/>
                      <w:lang w:val="en-US" w:eastAsia="zh-CN"/>
                    </w:rPr>
                  </w:pPr>
                  <w:r>
                    <w:rPr>
                      <w:rFonts w:hint="eastAsia"/>
                      <w:lang w:val="en-US" w:eastAsia="zh-CN"/>
                    </w:rPr>
                    <w:t>0.0696</w:t>
                  </w:r>
                </w:p>
              </w:tc>
              <w:tc>
                <w:tcPr>
                  <w:tcW w:w="1705" w:type="dxa"/>
                  <w:vMerge w:val="continue"/>
                  <w:vAlign w:val="center"/>
                </w:tcPr>
                <w:p>
                  <w:pPr>
                    <w:snapToGrid w:val="0"/>
                    <w:jc w:val="center"/>
                    <w:rPr>
                      <w:rFonts w:hint="eastAsia"/>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667" w:type="dxa"/>
                  <w:gridSpan w:val="2"/>
                  <w:vMerge w:val="continue"/>
                  <w:vAlign w:val="center"/>
                </w:tcPr>
                <w:p>
                  <w:pPr>
                    <w:snapToGrid w:val="0"/>
                    <w:jc w:val="center"/>
                    <w:rPr>
                      <w:rFonts w:hint="default"/>
                      <w:lang w:val="en-US" w:eastAsia="zh-CN"/>
                    </w:rPr>
                  </w:pPr>
                </w:p>
              </w:tc>
              <w:tc>
                <w:tcPr>
                  <w:tcW w:w="1218" w:type="dxa"/>
                  <w:vAlign w:val="center"/>
                </w:tcPr>
                <w:p>
                  <w:pPr>
                    <w:snapToGrid w:val="0"/>
                    <w:jc w:val="center"/>
                    <w:rPr>
                      <w:rFonts w:hint="default"/>
                      <w:lang w:val="en-US" w:eastAsia="zh-CN"/>
                    </w:rPr>
                  </w:pPr>
                  <w:r>
                    <w:rPr>
                      <w:rFonts w:hint="eastAsia"/>
                      <w:lang w:val="en-US" w:eastAsia="zh-CN"/>
                    </w:rPr>
                    <w:t>TP</w:t>
                  </w:r>
                </w:p>
              </w:tc>
              <w:tc>
                <w:tcPr>
                  <w:tcW w:w="1705" w:type="dxa"/>
                  <w:vAlign w:val="center"/>
                </w:tcPr>
                <w:p>
                  <w:pPr>
                    <w:snapToGrid w:val="0"/>
                    <w:jc w:val="center"/>
                    <w:rPr>
                      <w:rFonts w:hint="default"/>
                      <w:lang w:val="en-US" w:eastAsia="zh-CN"/>
                    </w:rPr>
                  </w:pPr>
                  <w:r>
                    <w:rPr>
                      <w:rFonts w:hint="eastAsia"/>
                      <w:lang w:val="en-US" w:eastAsia="zh-CN"/>
                    </w:rPr>
                    <w:t>0.055</w:t>
                  </w:r>
                </w:p>
              </w:tc>
              <w:tc>
                <w:tcPr>
                  <w:tcW w:w="1705" w:type="dxa"/>
                  <w:vAlign w:val="center"/>
                </w:tcPr>
                <w:p>
                  <w:pPr>
                    <w:snapToGrid w:val="0"/>
                    <w:jc w:val="center"/>
                    <w:rPr>
                      <w:rFonts w:hint="default"/>
                      <w:lang w:val="en-US" w:eastAsia="zh-CN"/>
                    </w:rPr>
                  </w:pPr>
                  <w:r>
                    <w:rPr>
                      <w:rFonts w:hint="eastAsia"/>
                      <w:lang w:val="en-US" w:eastAsia="zh-CN"/>
                    </w:rPr>
                    <w:t>0.00636</w:t>
                  </w:r>
                </w:p>
              </w:tc>
              <w:tc>
                <w:tcPr>
                  <w:tcW w:w="1705" w:type="dxa"/>
                  <w:vMerge w:val="continue"/>
                  <w:vAlign w:val="center"/>
                </w:tcPr>
                <w:p>
                  <w:pPr>
                    <w:snapToGrid w:val="0"/>
                    <w:jc w:val="center"/>
                    <w:rPr>
                      <w:rFonts w:hint="eastAsia"/>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1667" w:type="dxa"/>
                  <w:gridSpan w:val="2"/>
                  <w:vMerge w:val="continue"/>
                  <w:vAlign w:val="center"/>
                </w:tcPr>
                <w:p>
                  <w:pPr>
                    <w:snapToGrid w:val="0"/>
                    <w:jc w:val="center"/>
                    <w:rPr>
                      <w:rFonts w:hint="default"/>
                      <w:lang w:val="en-US" w:eastAsia="zh-CN"/>
                    </w:rPr>
                  </w:pPr>
                </w:p>
              </w:tc>
              <w:tc>
                <w:tcPr>
                  <w:tcW w:w="1218" w:type="dxa"/>
                  <w:vAlign w:val="center"/>
                </w:tcPr>
                <w:p>
                  <w:pPr>
                    <w:snapToGrid w:val="0"/>
                    <w:jc w:val="center"/>
                    <w:rPr>
                      <w:rFonts w:hint="default"/>
                      <w:lang w:val="en-US" w:eastAsia="zh-CN"/>
                    </w:rPr>
                  </w:pPr>
                  <w:r>
                    <w:rPr>
                      <w:rFonts w:hint="eastAsia"/>
                      <w:lang w:val="en-US" w:eastAsia="zh-CN"/>
                    </w:rPr>
                    <w:t>TN</w:t>
                  </w:r>
                </w:p>
              </w:tc>
              <w:tc>
                <w:tcPr>
                  <w:tcW w:w="1705" w:type="dxa"/>
                  <w:vAlign w:val="center"/>
                </w:tcPr>
                <w:p>
                  <w:pPr>
                    <w:snapToGrid w:val="0"/>
                    <w:jc w:val="center"/>
                    <w:rPr>
                      <w:rFonts w:hint="default"/>
                      <w:lang w:val="en-US" w:eastAsia="zh-CN"/>
                    </w:rPr>
                  </w:pPr>
                  <w:r>
                    <w:rPr>
                      <w:rFonts w:hint="eastAsia"/>
                      <w:lang w:val="en-US" w:eastAsia="zh-CN"/>
                    </w:rPr>
                    <w:t>0.648</w:t>
                  </w:r>
                </w:p>
              </w:tc>
              <w:tc>
                <w:tcPr>
                  <w:tcW w:w="1705" w:type="dxa"/>
                  <w:vAlign w:val="center"/>
                </w:tcPr>
                <w:p>
                  <w:pPr>
                    <w:snapToGrid w:val="0"/>
                    <w:jc w:val="center"/>
                    <w:rPr>
                      <w:rFonts w:hint="default"/>
                      <w:lang w:val="en-US" w:eastAsia="zh-CN"/>
                    </w:rPr>
                  </w:pPr>
                  <w:r>
                    <w:rPr>
                      <w:rFonts w:hint="eastAsia"/>
                      <w:lang w:val="en-US" w:eastAsia="zh-CN"/>
                    </w:rPr>
                    <w:t>0.144</w:t>
                  </w:r>
                </w:p>
              </w:tc>
              <w:tc>
                <w:tcPr>
                  <w:tcW w:w="1705" w:type="dxa"/>
                  <w:vMerge w:val="continue"/>
                  <w:vAlign w:val="center"/>
                </w:tcPr>
                <w:p>
                  <w:pPr>
                    <w:snapToGrid w:val="0"/>
                    <w:jc w:val="center"/>
                    <w:rPr>
                      <w:rFonts w:hint="eastAsia"/>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747" w:type="dxa"/>
                  <w:vMerge w:val="restart"/>
                  <w:vAlign w:val="center"/>
                </w:tcPr>
                <w:p>
                  <w:pPr>
                    <w:snapToGrid w:val="0"/>
                    <w:jc w:val="center"/>
                    <w:rPr>
                      <w:rFonts w:hint="default"/>
                      <w:lang w:val="en-US" w:eastAsia="zh-CN"/>
                    </w:rPr>
                  </w:pPr>
                  <w:r>
                    <w:rPr>
                      <w:rFonts w:hint="eastAsia"/>
                      <w:lang w:val="en-US" w:eastAsia="zh-CN"/>
                    </w:rPr>
                    <w:t>废气</w:t>
                  </w:r>
                </w:p>
              </w:tc>
              <w:tc>
                <w:tcPr>
                  <w:tcW w:w="920" w:type="dxa"/>
                  <w:vMerge w:val="restart"/>
                  <w:vAlign w:val="center"/>
                </w:tcPr>
                <w:p>
                  <w:pPr>
                    <w:tabs>
                      <w:tab w:val="left" w:pos="329"/>
                    </w:tabs>
                    <w:snapToGrid w:val="0"/>
                    <w:jc w:val="center"/>
                    <w:rPr>
                      <w:rFonts w:hint="default"/>
                      <w:lang w:val="en-US" w:eastAsia="zh-CN"/>
                    </w:rPr>
                  </w:pPr>
                  <w:r>
                    <w:rPr>
                      <w:rFonts w:hint="eastAsia"/>
                      <w:lang w:val="en-US" w:eastAsia="zh-CN"/>
                    </w:rPr>
                    <w:t>有组织</w:t>
                  </w:r>
                </w:p>
              </w:tc>
              <w:tc>
                <w:tcPr>
                  <w:tcW w:w="1218" w:type="dxa"/>
                  <w:vAlign w:val="center"/>
                </w:tcPr>
                <w:p>
                  <w:pPr>
                    <w:snapToGrid w:val="0"/>
                    <w:jc w:val="center"/>
                    <w:rPr>
                      <w:rFonts w:hint="eastAsia"/>
                      <w:lang w:eastAsia="zh-CN"/>
                    </w:rPr>
                  </w:pPr>
                  <w:r>
                    <w:rPr>
                      <w:rFonts w:hint="eastAsia"/>
                      <w:lang w:eastAsia="zh-CN"/>
                    </w:rPr>
                    <w:t>烟尘</w:t>
                  </w:r>
                </w:p>
              </w:tc>
              <w:tc>
                <w:tcPr>
                  <w:tcW w:w="1705" w:type="dxa"/>
                  <w:vAlign w:val="center"/>
                </w:tcPr>
                <w:p>
                  <w:pPr>
                    <w:snapToGrid w:val="0"/>
                    <w:jc w:val="center"/>
                    <w:rPr>
                      <w:rFonts w:hint="default"/>
                      <w:lang w:val="en-US" w:eastAsia="zh-CN"/>
                    </w:rPr>
                  </w:pPr>
                  <w:r>
                    <w:rPr>
                      <w:rFonts w:hint="eastAsia"/>
                      <w:lang w:val="en-US" w:eastAsia="zh-CN"/>
                    </w:rPr>
                    <w:t>-</w:t>
                  </w:r>
                </w:p>
              </w:tc>
              <w:tc>
                <w:tcPr>
                  <w:tcW w:w="1705" w:type="dxa"/>
                  <w:vAlign w:val="center"/>
                </w:tcPr>
                <w:p>
                  <w:pPr>
                    <w:snapToGrid w:val="0"/>
                    <w:jc w:val="center"/>
                    <w:rPr>
                      <w:rFonts w:hint="default"/>
                      <w:lang w:val="en-US" w:eastAsia="zh-CN"/>
                    </w:rPr>
                  </w:pPr>
                  <w:r>
                    <w:rPr>
                      <w:rFonts w:hint="eastAsia"/>
                      <w:lang w:val="en-US" w:eastAsia="zh-CN"/>
                    </w:rPr>
                    <w:t>2.699</w:t>
                  </w:r>
                </w:p>
              </w:tc>
              <w:tc>
                <w:tcPr>
                  <w:tcW w:w="1705" w:type="dxa"/>
                  <w:vMerge w:val="restart"/>
                  <w:vAlign w:val="center"/>
                </w:tcPr>
                <w:p>
                  <w:pPr>
                    <w:snapToGrid w:val="0"/>
                    <w:jc w:val="center"/>
                    <w:rPr>
                      <w:rFonts w:hint="default"/>
                      <w:lang w:val="en-US" w:eastAsia="zh-CN"/>
                    </w:rPr>
                  </w:pPr>
                  <w:r>
                    <w:rPr>
                      <w:rFonts w:hint="eastAsia"/>
                      <w:lang w:val="en-US" w:eastAsia="zh-CN"/>
                    </w:rPr>
                    <w:t>15米排气筒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747" w:type="dxa"/>
                  <w:vMerge w:val="continue"/>
                  <w:vAlign w:val="center"/>
                </w:tcPr>
                <w:p>
                  <w:pPr>
                    <w:snapToGrid w:val="0"/>
                    <w:jc w:val="center"/>
                    <w:rPr>
                      <w:rFonts w:hint="default"/>
                      <w:lang w:val="en-US" w:eastAsia="zh-CN"/>
                    </w:rPr>
                  </w:pPr>
                </w:p>
              </w:tc>
              <w:tc>
                <w:tcPr>
                  <w:tcW w:w="920" w:type="dxa"/>
                  <w:vMerge w:val="continue"/>
                  <w:vAlign w:val="center"/>
                </w:tcPr>
                <w:p>
                  <w:pPr>
                    <w:snapToGrid w:val="0"/>
                    <w:jc w:val="center"/>
                    <w:rPr>
                      <w:rFonts w:hint="default"/>
                      <w:lang w:val="en-US" w:eastAsia="zh-CN"/>
                    </w:rPr>
                  </w:pPr>
                </w:p>
              </w:tc>
              <w:tc>
                <w:tcPr>
                  <w:tcW w:w="1218" w:type="dxa"/>
                  <w:vAlign w:val="center"/>
                </w:tcPr>
                <w:p>
                  <w:pPr>
                    <w:snapToGrid w:val="0"/>
                    <w:jc w:val="center"/>
                    <w:rPr>
                      <w:rFonts w:hint="default"/>
                      <w:lang w:val="en-US" w:eastAsia="zh-CN"/>
                    </w:rPr>
                  </w:pPr>
                  <w:r>
                    <w:rPr>
                      <w:rFonts w:hint="eastAsia"/>
                      <w:lang w:val="en-US" w:eastAsia="zh-CN"/>
                    </w:rPr>
                    <w:t>SO</w:t>
                  </w:r>
                  <w:r>
                    <w:rPr>
                      <w:rFonts w:hint="eastAsia"/>
                      <w:vertAlign w:val="subscript"/>
                      <w:lang w:val="en-US" w:eastAsia="zh-CN"/>
                    </w:rPr>
                    <w:t>2</w:t>
                  </w:r>
                </w:p>
              </w:tc>
              <w:tc>
                <w:tcPr>
                  <w:tcW w:w="1705" w:type="dxa"/>
                  <w:vAlign w:val="center"/>
                </w:tcPr>
                <w:p>
                  <w:pPr>
                    <w:snapToGrid w:val="0"/>
                    <w:jc w:val="center"/>
                    <w:rPr>
                      <w:rFonts w:hint="eastAsia"/>
                      <w:lang w:eastAsia="zh-CN"/>
                    </w:rPr>
                  </w:pPr>
                  <w:r>
                    <w:rPr>
                      <w:rFonts w:hint="eastAsia"/>
                      <w:lang w:val="en-US" w:eastAsia="zh-CN"/>
                    </w:rPr>
                    <w:t>-</w:t>
                  </w:r>
                </w:p>
              </w:tc>
              <w:tc>
                <w:tcPr>
                  <w:tcW w:w="1705" w:type="dxa"/>
                  <w:vAlign w:val="center"/>
                </w:tcPr>
                <w:p>
                  <w:pPr>
                    <w:snapToGrid w:val="0"/>
                    <w:jc w:val="center"/>
                    <w:rPr>
                      <w:rFonts w:hint="default"/>
                      <w:lang w:val="en-US" w:eastAsia="zh-CN"/>
                    </w:rPr>
                  </w:pPr>
                  <w:r>
                    <w:rPr>
                      <w:rFonts w:hint="eastAsia"/>
                      <w:lang w:val="en-US" w:eastAsia="zh-CN"/>
                    </w:rPr>
                    <w:t>17.765</w:t>
                  </w:r>
                </w:p>
              </w:tc>
              <w:tc>
                <w:tcPr>
                  <w:tcW w:w="1705" w:type="dxa"/>
                  <w:vMerge w:val="continue"/>
                  <w:vAlign w:val="center"/>
                </w:tcPr>
                <w:p>
                  <w:pPr>
                    <w:snapToGrid w:val="0"/>
                    <w:jc w:val="center"/>
                    <w:rPr>
                      <w:rFonts w:hint="eastAsia"/>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747" w:type="dxa"/>
                  <w:vMerge w:val="continue"/>
                  <w:vAlign w:val="center"/>
                </w:tcPr>
                <w:p>
                  <w:pPr>
                    <w:snapToGrid w:val="0"/>
                    <w:jc w:val="center"/>
                    <w:rPr>
                      <w:rFonts w:hint="default"/>
                      <w:lang w:val="en-US" w:eastAsia="zh-CN"/>
                    </w:rPr>
                  </w:pPr>
                </w:p>
              </w:tc>
              <w:tc>
                <w:tcPr>
                  <w:tcW w:w="920" w:type="dxa"/>
                  <w:vMerge w:val="continue"/>
                  <w:vAlign w:val="center"/>
                </w:tcPr>
                <w:p>
                  <w:pPr>
                    <w:snapToGrid w:val="0"/>
                    <w:jc w:val="center"/>
                    <w:rPr>
                      <w:rFonts w:hint="default"/>
                      <w:lang w:val="en-US" w:eastAsia="zh-CN"/>
                    </w:rPr>
                  </w:pPr>
                </w:p>
              </w:tc>
              <w:tc>
                <w:tcPr>
                  <w:tcW w:w="1218" w:type="dxa"/>
                  <w:vAlign w:val="center"/>
                </w:tcPr>
                <w:p>
                  <w:pPr>
                    <w:snapToGrid w:val="0"/>
                    <w:jc w:val="center"/>
                    <w:rPr>
                      <w:rFonts w:hint="eastAsia"/>
                      <w:lang w:eastAsia="zh-CN"/>
                    </w:rPr>
                  </w:pPr>
                  <w:r>
                    <w:rPr>
                      <w:rFonts w:hint="eastAsia"/>
                      <w:lang w:eastAsia="zh-CN"/>
                    </w:rPr>
                    <w:t>粉尘</w:t>
                  </w:r>
                </w:p>
              </w:tc>
              <w:tc>
                <w:tcPr>
                  <w:tcW w:w="1705" w:type="dxa"/>
                  <w:vAlign w:val="center"/>
                </w:tcPr>
                <w:p>
                  <w:pPr>
                    <w:snapToGrid w:val="0"/>
                    <w:jc w:val="center"/>
                    <w:rPr>
                      <w:rFonts w:hint="eastAsia"/>
                      <w:lang w:eastAsia="zh-CN"/>
                    </w:rPr>
                  </w:pPr>
                  <w:r>
                    <w:rPr>
                      <w:rFonts w:hint="eastAsia"/>
                      <w:lang w:val="en-US" w:eastAsia="zh-CN"/>
                    </w:rPr>
                    <w:t>-</w:t>
                  </w:r>
                </w:p>
              </w:tc>
              <w:tc>
                <w:tcPr>
                  <w:tcW w:w="1705" w:type="dxa"/>
                  <w:vAlign w:val="center"/>
                </w:tcPr>
                <w:p>
                  <w:pPr>
                    <w:snapToGrid w:val="0"/>
                    <w:jc w:val="center"/>
                    <w:rPr>
                      <w:rFonts w:hint="default"/>
                      <w:lang w:val="en-US" w:eastAsia="zh-CN"/>
                    </w:rPr>
                  </w:pPr>
                  <w:r>
                    <w:rPr>
                      <w:rFonts w:hint="eastAsia"/>
                      <w:lang w:val="en-US" w:eastAsia="zh-CN"/>
                    </w:rPr>
                    <w:t>13.66</w:t>
                  </w:r>
                </w:p>
              </w:tc>
              <w:tc>
                <w:tcPr>
                  <w:tcW w:w="1705" w:type="dxa"/>
                  <w:vMerge w:val="continue"/>
                  <w:vAlign w:val="center"/>
                </w:tcPr>
                <w:p>
                  <w:pPr>
                    <w:snapToGrid w:val="0"/>
                    <w:jc w:val="center"/>
                    <w:rPr>
                      <w:rFonts w:hint="eastAsia"/>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747" w:type="dxa"/>
                  <w:vMerge w:val="continue"/>
                  <w:vAlign w:val="center"/>
                </w:tcPr>
                <w:p>
                  <w:pPr>
                    <w:snapToGrid w:val="0"/>
                    <w:jc w:val="center"/>
                    <w:rPr>
                      <w:rFonts w:hint="default"/>
                      <w:lang w:val="en-US" w:eastAsia="zh-CN"/>
                    </w:rPr>
                  </w:pPr>
                </w:p>
              </w:tc>
              <w:tc>
                <w:tcPr>
                  <w:tcW w:w="920" w:type="dxa"/>
                  <w:vMerge w:val="continue"/>
                  <w:vAlign w:val="center"/>
                </w:tcPr>
                <w:p>
                  <w:pPr>
                    <w:snapToGrid w:val="0"/>
                    <w:jc w:val="center"/>
                    <w:rPr>
                      <w:rFonts w:hint="default"/>
                      <w:lang w:val="en-US" w:eastAsia="zh-CN"/>
                    </w:rPr>
                  </w:pPr>
                </w:p>
              </w:tc>
              <w:tc>
                <w:tcPr>
                  <w:tcW w:w="1218" w:type="dxa"/>
                  <w:vAlign w:val="center"/>
                </w:tcPr>
                <w:p>
                  <w:pPr>
                    <w:snapToGrid w:val="0"/>
                    <w:jc w:val="center"/>
                    <w:rPr>
                      <w:rFonts w:hint="default"/>
                      <w:lang w:val="en-US" w:eastAsia="zh-CN"/>
                    </w:rPr>
                  </w:pPr>
                  <w:r>
                    <w:rPr>
                      <w:rFonts w:hint="eastAsia"/>
                      <w:lang w:val="en-US" w:eastAsia="zh-CN"/>
                    </w:rPr>
                    <w:t>VOCs</w:t>
                  </w:r>
                </w:p>
              </w:tc>
              <w:tc>
                <w:tcPr>
                  <w:tcW w:w="1705" w:type="dxa"/>
                  <w:vAlign w:val="center"/>
                </w:tcPr>
                <w:p>
                  <w:pPr>
                    <w:snapToGrid w:val="0"/>
                    <w:jc w:val="center"/>
                    <w:rPr>
                      <w:rFonts w:hint="eastAsia"/>
                      <w:lang w:eastAsia="zh-CN"/>
                    </w:rPr>
                  </w:pPr>
                  <w:r>
                    <w:rPr>
                      <w:rFonts w:hint="eastAsia"/>
                      <w:lang w:val="en-US" w:eastAsia="zh-CN"/>
                    </w:rPr>
                    <w:t>-</w:t>
                  </w:r>
                </w:p>
              </w:tc>
              <w:tc>
                <w:tcPr>
                  <w:tcW w:w="1705" w:type="dxa"/>
                  <w:vAlign w:val="center"/>
                </w:tcPr>
                <w:p>
                  <w:pPr>
                    <w:snapToGrid w:val="0"/>
                    <w:jc w:val="center"/>
                    <w:rPr>
                      <w:rFonts w:hint="default"/>
                      <w:lang w:val="en-US" w:eastAsia="zh-CN"/>
                    </w:rPr>
                  </w:pPr>
                  <w:r>
                    <w:rPr>
                      <w:rFonts w:hint="eastAsia"/>
                      <w:lang w:val="en-US" w:eastAsia="zh-CN"/>
                    </w:rPr>
                    <w:t>0.153</w:t>
                  </w:r>
                </w:p>
              </w:tc>
              <w:tc>
                <w:tcPr>
                  <w:tcW w:w="1705" w:type="dxa"/>
                  <w:vMerge w:val="continue"/>
                  <w:vAlign w:val="center"/>
                </w:tcPr>
                <w:p>
                  <w:pPr>
                    <w:snapToGrid w:val="0"/>
                    <w:jc w:val="center"/>
                    <w:rPr>
                      <w:rFonts w:hint="eastAsia"/>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747" w:type="dxa"/>
                  <w:vMerge w:val="continue"/>
                  <w:vAlign w:val="center"/>
                </w:tcPr>
                <w:p>
                  <w:pPr>
                    <w:snapToGrid w:val="0"/>
                    <w:jc w:val="center"/>
                    <w:rPr>
                      <w:rFonts w:hint="default"/>
                      <w:lang w:val="en-US" w:eastAsia="zh-CN"/>
                    </w:rPr>
                  </w:pPr>
                </w:p>
              </w:tc>
              <w:tc>
                <w:tcPr>
                  <w:tcW w:w="920" w:type="dxa"/>
                  <w:vMerge w:val="restart"/>
                  <w:vAlign w:val="center"/>
                </w:tcPr>
                <w:p>
                  <w:pPr>
                    <w:snapToGrid w:val="0"/>
                    <w:jc w:val="center"/>
                    <w:rPr>
                      <w:rFonts w:hint="default"/>
                      <w:lang w:val="en-US" w:eastAsia="zh-CN"/>
                    </w:rPr>
                  </w:pPr>
                  <w:r>
                    <w:rPr>
                      <w:rFonts w:hint="eastAsia"/>
                      <w:lang w:val="en-US" w:eastAsia="zh-CN"/>
                    </w:rPr>
                    <w:t>无组织</w:t>
                  </w:r>
                </w:p>
              </w:tc>
              <w:tc>
                <w:tcPr>
                  <w:tcW w:w="1218" w:type="dxa"/>
                  <w:vAlign w:val="center"/>
                </w:tcPr>
                <w:p>
                  <w:pPr>
                    <w:snapToGrid w:val="0"/>
                    <w:jc w:val="center"/>
                    <w:rPr>
                      <w:rFonts w:hint="eastAsia"/>
                      <w:lang w:eastAsia="zh-CN"/>
                    </w:rPr>
                  </w:pPr>
                  <w:r>
                    <w:rPr>
                      <w:rFonts w:hint="eastAsia"/>
                      <w:lang w:eastAsia="zh-CN"/>
                    </w:rPr>
                    <w:t>粉尘</w:t>
                  </w:r>
                </w:p>
              </w:tc>
              <w:tc>
                <w:tcPr>
                  <w:tcW w:w="1705" w:type="dxa"/>
                  <w:vAlign w:val="center"/>
                </w:tcPr>
                <w:p>
                  <w:pPr>
                    <w:snapToGrid w:val="0"/>
                    <w:jc w:val="center"/>
                    <w:rPr>
                      <w:rFonts w:hint="eastAsia"/>
                      <w:lang w:eastAsia="zh-CN"/>
                    </w:rPr>
                  </w:pPr>
                  <w:r>
                    <w:rPr>
                      <w:rFonts w:hint="eastAsia"/>
                      <w:lang w:val="en-US" w:eastAsia="zh-CN"/>
                    </w:rPr>
                    <w:t>-</w:t>
                  </w:r>
                </w:p>
              </w:tc>
              <w:tc>
                <w:tcPr>
                  <w:tcW w:w="1705" w:type="dxa"/>
                  <w:vAlign w:val="center"/>
                </w:tcPr>
                <w:p>
                  <w:pPr>
                    <w:snapToGrid w:val="0"/>
                    <w:jc w:val="center"/>
                    <w:rPr>
                      <w:rFonts w:hint="default"/>
                      <w:lang w:val="en-US" w:eastAsia="zh-CN"/>
                    </w:rPr>
                  </w:pPr>
                  <w:r>
                    <w:rPr>
                      <w:rFonts w:hint="eastAsia"/>
                      <w:lang w:val="en-US" w:eastAsia="zh-CN"/>
                    </w:rPr>
                    <w:t>1.076</w:t>
                  </w:r>
                </w:p>
              </w:tc>
              <w:tc>
                <w:tcPr>
                  <w:tcW w:w="1705" w:type="dxa"/>
                  <w:vMerge w:val="restart"/>
                  <w:vAlign w:val="center"/>
                </w:tcPr>
                <w:p>
                  <w:pPr>
                    <w:snapToGrid w:val="0"/>
                    <w:jc w:val="center"/>
                    <w:rPr>
                      <w:rFonts w:hint="eastAsia"/>
                      <w:lang w:eastAsia="zh-CN"/>
                    </w:rPr>
                  </w:pPr>
                  <w:r>
                    <w:rPr>
                      <w:rFonts w:hint="eastAsia"/>
                      <w:lang w:eastAsia="zh-CN"/>
                    </w:rPr>
                    <w:t>大气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6" w:hRule="atLeast"/>
              </w:trPr>
              <w:tc>
                <w:tcPr>
                  <w:tcW w:w="747" w:type="dxa"/>
                  <w:vMerge w:val="continue"/>
                  <w:vAlign w:val="center"/>
                </w:tcPr>
                <w:p>
                  <w:pPr>
                    <w:snapToGrid w:val="0"/>
                    <w:jc w:val="center"/>
                    <w:rPr>
                      <w:rFonts w:hint="default"/>
                      <w:lang w:val="en-US" w:eastAsia="zh-CN"/>
                    </w:rPr>
                  </w:pPr>
                </w:p>
              </w:tc>
              <w:tc>
                <w:tcPr>
                  <w:tcW w:w="920" w:type="dxa"/>
                  <w:vMerge w:val="continue"/>
                  <w:vAlign w:val="center"/>
                </w:tcPr>
                <w:p>
                  <w:pPr>
                    <w:snapToGrid w:val="0"/>
                    <w:jc w:val="center"/>
                    <w:rPr>
                      <w:rFonts w:hint="default"/>
                      <w:lang w:val="en-US" w:eastAsia="zh-CN"/>
                    </w:rPr>
                  </w:pPr>
                </w:p>
              </w:tc>
              <w:tc>
                <w:tcPr>
                  <w:tcW w:w="1218" w:type="dxa"/>
                  <w:vAlign w:val="center"/>
                </w:tcPr>
                <w:p>
                  <w:pPr>
                    <w:snapToGrid w:val="0"/>
                    <w:jc w:val="center"/>
                    <w:rPr>
                      <w:rFonts w:hint="eastAsia"/>
                      <w:lang w:eastAsia="zh-CN"/>
                    </w:rPr>
                  </w:pPr>
                  <w:r>
                    <w:rPr>
                      <w:rFonts w:hint="eastAsia"/>
                      <w:lang w:val="en-US" w:eastAsia="zh-CN"/>
                    </w:rPr>
                    <w:t>VOCs</w:t>
                  </w:r>
                </w:p>
              </w:tc>
              <w:tc>
                <w:tcPr>
                  <w:tcW w:w="1705" w:type="dxa"/>
                  <w:vAlign w:val="center"/>
                </w:tcPr>
                <w:p>
                  <w:pPr>
                    <w:snapToGrid w:val="0"/>
                    <w:jc w:val="center"/>
                    <w:rPr>
                      <w:rFonts w:hint="eastAsia"/>
                      <w:lang w:eastAsia="zh-CN"/>
                    </w:rPr>
                  </w:pPr>
                  <w:r>
                    <w:rPr>
                      <w:rFonts w:hint="eastAsia"/>
                      <w:lang w:val="en-US" w:eastAsia="zh-CN"/>
                    </w:rPr>
                    <w:t>-</w:t>
                  </w:r>
                </w:p>
              </w:tc>
              <w:tc>
                <w:tcPr>
                  <w:tcW w:w="1705" w:type="dxa"/>
                  <w:vAlign w:val="center"/>
                </w:tcPr>
                <w:p>
                  <w:pPr>
                    <w:snapToGrid w:val="0"/>
                    <w:jc w:val="center"/>
                    <w:rPr>
                      <w:rFonts w:hint="default"/>
                      <w:lang w:val="en-US" w:eastAsia="zh-CN"/>
                    </w:rPr>
                  </w:pPr>
                  <w:r>
                    <w:rPr>
                      <w:rFonts w:hint="eastAsia"/>
                      <w:lang w:val="en-US" w:eastAsia="zh-CN"/>
                    </w:rPr>
                    <w:t>0.225</w:t>
                  </w:r>
                </w:p>
              </w:tc>
              <w:tc>
                <w:tcPr>
                  <w:tcW w:w="1705" w:type="dxa"/>
                  <w:vMerge w:val="continue"/>
                  <w:vAlign w:val="center"/>
                </w:tcPr>
                <w:p>
                  <w:pPr>
                    <w:snapToGrid w:val="0"/>
                    <w:jc w:val="center"/>
                    <w:rPr>
                      <w:rFonts w:hint="eastAsia"/>
                      <w:lang w:eastAsia="zh-CN"/>
                    </w:rPr>
                  </w:pPr>
                </w:p>
              </w:tc>
            </w:tr>
          </w:tbl>
          <w:p>
            <w:pPr>
              <w:adjustRightInd w:val="0"/>
              <w:snapToGrid w:val="0"/>
              <w:spacing w:line="360" w:lineRule="auto"/>
              <w:ind w:firstLine="480" w:firstLineChars="200"/>
              <w:rPr>
                <w:rFonts w:hint="default" w:ascii="Times New Roman" w:hAnsi="Times New Roman" w:eastAsia="宋体" w:cs="Times New Roman"/>
                <w:sz w:val="24"/>
                <w:szCs w:val="24"/>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widowControl w:val="0"/>
              <w:numPr>
                <w:ilvl w:val="0"/>
                <w:numId w:val="0"/>
              </w:numPr>
              <w:jc w:val="both"/>
              <w:rPr>
                <w:rFonts w:hint="default"/>
                <w:lang w:val="en-US" w:eastAsia="zh-CN"/>
              </w:rPr>
            </w:pPr>
          </w:p>
          <w:p>
            <w:pPr>
              <w:pStyle w:val="3"/>
              <w:numPr>
                <w:ilvl w:val="0"/>
                <w:numId w:val="0"/>
              </w:numPr>
              <w:rPr>
                <w:rFonts w:hint="default" w:ascii="Times New Roman" w:hAnsi="Times New Roman" w:eastAsia="宋体" w:cs="Times New Roman"/>
                <w:color w:val="auto"/>
                <w:kern w:val="2"/>
                <w:sz w:val="24"/>
                <w:szCs w:val="24"/>
                <w:lang w:val="en-US" w:eastAsia="zh-CN" w:bidi="ar-SA"/>
              </w:rPr>
            </w:pPr>
          </w:p>
        </w:tc>
      </w:tr>
    </w:tbl>
    <w:p>
      <w:pPr>
        <w:pStyle w:val="32"/>
        <w:jc w:val="center"/>
        <w:rPr>
          <w:rFonts w:ascii="黑体" w:hAnsi="黑体" w:eastAsia="黑体"/>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32"/>
        <w:adjustRightInd w:val="0"/>
        <w:snapToGrid w:val="0"/>
        <w:spacing w:before="0" w:beforeAutospacing="0" w:after="0" w:afterAutospacing="0" w:line="14" w:lineRule="auto"/>
        <w:jc w:val="both"/>
        <w:rPr>
          <w:rFonts w:ascii="黑体" w:hAnsi="黑体" w:eastAsia="黑体"/>
          <w:snapToGrid w:val="0"/>
          <w:sz w:val="30"/>
          <w:szCs w:val="30"/>
        </w:rPr>
      </w:pPr>
    </w:p>
    <w:p>
      <w:pPr>
        <w:pStyle w:val="32"/>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83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00" w:type="dxa"/>
            <w:vAlign w:val="center"/>
          </w:tcPr>
          <w:p>
            <w:pPr>
              <w:adjustRightInd w:val="0"/>
              <w:snapToGrid w:val="0"/>
              <w:jc w:val="center"/>
              <w:rPr>
                <w:rFonts w:ascii="宋体" w:hAnsi="宋体" w:cs="宋体"/>
                <w:b/>
                <w:color w:val="auto"/>
                <w:kern w:val="0"/>
                <w:sz w:val="24"/>
                <w:highlight w:val="none"/>
              </w:rPr>
            </w:pPr>
            <w:r>
              <w:rPr>
                <w:rFonts w:hint="eastAsia" w:ascii="宋体" w:hAnsi="宋体" w:cs="宋体"/>
                <w:b/>
                <w:color w:val="auto"/>
                <w:kern w:val="0"/>
                <w:sz w:val="24"/>
                <w:highlight w:val="none"/>
              </w:rPr>
              <w:t>区域</w:t>
            </w:r>
          </w:p>
          <w:p>
            <w:pPr>
              <w:adjustRightInd w:val="0"/>
              <w:snapToGrid w:val="0"/>
              <w:jc w:val="center"/>
              <w:rPr>
                <w:rFonts w:ascii="宋体" w:hAnsi="宋体" w:cs="宋体"/>
                <w:b/>
                <w:color w:val="auto"/>
                <w:kern w:val="0"/>
                <w:sz w:val="24"/>
                <w:highlight w:val="none"/>
              </w:rPr>
            </w:pPr>
            <w:r>
              <w:rPr>
                <w:rFonts w:hint="eastAsia" w:ascii="宋体" w:hAnsi="宋体" w:cs="宋体"/>
                <w:b/>
                <w:color w:val="auto"/>
                <w:kern w:val="0"/>
                <w:sz w:val="24"/>
                <w:highlight w:val="none"/>
              </w:rPr>
              <w:t>环境</w:t>
            </w:r>
          </w:p>
          <w:p>
            <w:pPr>
              <w:adjustRightInd w:val="0"/>
              <w:snapToGrid w:val="0"/>
              <w:jc w:val="center"/>
              <w:rPr>
                <w:rFonts w:ascii="宋体" w:hAnsi="宋体" w:cs="宋体"/>
                <w:b/>
                <w:color w:val="auto"/>
                <w:kern w:val="0"/>
                <w:sz w:val="24"/>
                <w:highlight w:val="none"/>
              </w:rPr>
            </w:pPr>
            <w:r>
              <w:rPr>
                <w:rFonts w:hint="eastAsia" w:ascii="宋体" w:hAnsi="宋体" w:cs="宋体"/>
                <w:b/>
                <w:color w:val="auto"/>
                <w:kern w:val="0"/>
                <w:sz w:val="24"/>
                <w:highlight w:val="none"/>
              </w:rPr>
              <w:t>质量</w:t>
            </w:r>
          </w:p>
          <w:p>
            <w:pPr>
              <w:adjustRightInd w:val="0"/>
              <w:snapToGrid w:val="0"/>
              <w:jc w:val="center"/>
              <w:rPr>
                <w:rFonts w:ascii="宋体" w:hAnsi="宋体" w:cs="宋体"/>
                <w:b/>
                <w:kern w:val="0"/>
                <w:sz w:val="24"/>
                <w:highlight w:val="none"/>
              </w:rPr>
            </w:pPr>
            <w:r>
              <w:rPr>
                <w:rFonts w:hint="eastAsia" w:ascii="宋体" w:hAnsi="宋体" w:cs="宋体"/>
                <w:b/>
                <w:color w:val="auto"/>
                <w:kern w:val="0"/>
                <w:sz w:val="24"/>
                <w:highlight w:val="none"/>
              </w:rPr>
              <w:t>现状</w:t>
            </w:r>
          </w:p>
        </w:tc>
        <w:tc>
          <w:tcPr>
            <w:tcW w:w="8190" w:type="dxa"/>
            <w:vAlign w:val="center"/>
          </w:tcPr>
          <w:p>
            <w:pPr>
              <w:pStyle w:val="22"/>
              <w:ind w:firstLine="482"/>
              <w:rPr>
                <w:b/>
                <w:bCs/>
                <w:kern w:val="4"/>
                <w:highlight w:val="none"/>
              </w:rPr>
            </w:pPr>
            <w:r>
              <w:rPr>
                <w:rFonts w:hint="eastAsia"/>
                <w:b/>
                <w:bCs/>
                <w:kern w:val="4"/>
                <w:highlight w:val="none"/>
              </w:rPr>
              <w:t>1、环境空气质量</w:t>
            </w:r>
          </w:p>
          <w:p>
            <w:pPr>
              <w:adjustRightInd w:val="0"/>
              <w:snapToGrid w:val="0"/>
              <w:spacing w:line="360" w:lineRule="auto"/>
              <w:ind w:firstLine="480" w:firstLineChars="200"/>
              <w:rPr>
                <w:rFonts w:hint="eastAsia"/>
                <w:sz w:val="24"/>
                <w:highlight w:val="none"/>
                <w:lang w:eastAsia="zh-CN"/>
              </w:rPr>
            </w:pPr>
            <w:r>
              <w:rPr>
                <w:rFonts w:hint="eastAsia"/>
                <w:sz w:val="24"/>
                <w:highlight w:val="none"/>
              </w:rPr>
              <w:t>本项目</w:t>
            </w:r>
            <w:r>
              <w:rPr>
                <w:sz w:val="24"/>
                <w:highlight w:val="none"/>
              </w:rPr>
              <w:t>所在区为</w:t>
            </w:r>
            <w:r>
              <w:rPr>
                <w:rFonts w:hint="eastAsia"/>
                <w:sz w:val="24"/>
                <w:highlight w:val="none"/>
              </w:rPr>
              <w:t>环境空气功能</w:t>
            </w:r>
            <w:r>
              <w:rPr>
                <w:sz w:val="24"/>
                <w:highlight w:val="none"/>
              </w:rPr>
              <w:t>二类区</w:t>
            </w:r>
            <w:r>
              <w:rPr>
                <w:rFonts w:hint="eastAsia"/>
                <w:sz w:val="24"/>
                <w:highlight w:val="none"/>
              </w:rPr>
              <w:t>，</w:t>
            </w:r>
            <w:r>
              <w:rPr>
                <w:sz w:val="24"/>
                <w:highlight w:val="none"/>
              </w:rPr>
              <w:t>执行</w:t>
            </w:r>
            <w:r>
              <w:rPr>
                <w:rFonts w:hint="eastAsia"/>
                <w:sz w:val="24"/>
                <w:highlight w:val="none"/>
                <w:lang w:eastAsia="zh-CN"/>
              </w:rPr>
              <w:t>《</w:t>
            </w:r>
            <w:r>
              <w:rPr>
                <w:rFonts w:hint="eastAsia"/>
                <w:sz w:val="24"/>
                <w:highlight w:val="none"/>
              </w:rPr>
              <w:t>环境空气质量标准》（GB3095-2012）二级标准</w:t>
            </w:r>
            <w:r>
              <w:rPr>
                <w:rFonts w:hint="eastAsia"/>
                <w:sz w:val="24"/>
                <w:highlight w:val="none"/>
                <w:lang w:eastAsia="zh-CN"/>
              </w:rPr>
              <w:t>，见表</w:t>
            </w:r>
            <w:r>
              <w:rPr>
                <w:rFonts w:hint="eastAsia"/>
                <w:sz w:val="24"/>
                <w:highlight w:val="none"/>
                <w:lang w:val="en-US" w:eastAsia="zh-CN"/>
              </w:rPr>
              <w:t>3-1</w:t>
            </w:r>
            <w:r>
              <w:rPr>
                <w:rFonts w:hint="eastAsia"/>
                <w:sz w:val="24"/>
                <w:highlight w:val="none"/>
                <w:lang w:eastAsia="zh-CN"/>
              </w:rPr>
              <w:t>。</w:t>
            </w:r>
          </w:p>
          <w:p>
            <w:pPr>
              <w:adjustRightInd w:val="0"/>
              <w:snapToGrid w:val="0"/>
              <w:jc w:val="center"/>
              <w:rPr>
                <w:rFonts w:hint="eastAsia"/>
                <w:lang w:eastAsia="zh-CN"/>
              </w:rPr>
            </w:pPr>
            <w:r>
              <w:rPr>
                <w:rFonts w:hint="default" w:ascii="Times New Roman" w:hAnsi="Times New Roman" w:eastAsia="宋体" w:cs="Times New Roman"/>
                <w:b/>
                <w:bCs/>
                <w:sz w:val="24"/>
                <w:szCs w:val="24"/>
              </w:rPr>
              <w:t>表</w:t>
            </w:r>
            <w:r>
              <w:rPr>
                <w:rFonts w:hint="eastAsia" w:cs="Times New Roman"/>
                <w:b/>
                <w:bCs/>
                <w:sz w:val="24"/>
                <w:szCs w:val="24"/>
                <w:lang w:val="en-US" w:eastAsia="zh-CN"/>
              </w:rPr>
              <w:t>3-1</w:t>
            </w:r>
            <w:r>
              <w:rPr>
                <w:rFonts w:hint="default" w:ascii="Times New Roman" w:hAnsi="Times New Roman" w:eastAsia="宋体" w:cs="Times New Roman"/>
                <w:b/>
                <w:bCs/>
                <w:sz w:val="24"/>
                <w:szCs w:val="24"/>
              </w:rPr>
              <w:t xml:space="preserve">   大气环境质量标准限值   单位：mg/m</w:t>
            </w:r>
            <w:r>
              <w:rPr>
                <w:rFonts w:hint="default" w:ascii="Times New Roman" w:hAnsi="Times New Roman" w:eastAsia="宋体" w:cs="Times New Roman"/>
                <w:b/>
                <w:bCs/>
                <w:sz w:val="24"/>
                <w:szCs w:val="24"/>
                <w:vertAlign w:val="superscript"/>
              </w:rPr>
              <w:t>3</w:t>
            </w:r>
          </w:p>
          <w:tbl>
            <w:tblPr>
              <w:tblStyle w:val="36"/>
              <w:tblW w:w="786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2209"/>
              <w:gridCol w:w="2397"/>
              <w:gridCol w:w="22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noWrap w:val="0"/>
                  <w:vAlign w:val="center"/>
                </w:tcPr>
                <w:p>
                  <w:pPr>
                    <w:widowControl/>
                    <w:adjustRightInd w:val="0"/>
                    <w:snapToGrid w:val="0"/>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污染物名称</w:t>
                  </w: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取值时间</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标准限值（mg/m</w:t>
                  </w:r>
                  <w:r>
                    <w:rPr>
                      <w:rFonts w:hint="default" w:ascii="Times New Roman" w:hAnsi="Times New Roman" w:eastAsia="宋体" w:cs="Times New Roman"/>
                      <w:b/>
                      <w:bCs/>
                      <w:kern w:val="0"/>
                      <w:szCs w:val="21"/>
                      <w:vertAlign w:val="superscript"/>
                    </w:rPr>
                    <w:t>3</w:t>
                  </w:r>
                  <w:r>
                    <w:rPr>
                      <w:rFonts w:hint="default" w:ascii="Times New Roman" w:hAnsi="Times New Roman" w:eastAsia="宋体" w:cs="Times New Roman"/>
                      <w:b/>
                      <w:bCs/>
                      <w:kern w:val="0"/>
                      <w:szCs w:val="21"/>
                    </w:rPr>
                    <w:t>）</w:t>
                  </w:r>
                </w:p>
              </w:tc>
              <w:tc>
                <w:tcPr>
                  <w:tcW w:w="2220" w:type="dxa"/>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restart"/>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SO</w:t>
                  </w:r>
                  <w:r>
                    <w:rPr>
                      <w:rFonts w:hint="default" w:ascii="Times New Roman" w:hAnsi="Times New Roman" w:eastAsia="宋体" w:cs="Times New Roman"/>
                      <w:kern w:val="0"/>
                      <w:szCs w:val="21"/>
                      <w:vertAlign w:val="subscript"/>
                    </w:rPr>
                    <w:t>2</w:t>
                  </w: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年平均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0.06</w:t>
                  </w:r>
                </w:p>
              </w:tc>
              <w:tc>
                <w:tcPr>
                  <w:tcW w:w="2220" w:type="dxa"/>
                  <w:vMerge w:val="restart"/>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《环境空气质量标准》</w:t>
                  </w:r>
                </w:p>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（GB3095-2012）</w:t>
                  </w:r>
                </w:p>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及其修改单中二级标准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continue"/>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24小时平均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0.15</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continue"/>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1小时平均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0.50</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restart"/>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NO</w:t>
                  </w:r>
                  <w:r>
                    <w:rPr>
                      <w:rFonts w:hint="default" w:ascii="Times New Roman" w:hAnsi="Times New Roman" w:eastAsia="宋体" w:cs="Times New Roman"/>
                      <w:kern w:val="0"/>
                      <w:szCs w:val="21"/>
                      <w:vertAlign w:val="subscript"/>
                    </w:rPr>
                    <w:t>2</w:t>
                  </w: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年平均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0.04</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continue"/>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24小时平均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0.08</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continue"/>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1小时平均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0.20</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restart"/>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O</w:t>
                  </w:r>
                  <w:r>
                    <w:rPr>
                      <w:rFonts w:hint="default" w:ascii="Times New Roman" w:hAnsi="Times New Roman" w:eastAsia="宋体" w:cs="Times New Roman"/>
                      <w:kern w:val="0"/>
                      <w:szCs w:val="21"/>
                      <w:vertAlign w:val="subscript"/>
                    </w:rPr>
                    <w:t>3</w:t>
                  </w: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日最大8小时平均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0.16</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continue"/>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1小时平均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0.20</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restart"/>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PM</w:t>
                  </w:r>
                  <w:r>
                    <w:rPr>
                      <w:rFonts w:hint="default" w:ascii="Times New Roman" w:hAnsi="Times New Roman" w:eastAsia="宋体" w:cs="Times New Roman"/>
                      <w:kern w:val="0"/>
                      <w:szCs w:val="21"/>
                      <w:vertAlign w:val="subscript"/>
                    </w:rPr>
                    <w:t>10</w:t>
                  </w: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年平均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0.07</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continue"/>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24小时平均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0.15</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restart"/>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PM</w:t>
                  </w:r>
                  <w:r>
                    <w:rPr>
                      <w:rFonts w:hint="default" w:ascii="Times New Roman" w:hAnsi="Times New Roman" w:eastAsia="宋体" w:cs="Times New Roman"/>
                      <w:kern w:val="0"/>
                      <w:szCs w:val="21"/>
                      <w:vertAlign w:val="subscript"/>
                    </w:rPr>
                    <w:t>2.5</w:t>
                  </w: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年平均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0.035</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continue"/>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24小时平均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0.075</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restart"/>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CO</w:t>
                  </w: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24小时平均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continue"/>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c>
                <w:tcPr>
                  <w:tcW w:w="2209"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1小时平均</w:t>
                  </w:r>
                </w:p>
              </w:tc>
              <w:tc>
                <w:tcPr>
                  <w:tcW w:w="2397" w:type="dxa"/>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restart"/>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color w:val="000000"/>
                      <w:szCs w:val="21"/>
                    </w:rPr>
                    <w:t>TSP</w:t>
                  </w:r>
                </w:p>
              </w:tc>
              <w:tc>
                <w:tcPr>
                  <w:tcW w:w="2209" w:type="dxa"/>
                  <w:noWrap w:val="0"/>
                  <w:vAlign w:val="center"/>
                </w:tcPr>
                <w:p>
                  <w:pPr>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color w:val="000000"/>
                      <w:szCs w:val="21"/>
                    </w:rPr>
                    <w:t>年平均</w:t>
                  </w:r>
                </w:p>
              </w:tc>
              <w:tc>
                <w:tcPr>
                  <w:tcW w:w="2397" w:type="dxa"/>
                  <w:noWrap w:val="0"/>
                  <w:vAlign w:val="center"/>
                </w:tcPr>
                <w:p>
                  <w:pPr>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0.20</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vMerge w:val="continue"/>
                  <w:noWrap w:val="0"/>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c>
                <w:tcPr>
                  <w:tcW w:w="2209" w:type="dxa"/>
                  <w:noWrap w:val="0"/>
                  <w:vAlign w:val="center"/>
                </w:tcPr>
                <w:p>
                  <w:pPr>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color w:val="000000"/>
                      <w:szCs w:val="21"/>
                    </w:rPr>
                    <w:t>日平均</w:t>
                  </w:r>
                </w:p>
              </w:tc>
              <w:tc>
                <w:tcPr>
                  <w:tcW w:w="2397" w:type="dxa"/>
                  <w:noWrap w:val="0"/>
                  <w:vAlign w:val="center"/>
                </w:tcPr>
                <w:p>
                  <w:pPr>
                    <w:snapToGrid w:val="0"/>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0.30</w:t>
                  </w:r>
                </w:p>
              </w:tc>
              <w:tc>
                <w:tcPr>
                  <w:tcW w:w="2220" w:type="dxa"/>
                  <w:vMerge w:val="continue"/>
                  <w:noWrap w:val="0"/>
                  <w:tcMar>
                    <w:left w:w="0" w:type="dxa"/>
                    <w:right w:w="0" w:type="dxa"/>
                  </w:tcMar>
                  <w:vAlign w:val="center"/>
                </w:tcPr>
                <w:p>
                  <w:pPr>
                    <w:widowControl/>
                    <w:adjustRightInd w:val="0"/>
                    <w:snapToGrid w:val="0"/>
                    <w:spacing w:line="240" w:lineRule="exact"/>
                    <w:jc w:val="center"/>
                    <w:rPr>
                      <w:rFonts w:hint="default" w:ascii="Times New Roman" w:hAnsi="Times New Roman"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037" w:type="dxa"/>
                  <w:noWrap w:val="0"/>
                  <w:vAlign w:val="center"/>
                </w:tcPr>
                <w:p>
                  <w:pPr>
                    <w:tabs>
                      <w:tab w:val="left" w:pos="860"/>
                      <w:tab w:val="left" w:pos="1075"/>
                    </w:tabs>
                    <w:snapToGrid w:val="0"/>
                    <w:jc w:val="center"/>
                    <w:rPr>
                      <w:rFonts w:hint="eastAsia" w:ascii="Times New Roman" w:hAnsi="宋体"/>
                      <w:snapToGrid w:val="0"/>
                      <w:color w:val="000000"/>
                      <w:sz w:val="21"/>
                      <w:szCs w:val="21"/>
                    </w:rPr>
                  </w:pPr>
                  <w:r>
                    <w:rPr>
                      <w:rFonts w:hint="eastAsia" w:ascii="Times New Roman" w:hAnsi="宋体"/>
                      <w:snapToGrid w:val="0"/>
                      <w:color w:val="000000"/>
                      <w:sz w:val="21"/>
                      <w:szCs w:val="21"/>
                    </w:rPr>
                    <w:t>非甲烷</w:t>
                  </w:r>
                </w:p>
                <w:p>
                  <w:pPr>
                    <w:tabs>
                      <w:tab w:val="left" w:pos="860"/>
                      <w:tab w:val="left" w:pos="1075"/>
                    </w:tabs>
                    <w:snapToGrid w:val="0"/>
                    <w:jc w:val="center"/>
                    <w:rPr>
                      <w:rFonts w:hint="default" w:ascii="Times New Roman" w:hAnsi="Times New Roman" w:eastAsia="宋体" w:cs="Times New Roman"/>
                      <w:kern w:val="0"/>
                      <w:szCs w:val="21"/>
                    </w:rPr>
                  </w:pPr>
                  <w:r>
                    <w:rPr>
                      <w:rFonts w:hint="eastAsia" w:ascii="Times New Roman" w:hAnsi="宋体"/>
                      <w:snapToGrid w:val="0"/>
                      <w:color w:val="000000"/>
                      <w:sz w:val="21"/>
                      <w:szCs w:val="21"/>
                    </w:rPr>
                    <w:t>总烃</w:t>
                  </w:r>
                </w:p>
              </w:tc>
              <w:tc>
                <w:tcPr>
                  <w:tcW w:w="2209" w:type="dxa"/>
                  <w:noWrap w:val="0"/>
                  <w:vAlign w:val="center"/>
                </w:tcPr>
                <w:p>
                  <w:pPr>
                    <w:tabs>
                      <w:tab w:val="left" w:pos="860"/>
                      <w:tab w:val="left" w:pos="1075"/>
                    </w:tabs>
                    <w:snapToGrid w:val="0"/>
                    <w:jc w:val="center"/>
                    <w:rPr>
                      <w:rFonts w:hint="default" w:ascii="Times New Roman" w:hAnsi="Times New Roman" w:eastAsia="宋体" w:cs="Times New Roman"/>
                      <w:color w:val="000000"/>
                      <w:szCs w:val="21"/>
                    </w:rPr>
                  </w:pPr>
                  <w:r>
                    <w:rPr>
                      <w:rFonts w:hint="eastAsia" w:ascii="Times New Roman" w:hAnsi="宋体" w:eastAsia="宋体"/>
                      <w:snapToGrid w:val="0"/>
                      <w:color w:val="000000"/>
                      <w:sz w:val="21"/>
                      <w:szCs w:val="21"/>
                      <w:lang w:val="en-US" w:eastAsia="zh-CN"/>
                    </w:rPr>
                    <w:t>1</w:t>
                  </w:r>
                  <w:r>
                    <w:rPr>
                      <w:rFonts w:hint="eastAsia" w:ascii="Times New Roman" w:hAnsi="宋体"/>
                      <w:snapToGrid w:val="0"/>
                      <w:color w:val="000000"/>
                      <w:sz w:val="21"/>
                      <w:szCs w:val="21"/>
                    </w:rPr>
                    <w:t>小时平均</w:t>
                  </w:r>
                </w:p>
              </w:tc>
              <w:tc>
                <w:tcPr>
                  <w:tcW w:w="2397" w:type="dxa"/>
                  <w:noWrap w:val="0"/>
                  <w:vAlign w:val="center"/>
                </w:tcPr>
                <w:p>
                  <w:pPr>
                    <w:tabs>
                      <w:tab w:val="left" w:pos="860"/>
                      <w:tab w:val="left" w:pos="1075"/>
                    </w:tabs>
                    <w:snapToGrid w:val="0"/>
                    <w:jc w:val="center"/>
                    <w:rPr>
                      <w:rFonts w:hint="default" w:ascii="Times New Roman" w:hAnsi="Times New Roman" w:eastAsia="宋体" w:cs="Times New Roman"/>
                      <w:kern w:val="0"/>
                      <w:szCs w:val="21"/>
                    </w:rPr>
                  </w:pPr>
                  <w:r>
                    <w:rPr>
                      <w:rFonts w:hint="eastAsia" w:ascii="Times New Roman" w:hAnsi="宋体" w:eastAsia="宋体"/>
                      <w:snapToGrid w:val="0"/>
                      <w:color w:val="000000"/>
                      <w:sz w:val="21"/>
                      <w:szCs w:val="21"/>
                      <w:lang w:val="en-US" w:eastAsia="zh-CN"/>
                    </w:rPr>
                    <w:t>2</w:t>
                  </w:r>
                </w:p>
              </w:tc>
              <w:tc>
                <w:tcPr>
                  <w:tcW w:w="2220" w:type="dxa"/>
                  <w:noWrap w:val="0"/>
                  <w:tcMar>
                    <w:left w:w="0" w:type="dxa"/>
                    <w:right w:w="0" w:type="dxa"/>
                  </w:tcMar>
                  <w:vAlign w:val="center"/>
                </w:tcPr>
                <w:p>
                  <w:pPr>
                    <w:tabs>
                      <w:tab w:val="left" w:pos="860"/>
                      <w:tab w:val="left" w:pos="1075"/>
                    </w:tabs>
                    <w:snapToGrid w:val="0"/>
                    <w:jc w:val="center"/>
                    <w:rPr>
                      <w:rFonts w:hint="default" w:ascii="Times New Roman" w:hAnsi="Times New Roman" w:eastAsia="宋体" w:cs="Times New Roman"/>
                      <w:kern w:val="0"/>
                      <w:szCs w:val="21"/>
                    </w:rPr>
                  </w:pPr>
                  <w:r>
                    <w:rPr>
                      <w:rFonts w:ascii="宋体" w:hAnsi="宋体" w:eastAsia="宋体"/>
                      <w:kern w:val="0"/>
                      <w:szCs w:val="21"/>
                    </w:rPr>
                    <w:t>参照</w:t>
                  </w:r>
                  <w:r>
                    <w:rPr>
                      <w:rFonts w:hint="eastAsia" w:ascii="宋体" w:hAnsi="宋体" w:eastAsia="宋体"/>
                      <w:kern w:val="0"/>
                      <w:szCs w:val="21"/>
                    </w:rPr>
                    <w:t>《大气污染物综合排放标准详解》第</w:t>
                  </w:r>
                  <w:r>
                    <w:rPr>
                      <w:rFonts w:hint="eastAsia" w:ascii="Times New Roman" w:hAnsi="Times New Roman" w:eastAsia="宋体"/>
                      <w:kern w:val="0"/>
                      <w:szCs w:val="21"/>
                    </w:rPr>
                    <w:t>244</w:t>
                  </w:r>
                  <w:r>
                    <w:rPr>
                      <w:rFonts w:hint="eastAsia" w:ascii="宋体" w:hAnsi="宋体" w:eastAsia="宋体"/>
                      <w:kern w:val="0"/>
                      <w:szCs w:val="21"/>
                    </w:rPr>
                    <w:t>页</w:t>
                  </w:r>
                </w:p>
              </w:tc>
            </w:tr>
          </w:tbl>
          <w:p>
            <w:pPr>
              <w:autoSpaceDE w:val="0"/>
              <w:autoSpaceDN w:val="0"/>
              <w:spacing w:line="360" w:lineRule="auto"/>
              <w:ind w:firstLine="480" w:firstLineChars="200"/>
              <w:rPr>
                <w:sz w:val="24"/>
                <w:highlight w:val="none"/>
              </w:rPr>
            </w:pPr>
            <w:r>
              <w:rPr>
                <w:rFonts w:hint="eastAsia"/>
                <w:sz w:val="24"/>
                <w:highlight w:val="none"/>
              </w:rPr>
              <w:t>（1）基本污染物环境质量现状</w:t>
            </w:r>
          </w:p>
          <w:p>
            <w:pPr>
              <w:adjustRightInd w:val="0"/>
              <w:snapToGrid w:val="0"/>
              <w:spacing w:line="360" w:lineRule="auto"/>
              <w:ind w:firstLine="480" w:firstLineChars="200"/>
              <w:rPr>
                <w:sz w:val="24"/>
                <w:highlight w:val="none"/>
              </w:rPr>
            </w:pPr>
            <w:r>
              <w:rPr>
                <w:sz w:val="24"/>
                <w:highlight w:val="none"/>
              </w:rPr>
              <w:t>根据2020年按宜兴市五局大院和宜园2个空气自动站实况进行统计，宜兴城区二氧化硫浓度年均值为10微克/立方米；二氧化氮浓度年均值为33微克/立方米；可吸入颗粒物（PM10）浓度年均值为49微克/立方米，细颗粒物（PM2.5）浓度年均值为30.0微克/立方米，一氧化碳（CO）浓度（以一氧化碳第95百分位浓度计）值为1.2毫克/立方米，臭氧（O</w:t>
            </w:r>
            <w:r>
              <w:rPr>
                <w:sz w:val="24"/>
                <w:highlight w:val="none"/>
                <w:vertAlign w:val="subscript"/>
              </w:rPr>
              <w:t>3</w:t>
            </w:r>
            <w:r>
              <w:rPr>
                <w:sz w:val="24"/>
                <w:highlight w:val="none"/>
              </w:rPr>
              <w:t>）8小时浓度（以臭氧日最大八小时均值第90百分位浓度计）为169微克/立方米。指数（AQI）达标率为82.5%。</w:t>
            </w:r>
          </w:p>
          <w:p>
            <w:pPr>
              <w:adjustRightInd w:val="0"/>
              <w:snapToGrid w:val="0"/>
              <w:spacing w:line="360" w:lineRule="auto"/>
              <w:ind w:firstLine="480" w:firstLineChars="200"/>
              <w:rPr>
                <w:rFonts w:ascii="Times New Roman" w:hAnsi="Times New Roman"/>
                <w:b/>
                <w:bCs/>
                <w:color w:val="000000"/>
                <w:szCs w:val="21"/>
                <w:highlight w:val="none"/>
              </w:rPr>
            </w:pPr>
            <w:r>
              <w:rPr>
                <w:sz w:val="24"/>
                <w:highlight w:val="none"/>
              </w:rPr>
              <w:t>本项目所在区域宜兴市环境空气质量达标情况分析如下。本项目所在区域宜兴市环境空气质量达标情况分析见表 3-</w:t>
            </w:r>
            <w:r>
              <w:rPr>
                <w:rFonts w:hint="eastAsia"/>
                <w:sz w:val="24"/>
                <w:highlight w:val="none"/>
                <w:lang w:val="en-US" w:eastAsia="zh-CN"/>
              </w:rPr>
              <w:t>2</w:t>
            </w:r>
            <w:r>
              <w:rPr>
                <w:sz w:val="24"/>
                <w:highlight w:val="none"/>
              </w:rPr>
              <w:t>。</w:t>
            </w:r>
          </w:p>
          <w:p>
            <w:pPr>
              <w:pStyle w:val="32"/>
              <w:shd w:val="clear" w:color="auto" w:fill="FFFFFF"/>
              <w:adjustRightInd w:val="0"/>
              <w:snapToGrid w:val="0"/>
              <w:spacing w:before="0" w:beforeAutospacing="0" w:after="0" w:afterAutospacing="0"/>
              <w:jc w:val="center"/>
              <w:rPr>
                <w:rFonts w:ascii="Times New Roman" w:hAnsi="Times New Roman"/>
                <w:b/>
                <w:bCs/>
                <w:color w:val="000000"/>
                <w:szCs w:val="21"/>
                <w:highlight w:val="none"/>
              </w:rPr>
            </w:pPr>
          </w:p>
          <w:p>
            <w:pPr>
              <w:pStyle w:val="32"/>
              <w:shd w:val="clear" w:color="auto" w:fill="FFFFFF"/>
              <w:adjustRightInd w:val="0"/>
              <w:snapToGrid w:val="0"/>
              <w:spacing w:before="0" w:beforeAutospacing="0" w:after="0" w:afterAutospacing="0"/>
              <w:jc w:val="center"/>
              <w:rPr>
                <w:rFonts w:ascii="Times New Roman" w:hAnsi="Times New Roman"/>
                <w:b/>
                <w:bCs/>
                <w:color w:val="000000"/>
                <w:szCs w:val="21"/>
                <w:highlight w:val="none"/>
              </w:rPr>
            </w:pPr>
          </w:p>
          <w:p>
            <w:pPr>
              <w:pStyle w:val="32"/>
              <w:shd w:val="clear" w:color="auto" w:fill="FFFFFF"/>
              <w:adjustRightInd w:val="0"/>
              <w:snapToGrid w:val="0"/>
              <w:spacing w:before="0" w:beforeAutospacing="0" w:after="0" w:afterAutospacing="0"/>
              <w:jc w:val="center"/>
              <w:rPr>
                <w:rFonts w:ascii="Times New Roman" w:hAnsi="Times New Roman"/>
                <w:b/>
                <w:bCs/>
                <w:color w:val="000000"/>
                <w:szCs w:val="21"/>
                <w:highlight w:val="none"/>
              </w:rPr>
            </w:pPr>
            <w:r>
              <w:rPr>
                <w:rFonts w:ascii="Times New Roman" w:hAnsi="Times New Roman"/>
                <w:b/>
                <w:bCs/>
                <w:color w:val="000000"/>
                <w:szCs w:val="21"/>
                <w:highlight w:val="none"/>
              </w:rPr>
              <w:t>表3-</w:t>
            </w:r>
            <w:r>
              <w:rPr>
                <w:rFonts w:hint="eastAsia" w:ascii="Times New Roman" w:hAnsi="Times New Roman"/>
                <w:b/>
                <w:bCs/>
                <w:color w:val="000000"/>
                <w:szCs w:val="21"/>
                <w:highlight w:val="none"/>
                <w:lang w:val="en-US" w:eastAsia="zh-CN"/>
              </w:rPr>
              <w:t>2</w:t>
            </w:r>
            <w:r>
              <w:rPr>
                <w:rFonts w:ascii="Times New Roman" w:hAnsi="Times New Roman"/>
                <w:b/>
                <w:bCs/>
                <w:color w:val="000000"/>
                <w:szCs w:val="21"/>
                <w:highlight w:val="none"/>
              </w:rPr>
              <w:t xml:space="preserve">   2020年宜兴市区环境空气质量情况</w:t>
            </w:r>
          </w:p>
          <w:tbl>
            <w:tblPr>
              <w:tblStyle w:val="36"/>
              <w:tblW w:w="797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1156"/>
              <w:gridCol w:w="1156"/>
              <w:gridCol w:w="1156"/>
              <w:gridCol w:w="1156"/>
              <w:gridCol w:w="1156"/>
              <w:gridCol w:w="10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Align w:val="center"/>
                </w:tcPr>
                <w:p>
                  <w:pPr>
                    <w:pStyle w:val="32"/>
                    <w:adjustRightInd w:val="0"/>
                    <w:snapToGrid w:val="0"/>
                    <w:spacing w:before="0" w:beforeAutospacing="0" w:after="0" w:afterAutospacing="0"/>
                    <w:jc w:val="center"/>
                    <w:rPr>
                      <w:rFonts w:ascii="Times New Roman" w:hAnsi="Times New Roman"/>
                      <w:b/>
                      <w:bCs/>
                      <w:color w:val="000000"/>
                      <w:sz w:val="21"/>
                      <w:szCs w:val="21"/>
                      <w:highlight w:val="none"/>
                    </w:rPr>
                  </w:pPr>
                  <w:r>
                    <w:rPr>
                      <w:rFonts w:hint="eastAsia" w:ascii="Times New Roman" w:hAnsi="Times New Roman"/>
                      <w:b/>
                      <w:bCs/>
                      <w:color w:val="000000"/>
                      <w:sz w:val="21"/>
                      <w:szCs w:val="21"/>
                      <w:highlight w:val="none"/>
                    </w:rPr>
                    <w:t>评价因子</w:t>
                  </w:r>
                </w:p>
              </w:tc>
              <w:tc>
                <w:tcPr>
                  <w:tcW w:w="1156" w:type="dxa"/>
                  <w:vAlign w:val="center"/>
                </w:tcPr>
                <w:p>
                  <w:pPr>
                    <w:pStyle w:val="32"/>
                    <w:adjustRightInd w:val="0"/>
                    <w:snapToGrid w:val="0"/>
                    <w:spacing w:before="0" w:beforeAutospacing="0" w:after="0" w:afterAutospacing="0"/>
                    <w:jc w:val="center"/>
                    <w:rPr>
                      <w:rFonts w:ascii="Times New Roman" w:hAnsi="Times New Roman"/>
                      <w:b/>
                      <w:bCs/>
                      <w:color w:val="000000"/>
                      <w:sz w:val="21"/>
                      <w:szCs w:val="21"/>
                      <w:highlight w:val="none"/>
                    </w:rPr>
                  </w:pPr>
                  <w:r>
                    <w:rPr>
                      <w:rFonts w:ascii="Times New Roman" w:hAnsi="Times New Roman"/>
                      <w:b/>
                      <w:bCs/>
                      <w:color w:val="000000"/>
                      <w:sz w:val="21"/>
                      <w:szCs w:val="21"/>
                      <w:highlight w:val="none"/>
                    </w:rPr>
                    <w:t>年评价指标</w:t>
                  </w:r>
                </w:p>
              </w:tc>
              <w:tc>
                <w:tcPr>
                  <w:tcW w:w="1156" w:type="dxa"/>
                  <w:vAlign w:val="center"/>
                </w:tcPr>
                <w:p>
                  <w:pPr>
                    <w:pStyle w:val="32"/>
                    <w:adjustRightInd w:val="0"/>
                    <w:snapToGrid w:val="0"/>
                    <w:spacing w:before="0" w:beforeAutospacing="0" w:after="0" w:afterAutospacing="0"/>
                    <w:jc w:val="center"/>
                    <w:rPr>
                      <w:rFonts w:ascii="Times New Roman" w:hAnsi="Times New Roman"/>
                      <w:b/>
                      <w:bCs/>
                      <w:color w:val="000000"/>
                      <w:sz w:val="21"/>
                      <w:szCs w:val="21"/>
                      <w:highlight w:val="none"/>
                    </w:rPr>
                  </w:pPr>
                  <w:r>
                    <w:rPr>
                      <w:rFonts w:ascii="Times New Roman" w:hAnsi="Times New Roman"/>
                      <w:b/>
                      <w:bCs/>
                      <w:color w:val="000000"/>
                      <w:sz w:val="21"/>
                      <w:szCs w:val="21"/>
                      <w:highlight w:val="none"/>
                    </w:rPr>
                    <w:t xml:space="preserve">现状浓度μg/m </w:t>
                  </w:r>
                  <w:r>
                    <w:rPr>
                      <w:rFonts w:ascii="Times New Roman" w:hAnsi="Times New Roman"/>
                      <w:b/>
                      <w:bCs/>
                      <w:color w:val="000000"/>
                      <w:sz w:val="21"/>
                      <w:szCs w:val="21"/>
                      <w:highlight w:val="none"/>
                      <w:vertAlign w:val="superscript"/>
                    </w:rPr>
                    <w:t>3</w:t>
                  </w:r>
                  <w:r>
                    <w:rPr>
                      <w:rFonts w:ascii="Times New Roman" w:hAnsi="Times New Roman"/>
                      <w:b/>
                      <w:bCs/>
                      <w:color w:val="000000"/>
                      <w:sz w:val="21"/>
                      <w:szCs w:val="21"/>
                      <w:highlight w:val="none"/>
                    </w:rPr>
                    <w:t xml:space="preserve"> </w:t>
                  </w:r>
                </w:p>
              </w:tc>
              <w:tc>
                <w:tcPr>
                  <w:tcW w:w="1156" w:type="dxa"/>
                  <w:vAlign w:val="center"/>
                </w:tcPr>
                <w:p>
                  <w:pPr>
                    <w:pStyle w:val="32"/>
                    <w:adjustRightInd w:val="0"/>
                    <w:snapToGrid w:val="0"/>
                    <w:spacing w:before="0" w:beforeAutospacing="0" w:after="0" w:afterAutospacing="0"/>
                    <w:jc w:val="center"/>
                    <w:rPr>
                      <w:rFonts w:ascii="Times New Roman" w:hAnsi="Times New Roman"/>
                      <w:b/>
                      <w:bCs/>
                      <w:color w:val="000000"/>
                      <w:sz w:val="21"/>
                      <w:szCs w:val="21"/>
                      <w:highlight w:val="none"/>
                    </w:rPr>
                  </w:pPr>
                  <w:r>
                    <w:rPr>
                      <w:rFonts w:ascii="Times New Roman" w:hAnsi="Times New Roman"/>
                      <w:b/>
                      <w:bCs/>
                      <w:color w:val="000000"/>
                      <w:sz w:val="21"/>
                      <w:szCs w:val="21"/>
                      <w:highlight w:val="none"/>
                    </w:rPr>
                    <w:t xml:space="preserve">标准值μg/m </w:t>
                  </w:r>
                  <w:r>
                    <w:rPr>
                      <w:rFonts w:ascii="Times New Roman" w:hAnsi="Times New Roman"/>
                      <w:b/>
                      <w:bCs/>
                      <w:color w:val="000000"/>
                      <w:sz w:val="21"/>
                      <w:szCs w:val="21"/>
                      <w:highlight w:val="none"/>
                      <w:vertAlign w:val="superscript"/>
                    </w:rPr>
                    <w:t>3</w:t>
                  </w:r>
                  <w:r>
                    <w:rPr>
                      <w:rFonts w:ascii="Times New Roman" w:hAnsi="Times New Roman"/>
                      <w:b/>
                      <w:bCs/>
                      <w:color w:val="000000"/>
                      <w:sz w:val="21"/>
                      <w:szCs w:val="21"/>
                      <w:highlight w:val="none"/>
                    </w:rPr>
                    <w:t xml:space="preserve"> </w:t>
                  </w:r>
                </w:p>
              </w:tc>
              <w:tc>
                <w:tcPr>
                  <w:tcW w:w="1156" w:type="dxa"/>
                  <w:vAlign w:val="center"/>
                </w:tcPr>
                <w:p>
                  <w:pPr>
                    <w:pStyle w:val="32"/>
                    <w:adjustRightInd w:val="0"/>
                    <w:snapToGrid w:val="0"/>
                    <w:spacing w:before="0" w:beforeAutospacing="0" w:after="0" w:afterAutospacing="0"/>
                    <w:jc w:val="center"/>
                    <w:rPr>
                      <w:rFonts w:ascii="Times New Roman" w:hAnsi="Times New Roman"/>
                      <w:b/>
                      <w:bCs/>
                      <w:color w:val="000000"/>
                      <w:sz w:val="21"/>
                      <w:szCs w:val="21"/>
                      <w:highlight w:val="none"/>
                    </w:rPr>
                  </w:pPr>
                  <w:r>
                    <w:rPr>
                      <w:rFonts w:ascii="Times New Roman" w:hAnsi="Times New Roman"/>
                      <w:b/>
                      <w:bCs/>
                      <w:color w:val="000000"/>
                      <w:sz w:val="21"/>
                      <w:szCs w:val="21"/>
                      <w:highlight w:val="none"/>
                    </w:rPr>
                    <w:t>占标率100%</w:t>
                  </w:r>
                </w:p>
              </w:tc>
              <w:tc>
                <w:tcPr>
                  <w:tcW w:w="1156" w:type="dxa"/>
                  <w:vAlign w:val="center"/>
                </w:tcPr>
                <w:p>
                  <w:pPr>
                    <w:pStyle w:val="32"/>
                    <w:adjustRightInd w:val="0"/>
                    <w:snapToGrid w:val="0"/>
                    <w:spacing w:before="0" w:beforeAutospacing="0" w:after="0" w:afterAutospacing="0"/>
                    <w:jc w:val="center"/>
                    <w:rPr>
                      <w:rFonts w:ascii="Times New Roman" w:hAnsi="Times New Roman"/>
                      <w:b/>
                      <w:bCs/>
                      <w:color w:val="000000"/>
                      <w:sz w:val="21"/>
                      <w:szCs w:val="21"/>
                      <w:highlight w:val="none"/>
                    </w:rPr>
                  </w:pPr>
                  <w:r>
                    <w:rPr>
                      <w:rFonts w:ascii="Times New Roman" w:hAnsi="Times New Roman"/>
                      <w:b/>
                      <w:bCs/>
                      <w:color w:val="000000"/>
                      <w:sz w:val="21"/>
                      <w:szCs w:val="21"/>
                      <w:highlight w:val="none"/>
                    </w:rPr>
                    <w:t>达标情况</w:t>
                  </w:r>
                </w:p>
              </w:tc>
              <w:tc>
                <w:tcPr>
                  <w:tcW w:w="1034" w:type="dxa"/>
                  <w:vAlign w:val="center"/>
                </w:tcPr>
                <w:p>
                  <w:pPr>
                    <w:pStyle w:val="32"/>
                    <w:adjustRightInd w:val="0"/>
                    <w:snapToGrid w:val="0"/>
                    <w:spacing w:before="0" w:beforeAutospacing="0" w:after="0" w:afterAutospacing="0"/>
                    <w:jc w:val="center"/>
                    <w:rPr>
                      <w:rFonts w:ascii="Times New Roman" w:hAnsi="Times New Roman"/>
                      <w:b/>
                      <w:bCs/>
                      <w:color w:val="000000"/>
                      <w:sz w:val="21"/>
                      <w:szCs w:val="21"/>
                      <w:highlight w:val="none"/>
                    </w:rPr>
                  </w:pPr>
                  <w:r>
                    <w:rPr>
                      <w:rFonts w:ascii="Times New Roman" w:hAnsi="Times New Roman"/>
                      <w:b/>
                      <w:bCs/>
                      <w:color w:val="000000"/>
                      <w:sz w:val="21"/>
                      <w:szCs w:val="21"/>
                      <w:highlight w:val="none"/>
                    </w:rPr>
                    <w:t>超标率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color w:val="000000"/>
                      <w:sz w:val="21"/>
                      <w:szCs w:val="21"/>
                      <w:highlight w:val="none"/>
                    </w:rPr>
                    <w:t>SO</w:t>
                  </w:r>
                  <w:r>
                    <w:rPr>
                      <w:rFonts w:ascii="Times New Roman" w:hAnsi="Times New Roman"/>
                      <w:color w:val="000000"/>
                      <w:sz w:val="21"/>
                      <w:szCs w:val="21"/>
                      <w:highlight w:val="none"/>
                      <w:vertAlign w:val="subscript"/>
                    </w:rPr>
                    <w:t>2</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年均质</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10</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60</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16.7</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达标</w:t>
                  </w:r>
                </w:p>
              </w:tc>
              <w:tc>
                <w:tcPr>
                  <w:tcW w:w="1034"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color w:val="000000"/>
                      <w:sz w:val="21"/>
                      <w:szCs w:val="21"/>
                      <w:highlight w:val="none"/>
                    </w:rPr>
                    <w:t>NO</w:t>
                  </w:r>
                  <w:r>
                    <w:rPr>
                      <w:rFonts w:ascii="Times New Roman" w:hAnsi="Times New Roman"/>
                      <w:color w:val="000000"/>
                      <w:sz w:val="21"/>
                      <w:szCs w:val="21"/>
                      <w:highlight w:val="none"/>
                      <w:vertAlign w:val="subscript"/>
                    </w:rPr>
                    <w:t>X</w:t>
                  </w:r>
                </w:p>
              </w:tc>
              <w:tc>
                <w:tcPr>
                  <w:tcW w:w="1156" w:type="dxa"/>
                  <w:vAlign w:val="center"/>
                </w:tcPr>
                <w:p>
                  <w:pPr>
                    <w:widowControl/>
                    <w:adjustRightInd w:val="0"/>
                    <w:snapToGrid w:val="0"/>
                    <w:jc w:val="center"/>
                    <w:rPr>
                      <w:color w:val="000000"/>
                      <w:szCs w:val="21"/>
                      <w:highlight w:val="none"/>
                    </w:rPr>
                  </w:pPr>
                  <w:r>
                    <w:rPr>
                      <w:bCs/>
                      <w:szCs w:val="21"/>
                      <w:highlight w:val="none"/>
                    </w:rPr>
                    <w:t>年均值</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33</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40</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82.5</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达标</w:t>
                  </w:r>
                </w:p>
              </w:tc>
              <w:tc>
                <w:tcPr>
                  <w:tcW w:w="1034"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color w:val="000000"/>
                      <w:sz w:val="21"/>
                      <w:szCs w:val="21"/>
                      <w:highlight w:val="none"/>
                    </w:rPr>
                    <w:t>PM</w:t>
                  </w:r>
                  <w:r>
                    <w:rPr>
                      <w:rFonts w:ascii="Times New Roman" w:hAnsi="Times New Roman"/>
                      <w:color w:val="000000"/>
                      <w:sz w:val="21"/>
                      <w:szCs w:val="21"/>
                      <w:highlight w:val="none"/>
                      <w:vertAlign w:val="subscript"/>
                    </w:rPr>
                    <w:t>10</w:t>
                  </w:r>
                </w:p>
              </w:tc>
              <w:tc>
                <w:tcPr>
                  <w:tcW w:w="1156" w:type="dxa"/>
                  <w:vAlign w:val="center"/>
                </w:tcPr>
                <w:p>
                  <w:pPr>
                    <w:widowControl/>
                    <w:adjustRightInd w:val="0"/>
                    <w:snapToGrid w:val="0"/>
                    <w:jc w:val="center"/>
                    <w:rPr>
                      <w:color w:val="000000"/>
                      <w:szCs w:val="21"/>
                      <w:highlight w:val="none"/>
                    </w:rPr>
                  </w:pPr>
                  <w:r>
                    <w:rPr>
                      <w:bCs/>
                      <w:szCs w:val="21"/>
                      <w:highlight w:val="none"/>
                    </w:rPr>
                    <w:t>年均值</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color w:val="000000"/>
                      <w:sz w:val="21"/>
                      <w:szCs w:val="21"/>
                      <w:highlight w:val="none"/>
                    </w:rPr>
                    <w:t>49</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70</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70.0</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达标</w:t>
                  </w:r>
                </w:p>
              </w:tc>
              <w:tc>
                <w:tcPr>
                  <w:tcW w:w="1034"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color w:val="000000"/>
                      <w:sz w:val="21"/>
                      <w:szCs w:val="21"/>
                      <w:highlight w:val="none"/>
                    </w:rPr>
                    <w:t>PM</w:t>
                  </w:r>
                  <w:r>
                    <w:rPr>
                      <w:rFonts w:ascii="Times New Roman" w:hAnsi="Times New Roman"/>
                      <w:color w:val="000000"/>
                      <w:sz w:val="21"/>
                      <w:szCs w:val="21"/>
                      <w:highlight w:val="none"/>
                      <w:vertAlign w:val="subscript"/>
                    </w:rPr>
                    <w:t>2.5</w:t>
                  </w:r>
                </w:p>
              </w:tc>
              <w:tc>
                <w:tcPr>
                  <w:tcW w:w="1156" w:type="dxa"/>
                  <w:vAlign w:val="center"/>
                </w:tcPr>
                <w:p>
                  <w:pPr>
                    <w:widowControl/>
                    <w:adjustRightInd w:val="0"/>
                    <w:snapToGrid w:val="0"/>
                    <w:jc w:val="center"/>
                    <w:rPr>
                      <w:bCs/>
                      <w:szCs w:val="21"/>
                      <w:highlight w:val="none"/>
                    </w:rPr>
                  </w:pPr>
                  <w:r>
                    <w:rPr>
                      <w:bCs/>
                      <w:szCs w:val="21"/>
                      <w:highlight w:val="none"/>
                    </w:rPr>
                    <w:t>年均值</w:t>
                  </w:r>
                </w:p>
              </w:tc>
              <w:tc>
                <w:tcPr>
                  <w:tcW w:w="1156" w:type="dxa"/>
                  <w:vAlign w:val="center"/>
                </w:tcPr>
                <w:p>
                  <w:pPr>
                    <w:pStyle w:val="32"/>
                    <w:adjustRightInd w:val="0"/>
                    <w:snapToGrid w:val="0"/>
                    <w:spacing w:before="0" w:beforeAutospacing="0" w:after="0" w:afterAutospacing="0"/>
                    <w:jc w:val="center"/>
                    <w:rPr>
                      <w:rFonts w:ascii="Times New Roman" w:hAnsi="Times New Roman"/>
                      <w:bCs/>
                      <w:sz w:val="21"/>
                      <w:szCs w:val="21"/>
                      <w:highlight w:val="none"/>
                    </w:rPr>
                  </w:pPr>
                  <w:r>
                    <w:rPr>
                      <w:rFonts w:ascii="Times New Roman" w:hAnsi="Times New Roman"/>
                      <w:bCs/>
                      <w:sz w:val="21"/>
                      <w:szCs w:val="21"/>
                      <w:highlight w:val="none"/>
                    </w:rPr>
                    <w:t>30</w:t>
                  </w:r>
                </w:p>
              </w:tc>
              <w:tc>
                <w:tcPr>
                  <w:tcW w:w="1156" w:type="dxa"/>
                  <w:vAlign w:val="center"/>
                </w:tcPr>
                <w:p>
                  <w:pPr>
                    <w:pStyle w:val="32"/>
                    <w:adjustRightInd w:val="0"/>
                    <w:snapToGrid w:val="0"/>
                    <w:spacing w:before="0" w:beforeAutospacing="0" w:after="0" w:afterAutospacing="0"/>
                    <w:jc w:val="center"/>
                    <w:rPr>
                      <w:rFonts w:ascii="Times New Roman" w:hAnsi="Times New Roman"/>
                      <w:bCs/>
                      <w:sz w:val="21"/>
                      <w:szCs w:val="21"/>
                      <w:highlight w:val="none"/>
                    </w:rPr>
                  </w:pPr>
                  <w:r>
                    <w:rPr>
                      <w:rFonts w:ascii="Times New Roman" w:hAnsi="Times New Roman"/>
                      <w:bCs/>
                      <w:sz w:val="21"/>
                      <w:szCs w:val="21"/>
                      <w:highlight w:val="none"/>
                    </w:rPr>
                    <w:t>35</w:t>
                  </w:r>
                </w:p>
              </w:tc>
              <w:tc>
                <w:tcPr>
                  <w:tcW w:w="1156" w:type="dxa"/>
                  <w:vAlign w:val="center"/>
                </w:tcPr>
                <w:p>
                  <w:pPr>
                    <w:pStyle w:val="32"/>
                    <w:adjustRightInd w:val="0"/>
                    <w:snapToGrid w:val="0"/>
                    <w:spacing w:before="0" w:beforeAutospacing="0" w:after="0" w:afterAutospacing="0"/>
                    <w:jc w:val="center"/>
                    <w:rPr>
                      <w:rFonts w:ascii="Times New Roman" w:hAnsi="Times New Roman"/>
                      <w:bCs/>
                      <w:sz w:val="21"/>
                      <w:szCs w:val="21"/>
                      <w:highlight w:val="none"/>
                    </w:rPr>
                  </w:pPr>
                  <w:r>
                    <w:rPr>
                      <w:rFonts w:ascii="Times New Roman" w:hAnsi="Times New Roman"/>
                      <w:bCs/>
                      <w:sz w:val="21"/>
                      <w:szCs w:val="21"/>
                      <w:highlight w:val="none"/>
                    </w:rPr>
                    <w:t>85.7</w:t>
                  </w:r>
                </w:p>
              </w:tc>
              <w:tc>
                <w:tcPr>
                  <w:tcW w:w="1156" w:type="dxa"/>
                  <w:vAlign w:val="center"/>
                </w:tcPr>
                <w:p>
                  <w:pPr>
                    <w:pStyle w:val="32"/>
                    <w:adjustRightInd w:val="0"/>
                    <w:snapToGrid w:val="0"/>
                    <w:spacing w:before="0" w:beforeAutospacing="0" w:after="0" w:afterAutospacing="0"/>
                    <w:jc w:val="center"/>
                    <w:rPr>
                      <w:rFonts w:ascii="Times New Roman" w:hAnsi="Times New Roman"/>
                      <w:bCs/>
                      <w:sz w:val="21"/>
                      <w:szCs w:val="21"/>
                      <w:highlight w:val="none"/>
                    </w:rPr>
                  </w:pPr>
                  <w:r>
                    <w:rPr>
                      <w:rFonts w:ascii="Times New Roman" w:hAnsi="Times New Roman"/>
                      <w:bCs/>
                      <w:sz w:val="21"/>
                      <w:szCs w:val="21"/>
                      <w:highlight w:val="none"/>
                    </w:rPr>
                    <w:t>达标</w:t>
                  </w:r>
                </w:p>
              </w:tc>
              <w:tc>
                <w:tcPr>
                  <w:tcW w:w="1034" w:type="dxa"/>
                  <w:vAlign w:val="center"/>
                </w:tcPr>
                <w:p>
                  <w:pPr>
                    <w:pStyle w:val="32"/>
                    <w:adjustRightInd w:val="0"/>
                    <w:snapToGrid w:val="0"/>
                    <w:spacing w:before="0" w:beforeAutospacing="0" w:after="0" w:afterAutospacing="0"/>
                    <w:jc w:val="center"/>
                    <w:rPr>
                      <w:rFonts w:ascii="Times New Roman" w:hAnsi="Times New Roman"/>
                      <w:bCs/>
                      <w:sz w:val="21"/>
                      <w:szCs w:val="21"/>
                      <w:highlight w:val="none"/>
                    </w:rPr>
                  </w:pPr>
                  <w:r>
                    <w:rPr>
                      <w:rFonts w:ascii="Times New Roman" w:hAnsi="Times New Roman"/>
                      <w:bCs/>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color w:val="000000"/>
                      <w:sz w:val="21"/>
                      <w:szCs w:val="21"/>
                      <w:highlight w:val="none"/>
                    </w:rPr>
                    <w:t>CO</w:t>
                  </w:r>
                </w:p>
              </w:tc>
              <w:tc>
                <w:tcPr>
                  <w:tcW w:w="1156" w:type="dxa"/>
                  <w:vAlign w:val="center"/>
                </w:tcPr>
                <w:p>
                  <w:pPr>
                    <w:widowControl/>
                    <w:adjustRightInd w:val="0"/>
                    <w:snapToGrid w:val="0"/>
                    <w:jc w:val="center"/>
                    <w:rPr>
                      <w:color w:val="000000"/>
                      <w:szCs w:val="21"/>
                      <w:highlight w:val="none"/>
                    </w:rPr>
                  </w:pPr>
                  <w:r>
                    <w:rPr>
                      <w:bCs/>
                      <w:szCs w:val="21"/>
                      <w:highlight w:val="none"/>
                    </w:rPr>
                    <w:t>年均值</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1200</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2000</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60.0</w:t>
                  </w:r>
                </w:p>
              </w:tc>
              <w:tc>
                <w:tcPr>
                  <w:tcW w:w="1156"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达标</w:t>
                  </w:r>
                </w:p>
              </w:tc>
              <w:tc>
                <w:tcPr>
                  <w:tcW w:w="1034" w:type="dxa"/>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shd w:val="clear" w:color="auto" w:fill="auto"/>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color w:val="000000"/>
                      <w:sz w:val="21"/>
                      <w:szCs w:val="21"/>
                      <w:highlight w:val="none"/>
                    </w:rPr>
                    <w:t>O</w:t>
                  </w:r>
                  <w:r>
                    <w:rPr>
                      <w:rFonts w:ascii="Times New Roman" w:hAnsi="Times New Roman"/>
                      <w:color w:val="000000"/>
                      <w:sz w:val="21"/>
                      <w:szCs w:val="21"/>
                      <w:highlight w:val="none"/>
                      <w:vertAlign w:val="subscript"/>
                    </w:rPr>
                    <w:t>3</w:t>
                  </w:r>
                </w:p>
              </w:tc>
              <w:tc>
                <w:tcPr>
                  <w:tcW w:w="1156" w:type="dxa"/>
                  <w:shd w:val="clear" w:color="auto" w:fill="auto"/>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8h平均</w:t>
                  </w:r>
                </w:p>
              </w:tc>
              <w:tc>
                <w:tcPr>
                  <w:tcW w:w="1156" w:type="dxa"/>
                  <w:shd w:val="clear" w:color="auto" w:fill="auto"/>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169</w:t>
                  </w:r>
                </w:p>
              </w:tc>
              <w:tc>
                <w:tcPr>
                  <w:tcW w:w="1156" w:type="dxa"/>
                  <w:shd w:val="clear" w:color="auto" w:fill="auto"/>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160</w:t>
                  </w:r>
                </w:p>
              </w:tc>
              <w:tc>
                <w:tcPr>
                  <w:tcW w:w="1156" w:type="dxa"/>
                  <w:shd w:val="clear" w:color="auto" w:fill="auto"/>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105.6</w:t>
                  </w:r>
                </w:p>
              </w:tc>
              <w:tc>
                <w:tcPr>
                  <w:tcW w:w="1156" w:type="dxa"/>
                  <w:shd w:val="clear" w:color="auto" w:fill="auto"/>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不达标</w:t>
                  </w:r>
                </w:p>
              </w:tc>
              <w:tc>
                <w:tcPr>
                  <w:tcW w:w="1034" w:type="dxa"/>
                  <w:shd w:val="clear" w:color="auto" w:fill="BEBEBE"/>
                  <w:vAlign w:val="center"/>
                </w:tcPr>
                <w:p>
                  <w:pPr>
                    <w:pStyle w:val="32"/>
                    <w:adjustRightInd w:val="0"/>
                    <w:snapToGrid w:val="0"/>
                    <w:spacing w:before="0" w:beforeAutospacing="0" w:after="0" w:afterAutospacing="0"/>
                    <w:jc w:val="center"/>
                    <w:rPr>
                      <w:rFonts w:ascii="Times New Roman" w:hAnsi="Times New Roman"/>
                      <w:color w:val="000000"/>
                      <w:sz w:val="21"/>
                      <w:szCs w:val="21"/>
                      <w:highlight w:val="none"/>
                    </w:rPr>
                  </w:pPr>
                  <w:r>
                    <w:rPr>
                      <w:rFonts w:ascii="Times New Roman" w:hAnsi="Times New Roman"/>
                      <w:bCs/>
                      <w:sz w:val="21"/>
                      <w:szCs w:val="21"/>
                      <w:highlight w:val="none"/>
                    </w:rPr>
                    <w:t>5.7%</w:t>
                  </w:r>
                </w:p>
              </w:tc>
            </w:tr>
          </w:tbl>
          <w:p>
            <w:pPr>
              <w:autoSpaceDE w:val="0"/>
              <w:autoSpaceDN w:val="0"/>
              <w:adjustRightInd w:val="0"/>
              <w:snapToGrid w:val="0"/>
              <w:spacing w:line="360" w:lineRule="auto"/>
              <w:rPr>
                <w:sz w:val="10"/>
                <w:szCs w:val="10"/>
                <w:highlight w:val="none"/>
              </w:rPr>
            </w:pPr>
          </w:p>
          <w:p>
            <w:pPr>
              <w:adjustRightInd w:val="0"/>
              <w:snapToGrid w:val="0"/>
              <w:spacing w:line="360" w:lineRule="auto"/>
              <w:ind w:firstLine="480" w:firstLineChars="200"/>
              <w:rPr>
                <w:sz w:val="24"/>
                <w:highlight w:val="none"/>
              </w:rPr>
            </w:pPr>
            <w:r>
              <w:rPr>
                <w:sz w:val="24"/>
                <w:highlight w:val="none"/>
              </w:rPr>
              <w:t>由上表3-</w:t>
            </w:r>
            <w:r>
              <w:rPr>
                <w:rFonts w:hint="eastAsia"/>
                <w:sz w:val="24"/>
                <w:highlight w:val="none"/>
                <w:lang w:val="en-US" w:eastAsia="zh-CN"/>
              </w:rPr>
              <w:t>2</w:t>
            </w:r>
            <w:r>
              <w:rPr>
                <w:sz w:val="24"/>
                <w:highlight w:val="none"/>
              </w:rPr>
              <w:t>可知二氧化硫、二氧化氮、一氧化碳、可吸入颗粒物、细颗粒物相关指标符合《环境空气质量标准》（GB3095-2012）二级标准，臭氧的年均浓度超过《环境空气质量标准》（GB3095-2012）二级标准浓度限值。项目所在区域环境空气质量为不达标区。</w:t>
            </w:r>
          </w:p>
          <w:p>
            <w:pPr>
              <w:autoSpaceDE w:val="0"/>
              <w:autoSpaceDN w:val="0"/>
              <w:spacing w:line="360" w:lineRule="auto"/>
              <w:ind w:firstLine="480" w:firstLineChars="200"/>
              <w:rPr>
                <w:sz w:val="24"/>
                <w:highlight w:val="none"/>
              </w:rPr>
            </w:pPr>
            <w:r>
              <w:rPr>
                <w:rFonts w:hint="eastAsia"/>
                <w:sz w:val="24"/>
                <w:highlight w:val="none"/>
              </w:rPr>
              <w:t>（</w:t>
            </w:r>
            <w:r>
              <w:rPr>
                <w:rFonts w:hint="eastAsia"/>
                <w:sz w:val="24"/>
                <w:highlight w:val="none"/>
                <w:lang w:val="en-US" w:eastAsia="zh-CN"/>
              </w:rPr>
              <w:t>2</w:t>
            </w:r>
            <w:r>
              <w:rPr>
                <w:rFonts w:hint="eastAsia"/>
                <w:sz w:val="24"/>
                <w:highlight w:val="none"/>
              </w:rPr>
              <w:t>）大气环境质量限期达标规划</w:t>
            </w:r>
          </w:p>
          <w:p>
            <w:pPr>
              <w:adjustRightInd w:val="0"/>
              <w:snapToGrid w:val="0"/>
              <w:spacing w:line="360" w:lineRule="auto"/>
              <w:ind w:firstLine="480" w:firstLineChars="200"/>
              <w:rPr>
                <w:sz w:val="24"/>
                <w:highlight w:val="none"/>
              </w:rPr>
            </w:pPr>
            <w:r>
              <w:rPr>
                <w:sz w:val="24"/>
                <w:highlight w:val="none"/>
              </w:rPr>
              <w:t>按照《无锡市大气环境质量限期达标规划（2018-2025年）》（包含宜兴市）要求，主要工作任务包括调整产业结构、工业领域全行业全要素达标排放、调整能源结构与控制煤炭消费总量、加强交通行业大气污染防治、严格控制扬尘污染、加强服务业和生活污染防治、推进农业污染防治、加强重污染天气应对等八大类100项重点任务和19个重点工程。采取上述措施后，大气环境质量状况可以得到有效的改善。</w:t>
            </w:r>
          </w:p>
          <w:p>
            <w:pPr>
              <w:adjustRightInd w:val="0"/>
              <w:snapToGrid w:val="0"/>
              <w:spacing w:line="360" w:lineRule="auto"/>
              <w:ind w:firstLine="480" w:firstLineChars="200"/>
              <w:rPr>
                <w:sz w:val="24"/>
                <w:highlight w:val="none"/>
              </w:rPr>
            </w:pPr>
            <w:r>
              <w:rPr>
                <w:sz w:val="24"/>
                <w:highlight w:val="none"/>
              </w:rPr>
              <w:t>按照锡大气办〔2020〕3号《无锡市2020年挥发性有机物专项治理工作方案》要求，主要工作任务包括加强园区综合治理，3月底前，江阴、宜兴、锡山完成重点化工园区VOCs摸底调查，制定“一园一策”整治方案，明确整治目标、措施、时间节点和责任人。大力推进源头替代、有效控制无组织排放、深化改造治污设施、加快VOCs重点排放企业整治、加强油气回收治理、精准管控臭氧污染。3月底前，各市（县）、区根据本地VOCs排放情况，更新完善臭氧应急管控企业清单，制定可量化、可操作、可考核的停限产或错峰生产措施，在实施年度臭氧控制方案的基础上，紧盯重点时段、重点行业，强化臭氧轻度污染天应急管控，有效提升优良天数比率。</w:t>
            </w:r>
          </w:p>
          <w:p>
            <w:pPr>
              <w:adjustRightInd w:val="0"/>
              <w:snapToGrid w:val="0"/>
              <w:spacing w:line="360" w:lineRule="auto"/>
              <w:ind w:firstLine="480" w:firstLineChars="200"/>
              <w:rPr>
                <w:sz w:val="24"/>
                <w:highlight w:val="none"/>
              </w:rPr>
            </w:pPr>
            <w:r>
              <w:rPr>
                <w:sz w:val="24"/>
                <w:highlight w:val="none"/>
              </w:rPr>
              <w:t>此外，宜兴市己颁布《宜兴市“两减六治三提升”专项行动工作方案》，该方案提出了“宜兴市削减煤炭消费总量专项行动工作方案”、“宜兴市减少落后化工产能专项行动工作方案”、“宜兴市治理挥发性有机物污染专项行动工作方案”等多方面的整改工作方案，方案提出的工作任务包指了“整治燃煤锅炉，限期实施清洁能源替代、关停或超低排放改造”、“进一步加大钢铁、水泥、电力等重点行业去产能工作力度”、“强制重点行业清洁原料替代”、“推进重点工业行业VOCs治理”、“实施移动源污染防治”，方案实施后以利于削减区域粉尘、VOCs、燃煤污染物、汽车尾气污染物排放量，有利于改善区域环境质量。</w:t>
            </w:r>
          </w:p>
          <w:p>
            <w:pPr>
              <w:adjustRightInd w:val="0"/>
              <w:snapToGrid w:val="0"/>
              <w:spacing w:line="360" w:lineRule="auto"/>
              <w:ind w:firstLine="482" w:firstLineChars="200"/>
              <w:rPr>
                <w:b/>
                <w:bCs/>
                <w:kern w:val="4"/>
                <w:sz w:val="24"/>
                <w:highlight w:val="none"/>
              </w:rPr>
            </w:pPr>
            <w:r>
              <w:rPr>
                <w:rFonts w:hint="eastAsia"/>
                <w:b/>
                <w:bCs/>
                <w:kern w:val="4"/>
                <w:sz w:val="24"/>
                <w:highlight w:val="none"/>
              </w:rPr>
              <w:t>2</w:t>
            </w:r>
            <w:r>
              <w:rPr>
                <w:b/>
                <w:bCs/>
                <w:kern w:val="4"/>
                <w:sz w:val="24"/>
                <w:highlight w:val="none"/>
              </w:rPr>
              <w:t>、地表水环境质量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bookmarkStart w:id="3" w:name="_Hlk57584465"/>
            <w:r>
              <w:rPr>
                <w:sz w:val="24"/>
                <w:szCs w:val="24"/>
              </w:rPr>
              <w:t>根据无锡市宜兴生态环境局公布的《2020年度宜兴市环境状况公报》，宜兴市河流水质情况如下：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（一）饮用水水源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我市城镇饮用水以集中式供水为主，主要取自横山水库、油车水库。2019年全市取水总量为10055万吨。横山水库和油车水库水质达标率均为100%。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（二）河流水质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1、国家、省</w:t>
            </w:r>
            <w:r>
              <w:rPr>
                <w:rFonts w:hint="eastAsia"/>
                <w:sz w:val="24"/>
                <w:szCs w:val="24"/>
                <w:lang w:eastAsia="zh-CN"/>
              </w:rPr>
              <w:t>“</w:t>
            </w:r>
            <w:r>
              <w:rPr>
                <w:sz w:val="24"/>
                <w:szCs w:val="24"/>
              </w:rPr>
              <w:t>水十条</w:t>
            </w:r>
            <w:r>
              <w:rPr>
                <w:rFonts w:hint="eastAsia"/>
                <w:sz w:val="24"/>
                <w:szCs w:val="24"/>
                <w:lang w:eastAsia="zh-CN"/>
              </w:rPr>
              <w:t>“</w:t>
            </w:r>
            <w:r>
              <w:rPr>
                <w:sz w:val="24"/>
                <w:szCs w:val="24"/>
              </w:rPr>
              <w:t>考核断面水质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2019年我市4个国考断面中有3个断面达到2019年度水质目标，达标率为75%；17个省考断面中有16个断面达到2019年度水质目标，达标率为94.1%。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2、市控河流水质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2019年43个市控河流断面中，Ⅱ～Ⅲ类水断面有39个，所占比例为90.7%，Ⅳ类水断面有4个，所占比例为9.3%。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综上，宜兴市为地表水环境质量非达标区域，宜兴市区域内河流水质超标主要是由于工业区、农村排水管网不完善，存在一定的生活污水未经处理直接排放的现象造成的。随着区域内污水处理管网的完善，以及各乡镇实施河道综合整治工程，区域内主要河流水质会得到一定程度的改善。</w:t>
            </w:r>
          </w:p>
          <w:bookmarkEnd w:id="3"/>
          <w:p>
            <w:pPr>
              <w:pStyle w:val="167"/>
              <w:keepNext w:val="0"/>
              <w:keepLines w:val="0"/>
              <w:pageBreakBefore w:val="0"/>
              <w:widowControl w:val="0"/>
              <w:kinsoku/>
              <w:wordWrap/>
              <w:overflowPunct/>
              <w:topLinePunct w:val="0"/>
              <w:autoSpaceDE/>
              <w:autoSpaceDN/>
              <w:bidi w:val="0"/>
              <w:adjustRightInd/>
              <w:snapToGrid/>
              <w:spacing w:after="0" w:line="360" w:lineRule="auto"/>
              <w:ind w:firstLineChars="200"/>
              <w:jc w:val="left"/>
              <w:textAlignment w:val="auto"/>
              <w:rPr>
                <w:sz w:val="24"/>
                <w:szCs w:val="24"/>
              </w:rPr>
            </w:pPr>
            <w:r>
              <w:rPr>
                <w:rFonts w:hint="eastAsia"/>
                <w:sz w:val="24"/>
                <w:szCs w:val="24"/>
              </w:rPr>
              <w:t>本项目厂区生活污水接入</w:t>
            </w:r>
            <w:r>
              <w:rPr>
                <w:rFonts w:hint="eastAsia"/>
                <w:sz w:val="24"/>
                <w:szCs w:val="24"/>
                <w:lang w:eastAsia="zh-CN"/>
              </w:rPr>
              <w:t>城市污水处理厂</w:t>
            </w:r>
            <w:r>
              <w:rPr>
                <w:rFonts w:hint="eastAsia"/>
                <w:sz w:val="24"/>
                <w:szCs w:val="24"/>
              </w:rPr>
              <w:t>集中处理后，尾水最终排入武宜运河，武宜运河环境质量现状监测引用江苏迈斯特环境检测有限公司出具的宜兴市杰华环境科技有限公司《新型复合环保包装材料制造项目》环境影响报告书现状监测数据，检测报告编号为MST20200714001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地表水监测因子：pH、COD、S</w:t>
            </w:r>
            <w:r>
              <w:rPr>
                <w:sz w:val="24"/>
                <w:szCs w:val="24"/>
              </w:rPr>
              <w:t>S</w:t>
            </w:r>
            <w:r>
              <w:rPr>
                <w:rFonts w:hint="eastAsia"/>
                <w:sz w:val="24"/>
                <w:szCs w:val="24"/>
              </w:rPr>
              <w:t>、氨氮、总磷、总氮、石油类、B</w:t>
            </w:r>
            <w:r>
              <w:rPr>
                <w:sz w:val="24"/>
                <w:szCs w:val="24"/>
              </w:rPr>
              <w:t>OD</w:t>
            </w:r>
            <w:r>
              <w:rPr>
                <w:sz w:val="24"/>
                <w:szCs w:val="24"/>
                <w:vertAlign w:val="subscript"/>
              </w:rPr>
              <w:t>5</w:t>
            </w:r>
            <w:r>
              <w:rPr>
                <w:rFonts w:hint="eastAsia"/>
                <w:sz w:val="24"/>
                <w:szCs w:val="24"/>
              </w:rPr>
              <w:t>、高锰酸盐指数、D</w:t>
            </w:r>
            <w:r>
              <w:rPr>
                <w:sz w:val="24"/>
                <w:szCs w:val="24"/>
              </w:rPr>
              <w:t>O</w:t>
            </w:r>
            <w:r>
              <w:rPr>
                <w:rFonts w:hint="eastAsia"/>
                <w:sz w:val="24"/>
                <w:szCs w:val="24"/>
              </w:rPr>
              <w:t>，同时监测河流水位、水深、河宽、流量、流速、流向等</w:t>
            </w:r>
            <w:r>
              <w:rPr>
                <w:sz w:val="24"/>
                <w:szCs w:val="24"/>
              </w:rPr>
              <w:t>有关水文要素</w:t>
            </w:r>
            <w:r>
              <w:rPr>
                <w:rFonts w:hint="eastAsia"/>
                <w:sz w:val="24"/>
                <w:szCs w:val="24"/>
              </w:rPr>
              <w:t>。</w:t>
            </w:r>
          </w:p>
          <w:p>
            <w:pPr>
              <w:pStyle w:val="13"/>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监测时间和频次：监测时间为</w:t>
            </w:r>
            <w:r>
              <w:rPr>
                <w:rFonts w:hint="default" w:ascii="Times New Roman" w:hAnsi="Times New Roman" w:cs="Times New Roman"/>
                <w:sz w:val="24"/>
                <w:szCs w:val="24"/>
              </w:rPr>
              <w:t>2020年8月3日~2020年8月5日连续3</w:t>
            </w:r>
            <w:r>
              <w:rPr>
                <w:rFonts w:hint="eastAsia"/>
                <w:sz w:val="24"/>
                <w:szCs w:val="24"/>
              </w:rPr>
              <w:t>天，采样频率每天两次。</w:t>
            </w:r>
          </w:p>
          <w:p>
            <w:pPr>
              <w:pStyle w:val="167"/>
              <w:keepNext w:val="0"/>
              <w:keepLines w:val="0"/>
              <w:pageBreakBefore w:val="0"/>
              <w:widowControl w:val="0"/>
              <w:kinsoku/>
              <w:wordWrap/>
              <w:overflowPunct/>
              <w:topLinePunct w:val="0"/>
              <w:autoSpaceDE/>
              <w:autoSpaceDN/>
              <w:bidi w:val="0"/>
              <w:adjustRightInd/>
              <w:snapToGrid/>
              <w:spacing w:after="0" w:line="360" w:lineRule="auto"/>
              <w:ind w:firstLineChars="200"/>
              <w:jc w:val="left"/>
              <w:textAlignment w:val="auto"/>
              <w:rPr>
                <w:sz w:val="24"/>
                <w:szCs w:val="24"/>
              </w:rPr>
            </w:pPr>
            <w:r>
              <w:rPr>
                <w:rFonts w:hint="eastAsia"/>
                <w:sz w:val="24"/>
                <w:szCs w:val="24"/>
              </w:rPr>
              <w:t>监测断面设置：在武宜运河上设置3个监测断面，分别为宜兴建兴环境投资有限公司城市污水处理厂</w:t>
            </w:r>
            <w:r>
              <w:rPr>
                <w:sz w:val="24"/>
                <w:szCs w:val="24"/>
              </w:rPr>
              <w:t>排放口上游500m</w:t>
            </w:r>
            <w:r>
              <w:rPr>
                <w:rFonts w:hint="eastAsia"/>
                <w:sz w:val="24"/>
                <w:szCs w:val="24"/>
              </w:rPr>
              <w:t>、宜兴建兴环境投资有限公司城市污水处理厂排放口下游800m、宜兴建兴环境投资有限公司城市污水处理厂</w:t>
            </w:r>
            <w:r>
              <w:rPr>
                <w:sz w:val="24"/>
                <w:szCs w:val="24"/>
              </w:rPr>
              <w:t>排放口下游</w:t>
            </w:r>
            <w:r>
              <w:rPr>
                <w:rFonts w:hint="eastAsia"/>
                <w:sz w:val="24"/>
                <w:szCs w:val="24"/>
              </w:rPr>
              <w:t>1500m，对污水处理厂尾水排放口上游500</w:t>
            </w:r>
            <w:r>
              <w:rPr>
                <w:sz w:val="24"/>
                <w:szCs w:val="24"/>
              </w:rPr>
              <w:t>m</w:t>
            </w:r>
            <w:r>
              <w:rPr>
                <w:rFonts w:hint="eastAsia"/>
                <w:sz w:val="24"/>
                <w:szCs w:val="24"/>
              </w:rPr>
              <w:t>到下游</w:t>
            </w:r>
            <w:r>
              <w:rPr>
                <w:sz w:val="24"/>
                <w:szCs w:val="24"/>
              </w:rPr>
              <w:t>1500m</w:t>
            </w:r>
            <w:r>
              <w:rPr>
                <w:rFonts w:hint="eastAsia"/>
                <w:sz w:val="24"/>
                <w:szCs w:val="24"/>
              </w:rPr>
              <w:t>范围内的水质进行调查，具体断面布设位置见表</w:t>
            </w:r>
            <w:r>
              <w:rPr>
                <w:sz w:val="24"/>
                <w:szCs w:val="24"/>
              </w:rPr>
              <w:t>3-</w:t>
            </w:r>
            <w:r>
              <w:rPr>
                <w:rFonts w:hint="eastAsia"/>
                <w:sz w:val="24"/>
                <w:szCs w:val="24"/>
                <w:lang w:val="en-US" w:eastAsia="zh-CN"/>
              </w:rPr>
              <w:t>3</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szCs w:val="24"/>
              </w:rPr>
            </w:pPr>
            <w:r>
              <w:rPr>
                <w:sz w:val="24"/>
                <w:szCs w:val="24"/>
              </w:rPr>
              <w:t>表3-</w:t>
            </w:r>
            <w:r>
              <w:rPr>
                <w:rFonts w:hint="eastAsia"/>
                <w:sz w:val="24"/>
                <w:szCs w:val="24"/>
                <w:lang w:val="en-US" w:eastAsia="zh-CN"/>
              </w:rPr>
              <w:t>3</w:t>
            </w:r>
            <w:r>
              <w:rPr>
                <w:sz w:val="24"/>
                <w:szCs w:val="24"/>
              </w:rPr>
              <w:t xml:space="preserve">  </w:t>
            </w:r>
            <w:r>
              <w:rPr>
                <w:rFonts w:hint="eastAsia"/>
                <w:bCs/>
                <w:sz w:val="24"/>
                <w:szCs w:val="24"/>
              </w:rPr>
              <w:t>地表水水质监测断面布设</w:t>
            </w:r>
          </w:p>
          <w:tbl>
            <w:tblPr>
              <w:tblStyle w:val="3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912"/>
              <w:gridCol w:w="1393"/>
              <w:gridCol w:w="58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559" w:type="pct"/>
                  <w:vAlign w:val="center"/>
                </w:tcPr>
                <w:p>
                  <w:pPr>
                    <w:adjustRightInd w:val="0"/>
                    <w:snapToGrid w:val="0"/>
                    <w:jc w:val="center"/>
                    <w:rPr>
                      <w:szCs w:val="21"/>
                    </w:rPr>
                  </w:pPr>
                  <w:r>
                    <w:rPr>
                      <w:rFonts w:hint="eastAsia"/>
                      <w:szCs w:val="21"/>
                    </w:rPr>
                    <w:t>编号</w:t>
                  </w:r>
                </w:p>
              </w:tc>
              <w:tc>
                <w:tcPr>
                  <w:tcW w:w="854" w:type="pct"/>
                  <w:vAlign w:val="center"/>
                </w:tcPr>
                <w:p>
                  <w:pPr>
                    <w:adjustRightInd w:val="0"/>
                    <w:snapToGrid w:val="0"/>
                    <w:jc w:val="center"/>
                    <w:rPr>
                      <w:szCs w:val="21"/>
                    </w:rPr>
                  </w:pPr>
                  <w:r>
                    <w:rPr>
                      <w:szCs w:val="21"/>
                    </w:rPr>
                    <w:t>河流</w:t>
                  </w:r>
                </w:p>
              </w:tc>
              <w:tc>
                <w:tcPr>
                  <w:tcW w:w="3587" w:type="pct"/>
                  <w:vAlign w:val="center"/>
                </w:tcPr>
                <w:p>
                  <w:pPr>
                    <w:adjustRightInd w:val="0"/>
                    <w:snapToGrid w:val="0"/>
                    <w:jc w:val="center"/>
                    <w:rPr>
                      <w:szCs w:val="21"/>
                    </w:rPr>
                  </w:pPr>
                  <w:r>
                    <w:rPr>
                      <w:szCs w:val="21"/>
                    </w:rPr>
                    <w:t>断面位置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559" w:type="pct"/>
                  <w:vAlign w:val="center"/>
                </w:tcPr>
                <w:p>
                  <w:pPr>
                    <w:jc w:val="center"/>
                    <w:rPr>
                      <w:szCs w:val="21"/>
                    </w:rPr>
                  </w:pPr>
                  <w:r>
                    <w:rPr>
                      <w:kern w:val="0"/>
                      <w:szCs w:val="21"/>
                    </w:rPr>
                    <w:t>W</w:t>
                  </w:r>
                  <w:r>
                    <w:rPr>
                      <w:kern w:val="0"/>
                      <w:szCs w:val="21"/>
                      <w:vertAlign w:val="subscript"/>
                    </w:rPr>
                    <w:t>1</w:t>
                  </w:r>
                </w:p>
              </w:tc>
              <w:tc>
                <w:tcPr>
                  <w:tcW w:w="854" w:type="pct"/>
                  <w:vAlign w:val="center"/>
                </w:tcPr>
                <w:p>
                  <w:pPr>
                    <w:adjustRightInd w:val="0"/>
                    <w:snapToGrid w:val="0"/>
                    <w:jc w:val="center"/>
                    <w:rPr>
                      <w:szCs w:val="21"/>
                    </w:rPr>
                  </w:pPr>
                  <w:r>
                    <w:rPr>
                      <w:rFonts w:hint="eastAsia"/>
                      <w:szCs w:val="21"/>
                    </w:rPr>
                    <w:t>武宜运河</w:t>
                  </w:r>
                </w:p>
              </w:tc>
              <w:tc>
                <w:tcPr>
                  <w:tcW w:w="3587" w:type="pct"/>
                  <w:vAlign w:val="center"/>
                </w:tcPr>
                <w:p>
                  <w:pPr>
                    <w:adjustRightInd w:val="0"/>
                    <w:snapToGrid w:val="0"/>
                    <w:jc w:val="center"/>
                    <w:rPr>
                      <w:szCs w:val="21"/>
                    </w:rPr>
                  </w:pPr>
                  <w:r>
                    <w:rPr>
                      <w:rFonts w:hint="eastAsia"/>
                      <w:szCs w:val="21"/>
                    </w:rPr>
                    <w:t>城市污水处理厂</w:t>
                  </w:r>
                  <w:r>
                    <w:rPr>
                      <w:szCs w:val="21"/>
                    </w:rPr>
                    <w:t>排放口上游500m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559" w:type="pct"/>
                  <w:vAlign w:val="center"/>
                </w:tcPr>
                <w:p>
                  <w:pPr>
                    <w:jc w:val="center"/>
                    <w:rPr>
                      <w:szCs w:val="21"/>
                    </w:rPr>
                  </w:pPr>
                  <w:r>
                    <w:rPr>
                      <w:kern w:val="0"/>
                      <w:szCs w:val="21"/>
                    </w:rPr>
                    <w:t>W</w:t>
                  </w:r>
                  <w:r>
                    <w:rPr>
                      <w:rFonts w:hint="eastAsia"/>
                      <w:kern w:val="0"/>
                      <w:szCs w:val="21"/>
                      <w:vertAlign w:val="subscript"/>
                    </w:rPr>
                    <w:t>2</w:t>
                  </w:r>
                </w:p>
              </w:tc>
              <w:tc>
                <w:tcPr>
                  <w:tcW w:w="854" w:type="pct"/>
                  <w:vAlign w:val="center"/>
                </w:tcPr>
                <w:p>
                  <w:pPr>
                    <w:adjustRightInd w:val="0"/>
                    <w:jc w:val="center"/>
                    <w:rPr>
                      <w:szCs w:val="21"/>
                    </w:rPr>
                  </w:pPr>
                  <w:r>
                    <w:rPr>
                      <w:rFonts w:hint="eastAsia"/>
                      <w:szCs w:val="21"/>
                    </w:rPr>
                    <w:t>武宜运河</w:t>
                  </w:r>
                </w:p>
              </w:tc>
              <w:tc>
                <w:tcPr>
                  <w:tcW w:w="3587" w:type="pct"/>
                  <w:vAlign w:val="center"/>
                </w:tcPr>
                <w:p>
                  <w:pPr>
                    <w:adjustRightInd w:val="0"/>
                    <w:snapToGrid w:val="0"/>
                    <w:jc w:val="center"/>
                    <w:rPr>
                      <w:szCs w:val="21"/>
                    </w:rPr>
                  </w:pPr>
                  <w:r>
                    <w:rPr>
                      <w:rFonts w:hint="eastAsia"/>
                      <w:szCs w:val="21"/>
                    </w:rPr>
                    <w:t>城市污水处理厂</w:t>
                  </w:r>
                  <w:r>
                    <w:rPr>
                      <w:szCs w:val="21"/>
                    </w:rPr>
                    <w:t>排放口下游</w:t>
                  </w:r>
                  <w:r>
                    <w:rPr>
                      <w:rFonts w:hint="eastAsia"/>
                      <w:szCs w:val="21"/>
                    </w:rPr>
                    <w:t>800m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559" w:type="pct"/>
                  <w:vAlign w:val="center"/>
                </w:tcPr>
                <w:p>
                  <w:pPr>
                    <w:jc w:val="center"/>
                    <w:rPr>
                      <w:szCs w:val="21"/>
                    </w:rPr>
                  </w:pPr>
                  <w:r>
                    <w:rPr>
                      <w:kern w:val="0"/>
                      <w:szCs w:val="21"/>
                    </w:rPr>
                    <w:t>W</w:t>
                  </w:r>
                  <w:r>
                    <w:rPr>
                      <w:rFonts w:hint="eastAsia"/>
                      <w:kern w:val="0"/>
                      <w:szCs w:val="21"/>
                      <w:vertAlign w:val="subscript"/>
                    </w:rPr>
                    <w:t>3</w:t>
                  </w:r>
                </w:p>
              </w:tc>
              <w:tc>
                <w:tcPr>
                  <w:tcW w:w="854" w:type="pct"/>
                  <w:vAlign w:val="center"/>
                </w:tcPr>
                <w:p>
                  <w:pPr>
                    <w:adjustRightInd w:val="0"/>
                    <w:jc w:val="center"/>
                    <w:rPr>
                      <w:szCs w:val="21"/>
                    </w:rPr>
                  </w:pPr>
                  <w:r>
                    <w:rPr>
                      <w:rFonts w:hint="eastAsia"/>
                      <w:szCs w:val="21"/>
                    </w:rPr>
                    <w:t>武宜运河</w:t>
                  </w:r>
                </w:p>
              </w:tc>
              <w:tc>
                <w:tcPr>
                  <w:tcW w:w="3587" w:type="pct"/>
                  <w:vAlign w:val="center"/>
                </w:tcPr>
                <w:p>
                  <w:pPr>
                    <w:adjustRightInd w:val="0"/>
                    <w:snapToGrid w:val="0"/>
                    <w:jc w:val="center"/>
                    <w:rPr>
                      <w:szCs w:val="21"/>
                    </w:rPr>
                  </w:pPr>
                  <w:r>
                    <w:rPr>
                      <w:rFonts w:hint="eastAsia"/>
                      <w:szCs w:val="21"/>
                    </w:rPr>
                    <w:t>城市污水处理厂</w:t>
                  </w:r>
                  <w:r>
                    <w:rPr>
                      <w:szCs w:val="21"/>
                    </w:rPr>
                    <w:t>排放口下游</w:t>
                  </w:r>
                  <w:r>
                    <w:rPr>
                      <w:rFonts w:hint="eastAsia"/>
                      <w:szCs w:val="21"/>
                    </w:rPr>
                    <w:t>1500m</w:t>
                  </w:r>
                </w:p>
              </w:tc>
            </w:tr>
          </w:tbl>
          <w:p>
            <w:pPr>
              <w:keepNext w:val="0"/>
              <w:keepLines w:val="0"/>
              <w:pageBreakBefore w:val="0"/>
              <w:widowControl w:val="0"/>
              <w:kinsoku/>
              <w:wordWrap/>
              <w:overflowPunct/>
              <w:topLinePunct w:val="0"/>
              <w:autoSpaceDE/>
              <w:autoSpaceDN/>
              <w:bidi w:val="0"/>
              <w:spacing w:line="360" w:lineRule="auto"/>
              <w:ind w:firstLine="482" w:firstLineChars="200"/>
              <w:textAlignment w:val="auto"/>
              <w:rPr>
                <w:sz w:val="24"/>
                <w:szCs w:val="24"/>
              </w:rPr>
            </w:pPr>
            <w:r>
              <w:rPr>
                <w:rFonts w:hint="eastAsia"/>
                <w:b/>
                <w:sz w:val="24"/>
                <w:szCs w:val="24"/>
              </w:rPr>
              <w:t>监测数据有效性分析：</w:t>
            </w:r>
            <w:r>
              <w:rPr>
                <w:rFonts w:hint="eastAsia"/>
                <w:sz w:val="24"/>
                <w:szCs w:val="24"/>
              </w:rPr>
              <w:t>本项目引用宜兴市杰华环境科技有限公司《新型复合环保包装材料制造项目》环境影响报告书现状监测数据中宜兴建兴环境投资有限公司城市污水处理厂（简称</w:t>
            </w:r>
            <w:r>
              <w:rPr>
                <w:rFonts w:hint="eastAsia"/>
                <w:sz w:val="24"/>
                <w:szCs w:val="24"/>
                <w:lang w:eastAsia="zh-CN"/>
              </w:rPr>
              <w:t>“</w:t>
            </w:r>
            <w:r>
              <w:rPr>
                <w:rFonts w:hint="eastAsia"/>
                <w:sz w:val="24"/>
                <w:szCs w:val="24"/>
              </w:rPr>
              <w:t>宜兴市城市污水处理厂</w:t>
            </w:r>
            <w:r>
              <w:rPr>
                <w:rFonts w:hint="eastAsia"/>
                <w:sz w:val="24"/>
                <w:szCs w:val="24"/>
                <w:lang w:eastAsia="zh-CN"/>
              </w:rPr>
              <w:t>”</w:t>
            </w:r>
            <w:r>
              <w:rPr>
                <w:rFonts w:hint="eastAsia"/>
                <w:sz w:val="24"/>
                <w:szCs w:val="24"/>
              </w:rPr>
              <w:t>）尾水排放口上游500</w:t>
            </w:r>
            <w:r>
              <w:rPr>
                <w:sz w:val="24"/>
                <w:szCs w:val="24"/>
              </w:rPr>
              <w:t>m</w:t>
            </w:r>
            <w:r>
              <w:rPr>
                <w:rFonts w:hint="eastAsia"/>
                <w:sz w:val="24"/>
                <w:szCs w:val="24"/>
              </w:rPr>
              <w:t>到下游</w:t>
            </w:r>
            <w:r>
              <w:rPr>
                <w:sz w:val="24"/>
                <w:szCs w:val="24"/>
              </w:rPr>
              <w:t>1500m</w:t>
            </w:r>
            <w:r>
              <w:rPr>
                <w:rFonts w:hint="eastAsia"/>
                <w:sz w:val="24"/>
                <w:szCs w:val="24"/>
              </w:rPr>
              <w:t>范围内</w:t>
            </w:r>
            <w:r>
              <w:rPr>
                <w:rFonts w:hint="eastAsia"/>
                <w:sz w:val="24"/>
                <w:szCs w:val="24"/>
                <w:lang w:val="en-GB"/>
              </w:rPr>
              <w:t>监测点的相关监测数据，本项目污水接入</w:t>
            </w:r>
            <w:r>
              <w:rPr>
                <w:rFonts w:hint="eastAsia"/>
                <w:sz w:val="24"/>
                <w:szCs w:val="24"/>
                <w:lang w:eastAsia="zh-CN"/>
              </w:rPr>
              <w:t>城市污水处理厂</w:t>
            </w:r>
            <w:r>
              <w:rPr>
                <w:rFonts w:hint="eastAsia"/>
                <w:sz w:val="24"/>
                <w:szCs w:val="24"/>
              </w:rPr>
              <w:t>集中处理后，尾水最终排入武宜运河，因此在宜兴市城市污水处理厂尾水排放口上游、下游布置点位是合理的，监测点位在本项目评价范围内，引用的数据监测时间为</w:t>
            </w:r>
            <w:r>
              <w:rPr>
                <w:rFonts w:hint="default" w:ascii="Times New Roman" w:hAnsi="Times New Roman" w:cs="Times New Roman"/>
                <w:sz w:val="24"/>
                <w:szCs w:val="24"/>
              </w:rPr>
              <w:t>2020年8月3日~2020年8月5日</w:t>
            </w:r>
            <w:r>
              <w:rPr>
                <w:rFonts w:hint="eastAsia"/>
                <w:sz w:val="24"/>
                <w:szCs w:val="24"/>
              </w:rPr>
              <w:t>，属于近3年历史监测资料，因此本评价引用的现状检测数据是有效的。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lang w:eastAsia="zh-CN"/>
              </w:rPr>
            </w:pPr>
            <w:r>
              <w:rPr>
                <w:rFonts w:hint="eastAsia"/>
                <w:sz w:val="24"/>
                <w:szCs w:val="24"/>
              </w:rPr>
              <w:t>地表水现状监测及评价结果见表3</w:t>
            </w:r>
            <w:r>
              <w:rPr>
                <w:sz w:val="24"/>
                <w:szCs w:val="24"/>
              </w:rPr>
              <w:t>-</w:t>
            </w:r>
            <w:r>
              <w:rPr>
                <w:rFonts w:hint="eastAsia"/>
                <w:sz w:val="24"/>
                <w:szCs w:val="24"/>
                <w:lang w:val="en-US" w:eastAsia="zh-CN"/>
              </w:rPr>
              <w:t>4</w:t>
            </w:r>
            <w:r>
              <w:rPr>
                <w:rFonts w:hint="eastAsia"/>
                <w:sz w:val="24"/>
                <w:szCs w:val="24"/>
              </w:rPr>
              <w:t>、3</w:t>
            </w:r>
            <w:r>
              <w:rPr>
                <w:sz w:val="24"/>
                <w:szCs w:val="24"/>
              </w:rPr>
              <w:t>-</w:t>
            </w:r>
            <w:r>
              <w:rPr>
                <w:rFonts w:hint="eastAsia"/>
                <w:sz w:val="24"/>
                <w:szCs w:val="24"/>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sz w:val="24"/>
                <w:szCs w:val="24"/>
              </w:rPr>
            </w:pPr>
            <w:r>
              <w:rPr>
                <w:rFonts w:hint="eastAsia"/>
                <w:sz w:val="24"/>
                <w:szCs w:val="24"/>
              </w:rPr>
              <w:t>表3</w:t>
            </w:r>
            <w:r>
              <w:rPr>
                <w:sz w:val="24"/>
                <w:szCs w:val="24"/>
              </w:rPr>
              <w:t>-</w:t>
            </w:r>
            <w:r>
              <w:rPr>
                <w:rFonts w:hint="eastAsia"/>
                <w:sz w:val="24"/>
                <w:szCs w:val="24"/>
                <w:lang w:val="en-US" w:eastAsia="zh-CN"/>
              </w:rPr>
              <w:t>4</w:t>
            </w:r>
            <w:r>
              <w:rPr>
                <w:sz w:val="24"/>
                <w:szCs w:val="24"/>
              </w:rPr>
              <w:t xml:space="preserve">   </w:t>
            </w:r>
            <w:r>
              <w:rPr>
                <w:rFonts w:hint="eastAsia"/>
                <w:sz w:val="24"/>
                <w:szCs w:val="24"/>
              </w:rPr>
              <w:t>地表水现状监测结果表</w:t>
            </w:r>
          </w:p>
          <w:tbl>
            <w:tblPr>
              <w:tblStyle w:val="36"/>
              <w:tblW w:w="81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122"/>
              <w:gridCol w:w="1242"/>
              <w:gridCol w:w="866"/>
              <w:gridCol w:w="1257"/>
              <w:gridCol w:w="853"/>
              <w:gridCol w:w="1393"/>
              <w:gridCol w:w="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41" w:type="pct"/>
                  <w:gridSpan w:val="2"/>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监测断面</w:t>
                  </w:r>
                </w:p>
              </w:tc>
              <w:tc>
                <w:tcPr>
                  <w:tcW w:w="1299" w:type="pct"/>
                  <w:gridSpan w:val="2"/>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W1</w:t>
                  </w:r>
                </w:p>
              </w:tc>
              <w:tc>
                <w:tcPr>
                  <w:tcW w:w="1299" w:type="pct"/>
                  <w:gridSpan w:val="2"/>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W2</w:t>
                  </w:r>
                </w:p>
              </w:tc>
              <w:tc>
                <w:tcPr>
                  <w:tcW w:w="1459" w:type="pct"/>
                  <w:gridSpan w:val="2"/>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W3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41" w:type="pct"/>
                  <w:gridSpan w:val="2"/>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浓度范围</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平均值</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浓度范围</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平均值</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浓度范围</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eastAsia" w:ascii="Times New Roman" w:hAnsi="Times New Roman" w:cs="Times New Roman"/>
                      <w:sz w:val="21"/>
                      <w:szCs w:val="21"/>
                      <w:lang w:eastAsia="zh-CN"/>
                    </w:rPr>
                    <w:t>平均</w:t>
                  </w:r>
                  <w:r>
                    <w:rPr>
                      <w:rFonts w:hint="default" w:ascii="Times New Roman" w:hAnsi="Times New Roman" w:cs="Times New Roman"/>
                      <w:sz w:val="21"/>
                      <w:szCs w:val="21"/>
                    </w:rPr>
                    <w:t>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250" w:type="pct"/>
                  <w:vMerge w:val="restar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监测</w:t>
                  </w:r>
                </w:p>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691"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pH</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7.1-7.28</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7.19</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7.43-7.62</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7.52</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7.21-7.44</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7.31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50" w:type="pct"/>
                  <w:vMerge w:val="continue"/>
                  <w:tcBorders>
                    <w:tl2br w:val="nil"/>
                    <w:tr2bl w:val="nil"/>
                  </w:tcBorders>
                  <w:vAlign w:val="center"/>
                </w:tcPr>
                <w:p>
                  <w:pPr>
                    <w:bidi w:val="0"/>
                    <w:jc w:val="center"/>
                    <w:rPr>
                      <w:rFonts w:hint="default" w:ascii="Times New Roman" w:hAnsi="Times New Roman" w:cs="Times New Roman"/>
                      <w:sz w:val="21"/>
                      <w:szCs w:val="21"/>
                    </w:rPr>
                  </w:pPr>
                </w:p>
              </w:tc>
              <w:tc>
                <w:tcPr>
                  <w:tcW w:w="691"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化学需</w:t>
                  </w:r>
                </w:p>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氧量</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13-17</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15.2</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13-18</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16.2</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9-19</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50" w:type="pct"/>
                  <w:vMerge w:val="continue"/>
                  <w:tcBorders>
                    <w:tl2br w:val="nil"/>
                    <w:tr2bl w:val="nil"/>
                  </w:tcBorders>
                  <w:vAlign w:val="center"/>
                </w:tcPr>
                <w:p>
                  <w:pPr>
                    <w:bidi w:val="0"/>
                    <w:jc w:val="center"/>
                    <w:rPr>
                      <w:rFonts w:hint="default" w:ascii="Times New Roman" w:hAnsi="Times New Roman" w:cs="Times New Roman"/>
                      <w:sz w:val="21"/>
                      <w:szCs w:val="21"/>
                    </w:rPr>
                  </w:pPr>
                </w:p>
              </w:tc>
              <w:tc>
                <w:tcPr>
                  <w:tcW w:w="691"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五日生化需氧量</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2.5-4</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3.2</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2.8-3.9</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3.3</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2.1-3.6</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0" w:type="pct"/>
                  <w:vMerge w:val="continue"/>
                  <w:tcBorders>
                    <w:tl2br w:val="nil"/>
                    <w:tr2bl w:val="nil"/>
                  </w:tcBorders>
                  <w:vAlign w:val="center"/>
                </w:tcPr>
                <w:p>
                  <w:pPr>
                    <w:bidi w:val="0"/>
                    <w:jc w:val="center"/>
                    <w:rPr>
                      <w:rFonts w:hint="default" w:ascii="Times New Roman" w:hAnsi="Times New Roman" w:cs="Times New Roman"/>
                      <w:sz w:val="21"/>
                      <w:szCs w:val="21"/>
                    </w:rPr>
                  </w:pPr>
                </w:p>
              </w:tc>
              <w:tc>
                <w:tcPr>
                  <w:tcW w:w="691"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总</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磷</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0.69-0.88</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0.765</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0.64-0.83</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0.72</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0.53-0.67</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0" w:type="pct"/>
                  <w:vMerge w:val="continue"/>
                  <w:tcBorders>
                    <w:tl2br w:val="nil"/>
                    <w:tr2bl w:val="nil"/>
                  </w:tcBorders>
                  <w:vAlign w:val="center"/>
                </w:tcPr>
                <w:p>
                  <w:pPr>
                    <w:bidi w:val="0"/>
                    <w:jc w:val="center"/>
                    <w:rPr>
                      <w:rFonts w:hint="default" w:ascii="Times New Roman" w:hAnsi="Times New Roman" w:cs="Times New Roman"/>
                      <w:sz w:val="21"/>
                      <w:szCs w:val="21"/>
                    </w:rPr>
                  </w:pPr>
                </w:p>
              </w:tc>
              <w:tc>
                <w:tcPr>
                  <w:tcW w:w="691"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悬浮物</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13-19</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12-21</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15-22</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17.8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0" w:type="pct"/>
                  <w:vMerge w:val="continue"/>
                  <w:tcBorders>
                    <w:tl2br w:val="nil"/>
                    <w:tr2bl w:val="nil"/>
                  </w:tcBorders>
                  <w:vAlign w:val="center"/>
                </w:tcPr>
                <w:p>
                  <w:pPr>
                    <w:bidi w:val="0"/>
                    <w:jc w:val="center"/>
                    <w:rPr>
                      <w:rFonts w:hint="default" w:ascii="Times New Roman" w:hAnsi="Times New Roman" w:cs="Times New Roman"/>
                      <w:sz w:val="21"/>
                      <w:szCs w:val="21"/>
                    </w:rPr>
                  </w:pPr>
                </w:p>
              </w:tc>
              <w:tc>
                <w:tcPr>
                  <w:tcW w:w="691"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石油类</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0.03-0.04</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0.04</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0.01-0.02</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0.01</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0.02-0.03</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50" w:type="pct"/>
                  <w:vMerge w:val="continue"/>
                  <w:tcBorders>
                    <w:tl2br w:val="nil"/>
                    <w:tr2bl w:val="nil"/>
                  </w:tcBorders>
                  <w:vAlign w:val="center"/>
                </w:tcPr>
                <w:p>
                  <w:pPr>
                    <w:bidi w:val="0"/>
                    <w:jc w:val="center"/>
                    <w:rPr>
                      <w:rFonts w:hint="default" w:ascii="Times New Roman" w:hAnsi="Times New Roman" w:cs="Times New Roman"/>
                      <w:sz w:val="21"/>
                      <w:szCs w:val="21"/>
                    </w:rPr>
                  </w:pPr>
                </w:p>
              </w:tc>
              <w:tc>
                <w:tcPr>
                  <w:tcW w:w="691"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高锰酸盐指数</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2.8-3.1</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2.98</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2.6-3.1</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2.78</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2.6-3</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2.83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0" w:type="pct"/>
                  <w:vMerge w:val="continue"/>
                  <w:tcBorders>
                    <w:tl2br w:val="nil"/>
                    <w:tr2bl w:val="nil"/>
                  </w:tcBorders>
                  <w:vAlign w:val="center"/>
                </w:tcPr>
                <w:p>
                  <w:pPr>
                    <w:bidi w:val="0"/>
                    <w:jc w:val="center"/>
                    <w:rPr>
                      <w:rFonts w:hint="default" w:ascii="Times New Roman" w:hAnsi="Times New Roman" w:cs="Times New Roman"/>
                      <w:sz w:val="21"/>
                      <w:szCs w:val="21"/>
                    </w:rPr>
                  </w:pPr>
                </w:p>
              </w:tc>
              <w:tc>
                <w:tcPr>
                  <w:tcW w:w="691"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溶解氧</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3.3-3.5</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3.4</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3.3-3.6</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3.42</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3.3-3.6</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3.42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50" w:type="pct"/>
                  <w:vMerge w:val="continue"/>
                  <w:tcBorders>
                    <w:tl2br w:val="nil"/>
                    <w:tr2bl w:val="nil"/>
                  </w:tcBorders>
                  <w:vAlign w:val="center"/>
                </w:tcPr>
                <w:p>
                  <w:pPr>
                    <w:bidi w:val="0"/>
                    <w:jc w:val="center"/>
                    <w:rPr>
                      <w:rFonts w:hint="default" w:ascii="Times New Roman" w:hAnsi="Times New Roman" w:cs="Times New Roman"/>
                      <w:sz w:val="21"/>
                      <w:szCs w:val="21"/>
                    </w:rPr>
                  </w:pPr>
                </w:p>
              </w:tc>
              <w:tc>
                <w:tcPr>
                  <w:tcW w:w="691"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氨氮</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0.224-0.285</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0.255</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0.315-0.439</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0.366</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0.162-0.215</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0.189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50" w:type="pct"/>
                  <w:vMerge w:val="continue"/>
                  <w:tcBorders>
                    <w:tl2br w:val="nil"/>
                    <w:tr2bl w:val="nil"/>
                  </w:tcBorders>
                  <w:vAlign w:val="center"/>
                </w:tcPr>
                <w:p>
                  <w:pPr>
                    <w:bidi w:val="0"/>
                    <w:jc w:val="center"/>
                    <w:rPr>
                      <w:rFonts w:hint="default" w:ascii="Times New Roman" w:hAnsi="Times New Roman" w:cs="Times New Roman"/>
                      <w:sz w:val="21"/>
                      <w:szCs w:val="21"/>
                    </w:rPr>
                  </w:pPr>
                </w:p>
              </w:tc>
              <w:tc>
                <w:tcPr>
                  <w:tcW w:w="691"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总氮</w:t>
                  </w:r>
                </w:p>
              </w:tc>
              <w:tc>
                <w:tcPr>
                  <w:tcW w:w="76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0.67-0.85</w:t>
                  </w:r>
                </w:p>
              </w:tc>
              <w:tc>
                <w:tcPr>
                  <w:tcW w:w="53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0.743</w:t>
                  </w:r>
                </w:p>
              </w:tc>
              <w:tc>
                <w:tcPr>
                  <w:tcW w:w="774"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0.72-0.96</w:t>
                  </w:r>
                </w:p>
              </w:tc>
              <w:tc>
                <w:tcPr>
                  <w:tcW w:w="525"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0.853</w:t>
                  </w:r>
                </w:p>
              </w:tc>
              <w:tc>
                <w:tcPr>
                  <w:tcW w:w="857"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0.54-0.8</w:t>
                  </w:r>
                </w:p>
              </w:tc>
              <w:tc>
                <w:tcPr>
                  <w:tcW w:w="602" w:type="pct"/>
                  <w:tcBorders>
                    <w:tl2br w:val="nil"/>
                    <w:tr2bl w:val="nil"/>
                  </w:tcBorders>
                  <w:shd w:val="clear" w:color="auto" w:fill="auto"/>
                  <w:vAlign w:val="center"/>
                </w:tcPr>
                <w:p>
                  <w:pPr>
                    <w:bidi w:val="0"/>
                    <w:jc w:val="center"/>
                    <w:rPr>
                      <w:rFonts w:hint="default" w:ascii="Times New Roman" w:hAnsi="Times New Roman" w:cs="Times New Roman"/>
                      <w:sz w:val="21"/>
                      <w:szCs w:val="21"/>
                    </w:rPr>
                  </w:pPr>
                  <w:r>
                    <w:rPr>
                      <w:rFonts w:hint="default" w:ascii="Times New Roman" w:hAnsi="Times New Roman" w:cs="Times New Roman"/>
                      <w:sz w:val="21"/>
                      <w:szCs w:val="21"/>
                    </w:rPr>
                    <w:t>0.697</w:t>
                  </w:r>
                </w:p>
              </w:tc>
            </w:tr>
          </w:tbl>
          <w:p>
            <w:pPr>
              <w:pStyle w:val="167"/>
              <w:keepNext w:val="0"/>
              <w:keepLines w:val="0"/>
              <w:pageBreakBefore w:val="0"/>
              <w:widowControl w:val="0"/>
              <w:kinsoku/>
              <w:wordWrap/>
              <w:overflowPunct/>
              <w:topLinePunct w:val="0"/>
              <w:autoSpaceDE/>
              <w:autoSpaceDN/>
              <w:bidi w:val="0"/>
              <w:adjustRightInd/>
              <w:snapToGrid/>
              <w:spacing w:after="0" w:line="240" w:lineRule="auto"/>
              <w:ind w:firstLine="0" w:firstLineChars="0"/>
              <w:jc w:val="left"/>
              <w:textAlignment w:val="auto"/>
              <w:rPr>
                <w:rFonts w:hint="eastAsia"/>
                <w:sz w:val="24"/>
                <w:szCs w:val="24"/>
              </w:rPr>
            </w:pPr>
            <w:r>
              <w:rPr>
                <w:rFonts w:hint="eastAsia" w:cs="Times New Roman"/>
                <w:sz w:val="21"/>
                <w:szCs w:val="21"/>
                <w:lang w:eastAsia="zh-CN"/>
              </w:rPr>
              <w:t>注：</w:t>
            </w:r>
            <w:r>
              <w:rPr>
                <w:rFonts w:hint="default" w:ascii="Times New Roman" w:hAnsi="Times New Roman" w:cs="Times New Roman"/>
                <w:sz w:val="21"/>
                <w:szCs w:val="21"/>
              </w:rPr>
              <w:t>单位：pH无量纲，其余为mg/L</w:t>
            </w:r>
          </w:p>
          <w:p>
            <w:pPr>
              <w:pStyle w:val="167"/>
              <w:spacing w:after="0" w:line="500" w:lineRule="exact"/>
              <w:ind w:firstLine="0" w:firstLineChars="0"/>
              <w:jc w:val="center"/>
              <w:rPr>
                <w:sz w:val="24"/>
                <w:szCs w:val="24"/>
              </w:rPr>
            </w:pPr>
            <w:r>
              <w:rPr>
                <w:rFonts w:hint="eastAsia"/>
                <w:sz w:val="24"/>
                <w:szCs w:val="24"/>
              </w:rPr>
              <w:t>表</w:t>
            </w:r>
            <w:r>
              <w:rPr>
                <w:sz w:val="24"/>
                <w:szCs w:val="24"/>
              </w:rPr>
              <w:t>3-</w:t>
            </w:r>
            <w:r>
              <w:rPr>
                <w:rFonts w:hint="eastAsia"/>
                <w:sz w:val="24"/>
                <w:szCs w:val="24"/>
                <w:lang w:val="en-US" w:eastAsia="zh-CN"/>
              </w:rPr>
              <w:t>5</w:t>
            </w:r>
            <w:r>
              <w:rPr>
                <w:sz w:val="24"/>
                <w:szCs w:val="24"/>
              </w:rPr>
              <w:t xml:space="preserve"> </w:t>
            </w:r>
            <w:r>
              <w:rPr>
                <w:rFonts w:hint="eastAsia"/>
                <w:sz w:val="24"/>
                <w:szCs w:val="24"/>
              </w:rPr>
              <w:t xml:space="preserve">  水环境现状单因子指数（最大值）评价表</w:t>
            </w:r>
          </w:p>
          <w:tbl>
            <w:tblPr>
              <w:tblStyle w:val="36"/>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2049"/>
              <w:gridCol w:w="2286"/>
              <w:gridCol w:w="18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pct"/>
                  <w:tcBorders>
                    <w:tl2br w:val="single" w:color="auto" w:sz="4" w:space="0"/>
                  </w:tcBorders>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        监测断面</w:t>
                  </w:r>
                </w:p>
                <w:p>
                  <w:pPr>
                    <w:widowControl/>
                    <w:adjustRightInd w:val="0"/>
                    <w:snapToGrid w:val="0"/>
                    <w:rPr>
                      <w:rFonts w:ascii="宋体" w:hAnsi="宋体" w:cs="宋体"/>
                      <w:kern w:val="0"/>
                      <w:szCs w:val="21"/>
                    </w:rPr>
                  </w:pPr>
                  <w:r>
                    <w:rPr>
                      <w:rFonts w:hint="eastAsia" w:ascii="宋体" w:hAnsi="宋体" w:cs="宋体"/>
                      <w:kern w:val="0"/>
                      <w:szCs w:val="21"/>
                    </w:rPr>
                    <w:t>监测项目</w:t>
                  </w:r>
                </w:p>
              </w:tc>
              <w:tc>
                <w:tcPr>
                  <w:tcW w:w="1256" w:type="pct"/>
                  <w:shd w:val="clear" w:color="auto" w:fill="auto"/>
                  <w:vAlign w:val="center"/>
                </w:tcPr>
                <w:p>
                  <w:pPr>
                    <w:widowControl/>
                    <w:adjustRightInd w:val="0"/>
                    <w:snapToGrid w:val="0"/>
                    <w:jc w:val="center"/>
                    <w:rPr>
                      <w:kern w:val="0"/>
                      <w:szCs w:val="21"/>
                    </w:rPr>
                  </w:pPr>
                  <w:r>
                    <w:rPr>
                      <w:kern w:val="0"/>
                      <w:szCs w:val="21"/>
                    </w:rPr>
                    <w:t>W</w:t>
                  </w:r>
                  <w:r>
                    <w:rPr>
                      <w:kern w:val="0"/>
                      <w:szCs w:val="21"/>
                      <w:vertAlign w:val="subscript"/>
                    </w:rPr>
                    <w:t>1</w:t>
                  </w:r>
                </w:p>
              </w:tc>
              <w:tc>
                <w:tcPr>
                  <w:tcW w:w="1401" w:type="pct"/>
                  <w:shd w:val="clear" w:color="auto" w:fill="auto"/>
                  <w:vAlign w:val="center"/>
                </w:tcPr>
                <w:p>
                  <w:pPr>
                    <w:widowControl/>
                    <w:adjustRightInd w:val="0"/>
                    <w:snapToGrid w:val="0"/>
                    <w:jc w:val="center"/>
                    <w:rPr>
                      <w:kern w:val="0"/>
                      <w:szCs w:val="21"/>
                    </w:rPr>
                  </w:pPr>
                  <w:r>
                    <w:rPr>
                      <w:kern w:val="0"/>
                      <w:szCs w:val="21"/>
                    </w:rPr>
                    <w:t>W</w:t>
                  </w:r>
                  <w:r>
                    <w:rPr>
                      <w:kern w:val="0"/>
                      <w:szCs w:val="21"/>
                      <w:vertAlign w:val="subscript"/>
                    </w:rPr>
                    <w:t>2</w:t>
                  </w:r>
                </w:p>
              </w:tc>
              <w:tc>
                <w:tcPr>
                  <w:tcW w:w="1126" w:type="pct"/>
                  <w:shd w:val="clear" w:color="auto" w:fill="auto"/>
                  <w:vAlign w:val="center"/>
                </w:tcPr>
                <w:p>
                  <w:pPr>
                    <w:widowControl/>
                    <w:adjustRightInd w:val="0"/>
                    <w:snapToGrid w:val="0"/>
                    <w:jc w:val="center"/>
                    <w:rPr>
                      <w:kern w:val="0"/>
                      <w:szCs w:val="21"/>
                    </w:rPr>
                  </w:pPr>
                  <w:r>
                    <w:rPr>
                      <w:kern w:val="0"/>
                      <w:szCs w:val="21"/>
                    </w:rPr>
                    <w:t>W</w:t>
                  </w:r>
                  <w:r>
                    <w:rPr>
                      <w:kern w:val="0"/>
                      <w:szCs w:val="21"/>
                      <w:vertAlign w:val="sub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pct"/>
                  <w:shd w:val="clear" w:color="auto" w:fill="auto"/>
                  <w:vAlign w:val="center"/>
                </w:tcPr>
                <w:p>
                  <w:pPr>
                    <w:widowControl/>
                    <w:adjustRightInd w:val="0"/>
                    <w:snapToGrid w:val="0"/>
                    <w:jc w:val="center"/>
                    <w:rPr>
                      <w:rFonts w:ascii="宋体" w:hAnsi="宋体" w:cs="宋体"/>
                      <w:kern w:val="0"/>
                      <w:szCs w:val="21"/>
                    </w:rPr>
                  </w:pPr>
                  <w:r>
                    <w:rPr>
                      <w:rFonts w:ascii="宋体" w:hAnsi="宋体" w:cs="宋体"/>
                      <w:kern w:val="0"/>
                      <w:szCs w:val="21"/>
                    </w:rPr>
                    <w:t>pH</w:t>
                  </w:r>
                </w:p>
              </w:tc>
              <w:tc>
                <w:tcPr>
                  <w:tcW w:w="1256" w:type="pct"/>
                  <w:shd w:val="clear" w:color="auto" w:fill="auto"/>
                  <w:vAlign w:val="center"/>
                </w:tcPr>
                <w:p>
                  <w:pPr>
                    <w:widowControl/>
                    <w:adjustRightInd w:val="0"/>
                    <w:snapToGrid w:val="0"/>
                    <w:jc w:val="center"/>
                    <w:rPr>
                      <w:kern w:val="0"/>
                      <w:szCs w:val="21"/>
                    </w:rPr>
                  </w:pPr>
                  <w:r>
                    <w:rPr>
                      <w:kern w:val="0"/>
                      <w:szCs w:val="21"/>
                    </w:rPr>
                    <w:t>0.14</w:t>
                  </w:r>
                </w:p>
              </w:tc>
              <w:tc>
                <w:tcPr>
                  <w:tcW w:w="1401" w:type="pct"/>
                  <w:shd w:val="clear" w:color="auto" w:fill="auto"/>
                  <w:vAlign w:val="center"/>
                </w:tcPr>
                <w:p>
                  <w:pPr>
                    <w:widowControl/>
                    <w:adjustRightInd w:val="0"/>
                    <w:snapToGrid w:val="0"/>
                    <w:jc w:val="center"/>
                    <w:rPr>
                      <w:kern w:val="0"/>
                      <w:szCs w:val="21"/>
                    </w:rPr>
                  </w:pPr>
                  <w:r>
                    <w:rPr>
                      <w:kern w:val="0"/>
                      <w:szCs w:val="21"/>
                    </w:rPr>
                    <w:t>0.31</w:t>
                  </w:r>
                </w:p>
              </w:tc>
              <w:tc>
                <w:tcPr>
                  <w:tcW w:w="1126" w:type="pct"/>
                  <w:shd w:val="clear" w:color="auto" w:fill="auto"/>
                  <w:vAlign w:val="center"/>
                </w:tcPr>
                <w:p>
                  <w:pPr>
                    <w:widowControl/>
                    <w:adjustRightInd w:val="0"/>
                    <w:snapToGrid w:val="0"/>
                    <w:jc w:val="center"/>
                    <w:rPr>
                      <w:kern w:val="0"/>
                      <w:szCs w:val="21"/>
                    </w:rPr>
                  </w:pPr>
                  <w:r>
                    <w:rPr>
                      <w:kern w:val="0"/>
                      <w:szCs w:val="21"/>
                    </w:rPr>
                    <w:t>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pct"/>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化学需氧量</w:t>
                  </w:r>
                </w:p>
              </w:tc>
              <w:tc>
                <w:tcPr>
                  <w:tcW w:w="1256" w:type="pct"/>
                  <w:shd w:val="clear" w:color="auto" w:fill="auto"/>
                  <w:vAlign w:val="center"/>
                </w:tcPr>
                <w:p>
                  <w:pPr>
                    <w:widowControl/>
                    <w:adjustRightInd w:val="0"/>
                    <w:snapToGrid w:val="0"/>
                    <w:jc w:val="center"/>
                    <w:rPr>
                      <w:kern w:val="0"/>
                      <w:szCs w:val="21"/>
                    </w:rPr>
                  </w:pPr>
                  <w:r>
                    <w:rPr>
                      <w:kern w:val="0"/>
                      <w:szCs w:val="21"/>
                    </w:rPr>
                    <w:t>0.85</w:t>
                  </w:r>
                </w:p>
              </w:tc>
              <w:tc>
                <w:tcPr>
                  <w:tcW w:w="1401" w:type="pct"/>
                  <w:shd w:val="clear" w:color="auto" w:fill="auto"/>
                  <w:vAlign w:val="center"/>
                </w:tcPr>
                <w:p>
                  <w:pPr>
                    <w:widowControl/>
                    <w:adjustRightInd w:val="0"/>
                    <w:snapToGrid w:val="0"/>
                    <w:jc w:val="center"/>
                    <w:rPr>
                      <w:kern w:val="0"/>
                      <w:szCs w:val="21"/>
                    </w:rPr>
                  </w:pPr>
                  <w:r>
                    <w:rPr>
                      <w:kern w:val="0"/>
                      <w:szCs w:val="21"/>
                    </w:rPr>
                    <w:t>0.90</w:t>
                  </w:r>
                </w:p>
              </w:tc>
              <w:tc>
                <w:tcPr>
                  <w:tcW w:w="1126" w:type="pct"/>
                  <w:shd w:val="clear" w:color="auto" w:fill="auto"/>
                  <w:vAlign w:val="center"/>
                </w:tcPr>
                <w:p>
                  <w:pPr>
                    <w:widowControl/>
                    <w:adjustRightInd w:val="0"/>
                    <w:snapToGrid w:val="0"/>
                    <w:jc w:val="center"/>
                    <w:rPr>
                      <w:kern w:val="0"/>
                      <w:szCs w:val="21"/>
                    </w:rPr>
                  </w:pPr>
                  <w:r>
                    <w:rPr>
                      <w:kern w:val="0"/>
                      <w:szCs w:val="21"/>
                    </w:rPr>
                    <w:t>0.95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pct"/>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五日生化需氧量</w:t>
                  </w:r>
                </w:p>
              </w:tc>
              <w:tc>
                <w:tcPr>
                  <w:tcW w:w="1256" w:type="pct"/>
                  <w:shd w:val="clear" w:color="auto" w:fill="auto"/>
                  <w:vAlign w:val="center"/>
                </w:tcPr>
                <w:p>
                  <w:pPr>
                    <w:widowControl/>
                    <w:adjustRightInd w:val="0"/>
                    <w:snapToGrid w:val="0"/>
                    <w:jc w:val="center"/>
                    <w:rPr>
                      <w:kern w:val="0"/>
                      <w:szCs w:val="21"/>
                    </w:rPr>
                  </w:pPr>
                  <w:r>
                    <w:rPr>
                      <w:kern w:val="0"/>
                      <w:szCs w:val="21"/>
                    </w:rPr>
                    <w:t>0.67</w:t>
                  </w:r>
                </w:p>
              </w:tc>
              <w:tc>
                <w:tcPr>
                  <w:tcW w:w="1401" w:type="pct"/>
                  <w:shd w:val="clear" w:color="auto" w:fill="auto"/>
                  <w:vAlign w:val="center"/>
                </w:tcPr>
                <w:p>
                  <w:pPr>
                    <w:widowControl/>
                    <w:adjustRightInd w:val="0"/>
                    <w:snapToGrid w:val="0"/>
                    <w:jc w:val="center"/>
                    <w:rPr>
                      <w:kern w:val="0"/>
                      <w:szCs w:val="21"/>
                    </w:rPr>
                  </w:pPr>
                  <w:r>
                    <w:rPr>
                      <w:kern w:val="0"/>
                      <w:szCs w:val="21"/>
                    </w:rPr>
                    <w:t>0.65</w:t>
                  </w:r>
                </w:p>
              </w:tc>
              <w:tc>
                <w:tcPr>
                  <w:tcW w:w="1126" w:type="pct"/>
                  <w:shd w:val="clear" w:color="auto" w:fill="auto"/>
                  <w:vAlign w:val="center"/>
                </w:tcPr>
                <w:p>
                  <w:pPr>
                    <w:widowControl/>
                    <w:adjustRightInd w:val="0"/>
                    <w:snapToGrid w:val="0"/>
                    <w:jc w:val="center"/>
                    <w:rPr>
                      <w:kern w:val="0"/>
                      <w:szCs w:val="21"/>
                    </w:rPr>
                  </w:pPr>
                  <w:r>
                    <w:rPr>
                      <w:kern w:val="0"/>
                      <w:szCs w:val="21"/>
                    </w:rPr>
                    <w:t>0.60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pct"/>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总磷</w:t>
                  </w:r>
                </w:p>
              </w:tc>
              <w:tc>
                <w:tcPr>
                  <w:tcW w:w="1256" w:type="pct"/>
                  <w:shd w:val="clear" w:color="auto" w:fill="auto"/>
                  <w:vAlign w:val="center"/>
                </w:tcPr>
                <w:p>
                  <w:pPr>
                    <w:widowControl/>
                    <w:adjustRightInd w:val="0"/>
                    <w:snapToGrid w:val="0"/>
                    <w:jc w:val="center"/>
                    <w:rPr>
                      <w:kern w:val="0"/>
                      <w:szCs w:val="21"/>
                    </w:rPr>
                  </w:pPr>
                  <w:r>
                    <w:rPr>
                      <w:kern w:val="0"/>
                      <w:szCs w:val="21"/>
                    </w:rPr>
                    <w:t>4.40</w:t>
                  </w:r>
                </w:p>
              </w:tc>
              <w:tc>
                <w:tcPr>
                  <w:tcW w:w="1401" w:type="pct"/>
                  <w:shd w:val="clear" w:color="auto" w:fill="auto"/>
                  <w:vAlign w:val="center"/>
                </w:tcPr>
                <w:p>
                  <w:pPr>
                    <w:widowControl/>
                    <w:adjustRightInd w:val="0"/>
                    <w:snapToGrid w:val="0"/>
                    <w:jc w:val="center"/>
                    <w:rPr>
                      <w:kern w:val="0"/>
                      <w:szCs w:val="21"/>
                    </w:rPr>
                  </w:pPr>
                  <w:r>
                    <w:rPr>
                      <w:kern w:val="0"/>
                      <w:szCs w:val="21"/>
                    </w:rPr>
                    <w:t>4.15</w:t>
                  </w:r>
                </w:p>
              </w:tc>
              <w:tc>
                <w:tcPr>
                  <w:tcW w:w="1126" w:type="pct"/>
                  <w:shd w:val="clear" w:color="auto" w:fill="auto"/>
                  <w:vAlign w:val="center"/>
                </w:tcPr>
                <w:p>
                  <w:pPr>
                    <w:widowControl/>
                    <w:adjustRightInd w:val="0"/>
                    <w:snapToGrid w:val="0"/>
                    <w:jc w:val="center"/>
                    <w:rPr>
                      <w:kern w:val="0"/>
                      <w:szCs w:val="21"/>
                    </w:rPr>
                  </w:pPr>
                  <w:r>
                    <w:rPr>
                      <w:kern w:val="0"/>
                      <w:szCs w:val="21"/>
                    </w:rPr>
                    <w:t>3.35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pct"/>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悬浮物</w:t>
                  </w:r>
                </w:p>
              </w:tc>
              <w:tc>
                <w:tcPr>
                  <w:tcW w:w="1256" w:type="pct"/>
                  <w:shd w:val="clear" w:color="auto" w:fill="auto"/>
                  <w:vAlign w:val="center"/>
                </w:tcPr>
                <w:p>
                  <w:pPr>
                    <w:widowControl/>
                    <w:adjustRightInd w:val="0"/>
                    <w:snapToGrid w:val="0"/>
                    <w:jc w:val="center"/>
                    <w:rPr>
                      <w:kern w:val="0"/>
                      <w:szCs w:val="21"/>
                    </w:rPr>
                  </w:pPr>
                  <w:r>
                    <w:rPr>
                      <w:kern w:val="0"/>
                      <w:szCs w:val="21"/>
                    </w:rPr>
                    <w:t>0.63</w:t>
                  </w:r>
                </w:p>
              </w:tc>
              <w:tc>
                <w:tcPr>
                  <w:tcW w:w="1401" w:type="pct"/>
                  <w:shd w:val="clear" w:color="auto" w:fill="auto"/>
                  <w:vAlign w:val="center"/>
                </w:tcPr>
                <w:p>
                  <w:pPr>
                    <w:widowControl/>
                    <w:adjustRightInd w:val="0"/>
                    <w:snapToGrid w:val="0"/>
                    <w:jc w:val="center"/>
                    <w:rPr>
                      <w:kern w:val="0"/>
                      <w:szCs w:val="21"/>
                    </w:rPr>
                  </w:pPr>
                  <w:r>
                    <w:rPr>
                      <w:kern w:val="0"/>
                      <w:szCs w:val="21"/>
                    </w:rPr>
                    <w:t>0.70</w:t>
                  </w:r>
                </w:p>
              </w:tc>
              <w:tc>
                <w:tcPr>
                  <w:tcW w:w="1126" w:type="pct"/>
                  <w:shd w:val="clear" w:color="auto" w:fill="auto"/>
                  <w:vAlign w:val="center"/>
                </w:tcPr>
                <w:p>
                  <w:pPr>
                    <w:widowControl/>
                    <w:adjustRightInd w:val="0"/>
                    <w:snapToGrid w:val="0"/>
                    <w:jc w:val="center"/>
                    <w:rPr>
                      <w:kern w:val="0"/>
                      <w:szCs w:val="21"/>
                    </w:rPr>
                  </w:pPr>
                  <w:r>
                    <w:rPr>
                      <w:kern w:val="0"/>
                      <w:szCs w:val="21"/>
                    </w:rPr>
                    <w:t>0.73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pct"/>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石油类</w:t>
                  </w:r>
                </w:p>
              </w:tc>
              <w:tc>
                <w:tcPr>
                  <w:tcW w:w="1256" w:type="pct"/>
                  <w:shd w:val="clear" w:color="auto" w:fill="auto"/>
                  <w:vAlign w:val="center"/>
                </w:tcPr>
                <w:p>
                  <w:pPr>
                    <w:widowControl/>
                    <w:adjustRightInd w:val="0"/>
                    <w:snapToGrid w:val="0"/>
                    <w:jc w:val="center"/>
                    <w:rPr>
                      <w:kern w:val="0"/>
                      <w:szCs w:val="21"/>
                    </w:rPr>
                  </w:pPr>
                  <w:r>
                    <w:rPr>
                      <w:kern w:val="0"/>
                      <w:szCs w:val="21"/>
                    </w:rPr>
                    <w:t>0.80</w:t>
                  </w:r>
                </w:p>
              </w:tc>
              <w:tc>
                <w:tcPr>
                  <w:tcW w:w="1401" w:type="pct"/>
                  <w:shd w:val="clear" w:color="auto" w:fill="auto"/>
                  <w:vAlign w:val="center"/>
                </w:tcPr>
                <w:p>
                  <w:pPr>
                    <w:widowControl/>
                    <w:adjustRightInd w:val="0"/>
                    <w:snapToGrid w:val="0"/>
                    <w:jc w:val="center"/>
                    <w:rPr>
                      <w:kern w:val="0"/>
                      <w:szCs w:val="21"/>
                    </w:rPr>
                  </w:pPr>
                  <w:r>
                    <w:rPr>
                      <w:kern w:val="0"/>
                      <w:szCs w:val="21"/>
                    </w:rPr>
                    <w:t>0.40</w:t>
                  </w:r>
                </w:p>
              </w:tc>
              <w:tc>
                <w:tcPr>
                  <w:tcW w:w="1126" w:type="pct"/>
                  <w:shd w:val="clear" w:color="auto" w:fill="auto"/>
                  <w:vAlign w:val="center"/>
                </w:tcPr>
                <w:p>
                  <w:pPr>
                    <w:widowControl/>
                    <w:adjustRightInd w:val="0"/>
                    <w:snapToGrid w:val="0"/>
                    <w:jc w:val="center"/>
                    <w:rPr>
                      <w:kern w:val="0"/>
                      <w:szCs w:val="21"/>
                    </w:rPr>
                  </w:pPr>
                  <w:r>
                    <w:rPr>
                      <w:kern w:val="0"/>
                      <w:szCs w:val="21"/>
                    </w:rPr>
                    <w:t>0.60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pct"/>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高锰酸盐指数</w:t>
                  </w:r>
                </w:p>
              </w:tc>
              <w:tc>
                <w:tcPr>
                  <w:tcW w:w="1256" w:type="pct"/>
                  <w:shd w:val="clear" w:color="auto" w:fill="auto"/>
                  <w:vAlign w:val="center"/>
                </w:tcPr>
                <w:p>
                  <w:pPr>
                    <w:widowControl/>
                    <w:adjustRightInd w:val="0"/>
                    <w:snapToGrid w:val="0"/>
                    <w:jc w:val="center"/>
                    <w:rPr>
                      <w:kern w:val="0"/>
                      <w:szCs w:val="21"/>
                    </w:rPr>
                  </w:pPr>
                  <w:r>
                    <w:rPr>
                      <w:kern w:val="0"/>
                      <w:szCs w:val="21"/>
                    </w:rPr>
                    <w:t>0.52</w:t>
                  </w:r>
                </w:p>
              </w:tc>
              <w:tc>
                <w:tcPr>
                  <w:tcW w:w="1401" w:type="pct"/>
                  <w:shd w:val="clear" w:color="auto" w:fill="auto"/>
                  <w:vAlign w:val="center"/>
                </w:tcPr>
                <w:p>
                  <w:pPr>
                    <w:widowControl/>
                    <w:adjustRightInd w:val="0"/>
                    <w:snapToGrid w:val="0"/>
                    <w:jc w:val="center"/>
                    <w:rPr>
                      <w:kern w:val="0"/>
                      <w:szCs w:val="21"/>
                    </w:rPr>
                  </w:pPr>
                  <w:r>
                    <w:rPr>
                      <w:kern w:val="0"/>
                      <w:szCs w:val="21"/>
                    </w:rPr>
                    <w:t>0.52</w:t>
                  </w:r>
                </w:p>
              </w:tc>
              <w:tc>
                <w:tcPr>
                  <w:tcW w:w="1126" w:type="pct"/>
                  <w:shd w:val="clear" w:color="auto" w:fill="auto"/>
                  <w:vAlign w:val="center"/>
                </w:tcPr>
                <w:p>
                  <w:pPr>
                    <w:widowControl/>
                    <w:adjustRightInd w:val="0"/>
                    <w:snapToGrid w:val="0"/>
                    <w:jc w:val="center"/>
                    <w:rPr>
                      <w:kern w:val="0"/>
                      <w:szCs w:val="21"/>
                    </w:rPr>
                  </w:pPr>
                  <w:r>
                    <w:rPr>
                      <w:kern w:val="0"/>
                      <w:szCs w:val="21"/>
                    </w:rPr>
                    <w:t>0.50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pct"/>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溶解氧</w:t>
                  </w:r>
                </w:p>
              </w:tc>
              <w:tc>
                <w:tcPr>
                  <w:tcW w:w="1256" w:type="pct"/>
                  <w:shd w:val="clear" w:color="auto" w:fill="auto"/>
                  <w:vAlign w:val="center"/>
                </w:tcPr>
                <w:p>
                  <w:pPr>
                    <w:widowControl/>
                    <w:adjustRightInd w:val="0"/>
                    <w:snapToGrid w:val="0"/>
                    <w:jc w:val="center"/>
                    <w:rPr>
                      <w:kern w:val="0"/>
                      <w:szCs w:val="21"/>
                    </w:rPr>
                  </w:pPr>
                  <w:r>
                    <w:rPr>
                      <w:kern w:val="0"/>
                      <w:szCs w:val="21"/>
                    </w:rPr>
                    <w:t>0.86</w:t>
                  </w:r>
                </w:p>
              </w:tc>
              <w:tc>
                <w:tcPr>
                  <w:tcW w:w="1401" w:type="pct"/>
                  <w:shd w:val="clear" w:color="auto" w:fill="auto"/>
                  <w:vAlign w:val="center"/>
                </w:tcPr>
                <w:p>
                  <w:pPr>
                    <w:widowControl/>
                    <w:adjustRightInd w:val="0"/>
                    <w:snapToGrid w:val="0"/>
                    <w:jc w:val="center"/>
                    <w:rPr>
                      <w:kern w:val="0"/>
                      <w:szCs w:val="21"/>
                    </w:rPr>
                  </w:pPr>
                  <w:r>
                    <w:rPr>
                      <w:kern w:val="0"/>
                      <w:szCs w:val="21"/>
                    </w:rPr>
                    <w:t>0.83</w:t>
                  </w:r>
                </w:p>
              </w:tc>
              <w:tc>
                <w:tcPr>
                  <w:tcW w:w="1126" w:type="pct"/>
                  <w:shd w:val="clear" w:color="auto" w:fill="auto"/>
                  <w:vAlign w:val="center"/>
                </w:tcPr>
                <w:p>
                  <w:pPr>
                    <w:widowControl/>
                    <w:adjustRightInd w:val="0"/>
                    <w:snapToGrid w:val="0"/>
                    <w:jc w:val="center"/>
                    <w:rPr>
                      <w:kern w:val="0"/>
                      <w:szCs w:val="21"/>
                    </w:rPr>
                  </w:pPr>
                  <w:r>
                    <w:rPr>
                      <w:kern w:val="0"/>
                      <w:szCs w:val="21"/>
                    </w:rPr>
                    <w:t>0.83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217" w:type="pct"/>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氨氮</w:t>
                  </w:r>
                </w:p>
              </w:tc>
              <w:tc>
                <w:tcPr>
                  <w:tcW w:w="1256" w:type="pct"/>
                  <w:shd w:val="clear" w:color="auto" w:fill="auto"/>
                  <w:vAlign w:val="center"/>
                </w:tcPr>
                <w:p>
                  <w:pPr>
                    <w:widowControl/>
                    <w:adjustRightInd w:val="0"/>
                    <w:snapToGrid w:val="0"/>
                    <w:jc w:val="center"/>
                    <w:rPr>
                      <w:kern w:val="0"/>
                      <w:szCs w:val="21"/>
                    </w:rPr>
                  </w:pPr>
                  <w:r>
                    <w:rPr>
                      <w:kern w:val="0"/>
                      <w:szCs w:val="21"/>
                    </w:rPr>
                    <w:t>0.29</w:t>
                  </w:r>
                </w:p>
              </w:tc>
              <w:tc>
                <w:tcPr>
                  <w:tcW w:w="1401" w:type="pct"/>
                  <w:shd w:val="clear" w:color="auto" w:fill="auto"/>
                  <w:vAlign w:val="center"/>
                </w:tcPr>
                <w:p>
                  <w:pPr>
                    <w:widowControl/>
                    <w:adjustRightInd w:val="0"/>
                    <w:snapToGrid w:val="0"/>
                    <w:jc w:val="center"/>
                    <w:rPr>
                      <w:kern w:val="0"/>
                      <w:szCs w:val="21"/>
                    </w:rPr>
                  </w:pPr>
                  <w:r>
                    <w:rPr>
                      <w:kern w:val="0"/>
                      <w:szCs w:val="21"/>
                    </w:rPr>
                    <w:t>0.44</w:t>
                  </w:r>
                </w:p>
              </w:tc>
              <w:tc>
                <w:tcPr>
                  <w:tcW w:w="1126" w:type="pct"/>
                  <w:shd w:val="clear" w:color="auto" w:fill="auto"/>
                  <w:vAlign w:val="center"/>
                </w:tcPr>
                <w:p>
                  <w:pPr>
                    <w:widowControl/>
                    <w:adjustRightInd w:val="0"/>
                    <w:snapToGrid w:val="0"/>
                    <w:jc w:val="center"/>
                    <w:rPr>
                      <w:kern w:val="0"/>
                      <w:szCs w:val="21"/>
                    </w:rPr>
                  </w:pPr>
                  <w:r>
                    <w:rPr>
                      <w:kern w:val="0"/>
                      <w:szCs w:val="21"/>
                    </w:rPr>
                    <w:t>0.22</w:t>
                  </w:r>
                </w:p>
              </w:tc>
            </w:tr>
          </w:tbl>
          <w:p>
            <w:pPr>
              <w:pStyle w:val="167"/>
              <w:keepNext w:val="0"/>
              <w:keepLines w:val="0"/>
              <w:pageBreakBefore w:val="0"/>
              <w:widowControl w:val="0"/>
              <w:kinsoku/>
              <w:wordWrap/>
              <w:overflowPunct/>
              <w:topLinePunct w:val="0"/>
              <w:autoSpaceDE/>
              <w:autoSpaceDN/>
              <w:bidi w:val="0"/>
              <w:adjustRightInd w:val="0"/>
              <w:snapToGrid w:val="0"/>
              <w:spacing w:after="0" w:line="360" w:lineRule="auto"/>
              <w:ind w:firstLineChars="200"/>
              <w:jc w:val="left"/>
              <w:textAlignment w:val="auto"/>
              <w:rPr>
                <w:sz w:val="24"/>
                <w:szCs w:val="24"/>
              </w:rPr>
            </w:pPr>
            <w:r>
              <w:rPr>
                <w:rFonts w:hint="eastAsia"/>
                <w:sz w:val="24"/>
                <w:szCs w:val="24"/>
              </w:rPr>
              <w:t>根据表</w:t>
            </w:r>
            <w:r>
              <w:rPr>
                <w:sz w:val="24"/>
                <w:szCs w:val="24"/>
              </w:rPr>
              <w:t>3-</w:t>
            </w:r>
            <w:r>
              <w:rPr>
                <w:rFonts w:hint="eastAsia"/>
                <w:sz w:val="24"/>
                <w:szCs w:val="24"/>
                <w:lang w:val="en-US" w:eastAsia="zh-CN"/>
              </w:rPr>
              <w:t>5</w:t>
            </w:r>
            <w:r>
              <w:rPr>
                <w:rFonts w:hint="eastAsia"/>
                <w:sz w:val="24"/>
                <w:szCs w:val="24"/>
              </w:rPr>
              <w:t>，本次现状监测的武宜运河</w:t>
            </w:r>
            <w:r>
              <w:rPr>
                <w:sz w:val="24"/>
                <w:szCs w:val="24"/>
              </w:rPr>
              <w:t>各监测断面</w:t>
            </w:r>
            <w:r>
              <w:rPr>
                <w:rFonts w:hint="eastAsia"/>
                <w:sz w:val="24"/>
                <w:szCs w:val="24"/>
              </w:rPr>
              <w:t>（W</w:t>
            </w:r>
            <w:r>
              <w:rPr>
                <w:sz w:val="24"/>
                <w:szCs w:val="24"/>
              </w:rPr>
              <w:t>1</w:t>
            </w:r>
            <w:r>
              <w:rPr>
                <w:rFonts w:hint="eastAsia"/>
                <w:sz w:val="24"/>
                <w:szCs w:val="24"/>
              </w:rPr>
              <w:t>-</w:t>
            </w:r>
            <w:r>
              <w:rPr>
                <w:sz w:val="24"/>
                <w:szCs w:val="24"/>
              </w:rPr>
              <w:t xml:space="preserve"> W</w:t>
            </w:r>
            <w:r>
              <w:rPr>
                <w:rFonts w:hint="eastAsia"/>
                <w:sz w:val="24"/>
                <w:szCs w:val="24"/>
              </w:rPr>
              <w:t>3）</w:t>
            </w:r>
            <w:r>
              <w:rPr>
                <w:sz w:val="24"/>
                <w:szCs w:val="24"/>
              </w:rPr>
              <w:t>水质监测指标</w:t>
            </w:r>
            <w:r>
              <w:rPr>
                <w:rFonts w:hint="eastAsia"/>
                <w:sz w:val="24"/>
                <w:szCs w:val="24"/>
              </w:rPr>
              <w:t>中</w:t>
            </w:r>
            <w:r>
              <w:rPr>
                <w:sz w:val="24"/>
                <w:szCs w:val="24"/>
              </w:rPr>
              <w:t>的TP单因子指数均</w:t>
            </w:r>
            <w:r>
              <w:rPr>
                <w:rFonts w:hint="eastAsia"/>
                <w:sz w:val="24"/>
                <w:szCs w:val="24"/>
              </w:rPr>
              <w:t>大</w:t>
            </w:r>
            <w:r>
              <w:rPr>
                <w:sz w:val="24"/>
                <w:szCs w:val="24"/>
              </w:rPr>
              <w:t>于1</w:t>
            </w:r>
            <w:r>
              <w:rPr>
                <w:rFonts w:hint="eastAsia"/>
                <w:sz w:val="24"/>
                <w:szCs w:val="24"/>
              </w:rPr>
              <w:t>，其他各</w:t>
            </w:r>
            <w:r>
              <w:rPr>
                <w:sz w:val="24"/>
                <w:szCs w:val="24"/>
              </w:rPr>
              <w:t>水质监测指标单因子指数</w:t>
            </w:r>
            <w:r>
              <w:rPr>
                <w:rFonts w:hint="eastAsia"/>
                <w:sz w:val="24"/>
                <w:szCs w:val="24"/>
              </w:rPr>
              <w:t>均小于</w:t>
            </w:r>
            <w:r>
              <w:rPr>
                <w:sz w:val="24"/>
                <w:szCs w:val="24"/>
              </w:rPr>
              <w:t>1</w:t>
            </w:r>
            <w:r>
              <w:rPr>
                <w:rFonts w:hint="eastAsia"/>
                <w:sz w:val="24"/>
                <w:szCs w:val="24"/>
              </w:rPr>
              <w:t>，说明武宜运河</w:t>
            </w:r>
            <w:r>
              <w:rPr>
                <w:sz w:val="24"/>
                <w:szCs w:val="24"/>
              </w:rPr>
              <w:t>水质</w:t>
            </w:r>
            <w:r>
              <w:rPr>
                <w:rFonts w:hint="eastAsia"/>
                <w:sz w:val="24"/>
                <w:szCs w:val="24"/>
              </w:rPr>
              <w:t>已无法满足</w:t>
            </w:r>
            <w:r>
              <w:rPr>
                <w:sz w:val="24"/>
                <w:szCs w:val="24"/>
              </w:rPr>
              <w:t>《地</w:t>
            </w:r>
            <w:r>
              <w:rPr>
                <w:rFonts w:hint="eastAsia"/>
                <w:sz w:val="24"/>
                <w:szCs w:val="24"/>
              </w:rPr>
              <w:t>表</w:t>
            </w:r>
            <w:r>
              <w:rPr>
                <w:sz w:val="24"/>
                <w:szCs w:val="24"/>
              </w:rPr>
              <w:t>水环境质量标准》（GB3838-2002）中</w:t>
            </w:r>
            <w:r>
              <w:rPr>
                <w:rFonts w:hint="eastAsia"/>
                <w:sz w:val="24"/>
                <w:szCs w:val="24"/>
              </w:rPr>
              <w:t>Ⅲ</w:t>
            </w:r>
            <w:r>
              <w:rPr>
                <w:sz w:val="24"/>
                <w:szCs w:val="24"/>
              </w:rPr>
              <w:t>类标准</w:t>
            </w:r>
            <w:r>
              <w:rPr>
                <w:rFonts w:hint="eastAsia"/>
                <w:sz w:val="24"/>
                <w:szCs w:val="24"/>
              </w:rPr>
              <w:t>，主要超标因子为：</w:t>
            </w:r>
            <w:r>
              <w:rPr>
                <w:sz w:val="24"/>
                <w:szCs w:val="24"/>
              </w:rPr>
              <w:t>TP。</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b/>
                <w:sz w:val="24"/>
                <w:szCs w:val="24"/>
              </w:rPr>
            </w:pPr>
            <w:r>
              <w:rPr>
                <w:rFonts w:hint="eastAsia"/>
                <w:b/>
                <w:sz w:val="24"/>
                <w:szCs w:val="24"/>
              </w:rPr>
              <w:t>武宜运河水质</w:t>
            </w:r>
            <w:r>
              <w:rPr>
                <w:b/>
                <w:sz w:val="24"/>
                <w:szCs w:val="24"/>
              </w:rPr>
              <w:t>超标的主要原因为</w:t>
            </w:r>
            <w:r>
              <w:rPr>
                <w:rFonts w:hint="eastAsia"/>
                <w:b/>
                <w:sz w:val="24"/>
                <w:szCs w:val="24"/>
              </w:rPr>
              <w:t>：</w:t>
            </w:r>
            <w:r>
              <w:rPr>
                <w:sz w:val="24"/>
                <w:szCs w:val="24"/>
              </w:rPr>
              <w:t>上游来水水质较差，周边仍有分散居民点生活污水未接管直排河道，底泥淤积，自净能力差及农业面源污染等，造成水质出现不同程度的超标现象</w:t>
            </w:r>
            <w:r>
              <w:rPr>
                <w:rFonts w:hint="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sz w:val="24"/>
                <w:szCs w:val="24"/>
              </w:rPr>
            </w:pPr>
            <w:r>
              <w:rPr>
                <w:b/>
                <w:sz w:val="24"/>
                <w:szCs w:val="24"/>
              </w:rPr>
              <w:t>区域水环境综合整治方案：</w:t>
            </w:r>
            <w:r>
              <w:rPr>
                <w:sz w:val="24"/>
                <w:szCs w:val="24"/>
              </w:rPr>
              <w:t>2021年宜兴市拟实施河道管理项目，对全市2589条（段）河道开展</w:t>
            </w:r>
            <w:r>
              <w:rPr>
                <w:rFonts w:hint="eastAsia"/>
                <w:sz w:val="24"/>
                <w:szCs w:val="24"/>
                <w:lang w:eastAsia="zh-CN"/>
              </w:rPr>
              <w:t>“</w:t>
            </w:r>
            <w:r>
              <w:rPr>
                <w:sz w:val="24"/>
                <w:szCs w:val="24"/>
              </w:rPr>
              <w:t>河长制</w:t>
            </w:r>
            <w:r>
              <w:rPr>
                <w:rFonts w:hint="eastAsia"/>
                <w:sz w:val="24"/>
                <w:szCs w:val="24"/>
                <w:lang w:eastAsia="zh-CN"/>
              </w:rPr>
              <w:t>“</w:t>
            </w:r>
            <w:r>
              <w:rPr>
                <w:sz w:val="24"/>
                <w:szCs w:val="24"/>
              </w:rPr>
              <w:t>管理，对46条市级重点河（湖、库、氿、荡）及其一级支浜推行</w:t>
            </w:r>
            <w:r>
              <w:rPr>
                <w:rFonts w:hint="eastAsia"/>
                <w:sz w:val="24"/>
                <w:szCs w:val="24"/>
                <w:lang w:eastAsia="zh-CN"/>
              </w:rPr>
              <w:t>“</w:t>
            </w:r>
            <w:r>
              <w:rPr>
                <w:sz w:val="24"/>
                <w:szCs w:val="24"/>
              </w:rPr>
              <w:t>河道管家</w:t>
            </w:r>
            <w:r>
              <w:rPr>
                <w:rFonts w:hint="eastAsia"/>
                <w:sz w:val="24"/>
                <w:szCs w:val="24"/>
                <w:lang w:eastAsia="zh-CN"/>
              </w:rPr>
              <w:t>“</w:t>
            </w:r>
            <w:r>
              <w:rPr>
                <w:sz w:val="24"/>
                <w:szCs w:val="24"/>
              </w:rPr>
              <w:t>，对实施</w:t>
            </w:r>
            <w:r>
              <w:rPr>
                <w:rFonts w:hint="eastAsia"/>
                <w:sz w:val="24"/>
                <w:szCs w:val="24"/>
                <w:lang w:eastAsia="zh-CN"/>
              </w:rPr>
              <w:t>“</w:t>
            </w:r>
            <w:r>
              <w:rPr>
                <w:sz w:val="24"/>
                <w:szCs w:val="24"/>
              </w:rPr>
              <w:t>河道管家</w:t>
            </w:r>
            <w:r>
              <w:rPr>
                <w:rFonts w:hint="eastAsia"/>
                <w:sz w:val="24"/>
                <w:szCs w:val="24"/>
                <w:lang w:eastAsia="zh-CN"/>
              </w:rPr>
              <w:t>“</w:t>
            </w:r>
            <w:r>
              <w:rPr>
                <w:sz w:val="24"/>
                <w:szCs w:val="24"/>
              </w:rPr>
              <w:t>以外的农村河道开展保洁作业，对93条农村河道实施清淤整治。同时宜兴经济技术开发区内宜兴市城市污水处理厂已完成了提标改造，使其尾水 COD、氨氮、总氮、总磷达到了《太湖地区城镇污水处理厂及重点工业行业主要水污染物排放限值》（DB32/1072-2018）中表1标准；宜兴市亦制定了宜兴市百渎港桥、漕桥、殷村港断面达标方案，改善武宜运河上游及周边来水水质，并定期实施武宜运河主要支浜生态清淤工程项目，以改善水环境质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b/>
                <w:bCs/>
                <w:sz w:val="24"/>
                <w:szCs w:val="24"/>
                <w:highlight w:val="none"/>
              </w:rPr>
            </w:pPr>
            <w:r>
              <w:rPr>
                <w:sz w:val="24"/>
                <w:szCs w:val="24"/>
              </w:rPr>
              <w:t>可见，按照已制定的区域水环境综合整治方案推进落实各项措施后，区域水环境将有所改善。</w:t>
            </w:r>
          </w:p>
          <w:p>
            <w:pPr>
              <w:adjustRightInd w:val="0"/>
              <w:snapToGrid w:val="0"/>
              <w:spacing w:line="360" w:lineRule="auto"/>
              <w:ind w:firstLine="480"/>
              <w:rPr>
                <w:b/>
                <w:bCs/>
                <w:sz w:val="24"/>
                <w:highlight w:val="none"/>
              </w:rPr>
            </w:pPr>
            <w:r>
              <w:rPr>
                <w:rFonts w:hint="eastAsia"/>
                <w:b/>
                <w:bCs/>
                <w:sz w:val="24"/>
                <w:highlight w:val="none"/>
              </w:rPr>
              <w:t>3、声环境质量</w:t>
            </w:r>
          </w:p>
          <w:p>
            <w:pPr>
              <w:spacing w:line="360" w:lineRule="auto"/>
              <w:ind w:firstLine="482"/>
              <w:rPr>
                <w:sz w:val="24"/>
                <w:highlight w:val="none"/>
              </w:rPr>
            </w:pPr>
            <w:r>
              <w:rPr>
                <w:sz w:val="24"/>
                <w:highlight w:val="none"/>
              </w:rPr>
              <w:t>项目所处区域声环境质量满足《声环境质量标准》（GB3096-2008）</w:t>
            </w:r>
            <w:r>
              <w:rPr>
                <w:rFonts w:hint="eastAsia"/>
                <w:sz w:val="24"/>
                <w:highlight w:val="none"/>
                <w:lang w:val="en-US" w:eastAsia="zh-CN"/>
              </w:rPr>
              <w:t>2</w:t>
            </w:r>
            <w:r>
              <w:rPr>
                <w:sz w:val="24"/>
                <w:highlight w:val="none"/>
              </w:rPr>
              <w:t>类标准，即昼间 ≤6</w:t>
            </w:r>
            <w:r>
              <w:rPr>
                <w:rFonts w:hint="eastAsia"/>
                <w:sz w:val="24"/>
                <w:highlight w:val="none"/>
                <w:lang w:val="en-US" w:eastAsia="zh-CN"/>
              </w:rPr>
              <w:t>0</w:t>
            </w:r>
            <w:r>
              <w:rPr>
                <w:sz w:val="24"/>
                <w:highlight w:val="none"/>
              </w:rPr>
              <w:t>dB(A)</w:t>
            </w:r>
            <w:r>
              <w:rPr>
                <w:rFonts w:hint="eastAsia"/>
                <w:sz w:val="24"/>
                <w:highlight w:val="none"/>
                <w:lang w:eastAsia="zh-CN"/>
              </w:rPr>
              <w:t>，夜间</w:t>
            </w:r>
            <w:r>
              <w:rPr>
                <w:sz w:val="24"/>
                <w:highlight w:val="none"/>
              </w:rPr>
              <w:t>≤</w:t>
            </w:r>
            <w:r>
              <w:rPr>
                <w:rFonts w:hint="eastAsia"/>
                <w:sz w:val="24"/>
                <w:highlight w:val="none"/>
                <w:lang w:val="en-US" w:eastAsia="zh-CN"/>
              </w:rPr>
              <w:t>50</w:t>
            </w:r>
            <w:r>
              <w:rPr>
                <w:sz w:val="24"/>
                <w:highlight w:val="none"/>
              </w:rPr>
              <w:t>dB(A)。</w:t>
            </w:r>
          </w:p>
          <w:p>
            <w:pPr>
              <w:spacing w:line="360" w:lineRule="auto"/>
              <w:ind w:firstLine="482"/>
              <w:rPr>
                <w:sz w:val="24"/>
                <w:highlight w:val="none"/>
              </w:rPr>
            </w:pPr>
            <w:r>
              <w:rPr>
                <w:rFonts w:hint="eastAsia"/>
                <w:sz w:val="24"/>
                <w:highlight w:val="none"/>
              </w:rPr>
              <w:t>本项目周边</w:t>
            </w:r>
            <w:r>
              <w:rPr>
                <w:rFonts w:hint="eastAsia"/>
                <w:sz w:val="24"/>
                <w:highlight w:val="none"/>
                <w:lang w:val="en-US" w:eastAsia="zh-CN"/>
              </w:rPr>
              <w:t>50</w:t>
            </w:r>
            <w:r>
              <w:rPr>
                <w:rFonts w:hint="eastAsia"/>
                <w:sz w:val="24"/>
                <w:highlight w:val="none"/>
              </w:rPr>
              <w:t>米范围内无声环境保护目标，根据《建设项目环境影响报告表编制技术指南（污染影响类）》（试行），无需开展声环境质量现状调查。</w:t>
            </w:r>
          </w:p>
          <w:p>
            <w:pPr>
              <w:adjustRightInd w:val="0"/>
              <w:snapToGrid w:val="0"/>
              <w:spacing w:line="360" w:lineRule="auto"/>
              <w:ind w:firstLine="480"/>
              <w:rPr>
                <w:b/>
                <w:bCs/>
                <w:sz w:val="24"/>
                <w:highlight w:val="none"/>
              </w:rPr>
            </w:pPr>
            <w:r>
              <w:rPr>
                <w:rFonts w:hint="eastAsia"/>
                <w:b/>
                <w:bCs/>
                <w:sz w:val="24"/>
                <w:highlight w:val="none"/>
              </w:rPr>
              <w:t>4、生态环境现状</w:t>
            </w:r>
          </w:p>
          <w:p>
            <w:pPr>
              <w:pStyle w:val="34"/>
              <w:spacing w:after="0" w:line="360" w:lineRule="auto"/>
              <w:ind w:firstLine="480" w:firstLineChars="200"/>
              <w:rPr>
                <w:rFonts w:ascii="Times New Roman" w:hAnsi="Times New Roman"/>
                <w:sz w:val="24"/>
                <w:szCs w:val="24"/>
                <w:highlight w:val="none"/>
              </w:rPr>
            </w:pPr>
            <w:r>
              <w:rPr>
                <w:rFonts w:ascii="Times New Roman" w:hAnsi="Times New Roman"/>
                <w:sz w:val="24"/>
                <w:szCs w:val="24"/>
                <w:highlight w:val="none"/>
              </w:rPr>
              <w:t>项目建设区域人为活动较频繁，天然动植物种类少，现有的种类中多为人工种植或养殖，区域生态环境为城市人工生态环境。经现场调查，项目沿线区域500m内无重点保护的野生动植物。根据《江苏省生态空间管控区域规划》（苏政发〔2020〕1号），本项目不在其规定的重要生态功能保护区范围内</w:t>
            </w:r>
            <w:r>
              <w:rPr>
                <w:rFonts w:hint="eastAsia" w:ascii="Times New Roman" w:hAnsi="Times New Roman"/>
                <w:sz w:val="24"/>
                <w:szCs w:val="24"/>
                <w:highlight w:val="none"/>
              </w:rPr>
              <w:t>。</w:t>
            </w:r>
          </w:p>
          <w:p>
            <w:pPr>
              <w:pStyle w:val="34"/>
              <w:spacing w:after="0" w:line="360" w:lineRule="auto"/>
              <w:ind w:firstLine="482" w:firstLineChars="200"/>
              <w:rPr>
                <w:rFonts w:ascii="Times New Roman" w:hAnsi="Times New Roman"/>
                <w:b/>
                <w:bCs/>
                <w:sz w:val="24"/>
                <w:szCs w:val="24"/>
                <w:highlight w:val="none"/>
              </w:rPr>
            </w:pPr>
            <w:r>
              <w:rPr>
                <w:rFonts w:hint="eastAsia" w:ascii="Times New Roman" w:hAnsi="Times New Roman"/>
                <w:b/>
                <w:bCs/>
                <w:sz w:val="24"/>
                <w:szCs w:val="24"/>
                <w:highlight w:val="none"/>
              </w:rPr>
              <w:t>5、电磁辐射</w:t>
            </w:r>
          </w:p>
          <w:p>
            <w:pPr>
              <w:spacing w:line="360" w:lineRule="auto"/>
              <w:ind w:firstLine="480" w:firstLineChars="200"/>
              <w:rPr>
                <w:rFonts w:hint="eastAsia" w:ascii="Times New Roman" w:hAnsi="Times New Roman"/>
                <w:b/>
                <w:bCs/>
                <w:sz w:val="24"/>
                <w:szCs w:val="24"/>
                <w:highlight w:val="none"/>
              </w:rPr>
            </w:pPr>
            <w:r>
              <w:rPr>
                <w:sz w:val="24"/>
                <w:highlight w:val="none"/>
              </w:rPr>
              <w:t>项目不属于新建或改建、扩建广播电台、差转台、电视塔台、卫星地球上行站、雷达等电磁辐射类项目，无需对电磁辐射现状开展监测与评价。</w:t>
            </w:r>
          </w:p>
          <w:p>
            <w:pPr>
              <w:pStyle w:val="34"/>
              <w:spacing w:after="0" w:line="360" w:lineRule="auto"/>
              <w:ind w:firstLine="482" w:firstLineChars="200"/>
              <w:rPr>
                <w:rFonts w:hint="eastAsia" w:ascii="Times New Roman" w:hAnsi="Times New Roman"/>
                <w:b/>
                <w:bCs/>
                <w:sz w:val="24"/>
                <w:szCs w:val="24"/>
                <w:highlight w:val="none"/>
              </w:rPr>
            </w:pPr>
            <w:r>
              <w:rPr>
                <w:rFonts w:hint="eastAsia" w:ascii="Times New Roman" w:hAnsi="Times New Roman"/>
                <w:b/>
                <w:bCs/>
                <w:sz w:val="24"/>
                <w:szCs w:val="24"/>
                <w:highlight w:val="none"/>
              </w:rPr>
              <w:t>6、地下水、土壤</w:t>
            </w:r>
          </w:p>
          <w:p>
            <w:pPr>
              <w:adjustRightInd w:val="0"/>
              <w:snapToGrid w:val="0"/>
              <w:spacing w:line="360" w:lineRule="auto"/>
              <w:ind w:left="16" w:firstLine="480"/>
              <w:jc w:val="left"/>
              <w:rPr>
                <w:kern w:val="0"/>
                <w:sz w:val="24"/>
                <w:szCs w:val="21"/>
              </w:rPr>
            </w:pPr>
            <w:r>
              <w:rPr>
                <w:kern w:val="0"/>
                <w:sz w:val="24"/>
                <w:szCs w:val="21"/>
              </w:rPr>
              <w:t>（1）地下水环境</w:t>
            </w:r>
          </w:p>
          <w:p>
            <w:pPr>
              <w:adjustRightInd w:val="0"/>
              <w:snapToGrid w:val="0"/>
              <w:spacing w:line="360" w:lineRule="auto"/>
              <w:ind w:left="16" w:firstLine="480"/>
              <w:jc w:val="left"/>
              <w:rPr>
                <w:kern w:val="0"/>
                <w:sz w:val="24"/>
                <w:szCs w:val="21"/>
              </w:rPr>
            </w:pPr>
            <w:r>
              <w:rPr>
                <w:kern w:val="0"/>
                <w:sz w:val="24"/>
                <w:szCs w:val="21"/>
              </w:rPr>
              <w:t>本项目位于工业园区，利用现有厂房生产，原料暂存区域、危废暂存区域等涉及物料泄漏的区域均做好防腐防渗措施，正常工况下不存在地下水环境污染途径，本报告不开展地下水环境现状监测。</w:t>
            </w:r>
          </w:p>
          <w:p>
            <w:pPr>
              <w:adjustRightInd w:val="0"/>
              <w:snapToGrid w:val="0"/>
              <w:spacing w:line="360" w:lineRule="auto"/>
              <w:ind w:left="16" w:firstLine="480"/>
              <w:jc w:val="left"/>
              <w:rPr>
                <w:kern w:val="0"/>
                <w:sz w:val="24"/>
                <w:szCs w:val="21"/>
              </w:rPr>
            </w:pPr>
            <w:r>
              <w:rPr>
                <w:kern w:val="0"/>
                <w:sz w:val="24"/>
                <w:szCs w:val="21"/>
              </w:rPr>
              <w:t>（2）土壤环境</w:t>
            </w:r>
          </w:p>
          <w:p>
            <w:pPr>
              <w:spacing w:line="360" w:lineRule="auto"/>
              <w:ind w:firstLine="480" w:firstLineChars="200"/>
              <w:rPr>
                <w:rFonts w:ascii="宋体" w:hAnsi="宋体" w:cs="宋体"/>
                <w:kern w:val="0"/>
                <w:szCs w:val="21"/>
                <w:highlight w:val="none"/>
              </w:rPr>
            </w:pPr>
            <w:r>
              <w:rPr>
                <w:kern w:val="0"/>
                <w:sz w:val="24"/>
                <w:szCs w:val="21"/>
              </w:rPr>
              <w:t>土壤环境污染途径包括大气沉降、地面漫流、垂直入渗。本项目位于工业园区内，</w:t>
            </w:r>
            <w:r>
              <w:rPr>
                <w:rFonts w:hint="eastAsia"/>
                <w:kern w:val="0"/>
                <w:sz w:val="24"/>
                <w:szCs w:val="21"/>
                <w:lang w:eastAsia="zh-CN"/>
              </w:rPr>
              <w:t>危废仓库及</w:t>
            </w:r>
            <w:r>
              <w:rPr>
                <w:kern w:val="0"/>
                <w:sz w:val="24"/>
                <w:szCs w:val="21"/>
              </w:rPr>
              <w:t>生产区域均做好防腐防渗和</w:t>
            </w:r>
            <w:r>
              <w:rPr>
                <w:rFonts w:hint="eastAsia"/>
                <w:kern w:val="0"/>
                <w:sz w:val="24"/>
                <w:szCs w:val="21"/>
                <w:lang w:eastAsia="zh-CN"/>
              </w:rPr>
              <w:t>防</w:t>
            </w:r>
            <w:r>
              <w:rPr>
                <w:kern w:val="0"/>
                <w:sz w:val="24"/>
                <w:szCs w:val="21"/>
              </w:rPr>
              <w:t>泄漏措施，正常情况下不存在地面漫流的情况和垂直入渗的污染途径。本项目大气污染物</w:t>
            </w:r>
            <w:r>
              <w:rPr>
                <w:rFonts w:hint="eastAsia"/>
                <w:kern w:val="0"/>
                <w:sz w:val="24"/>
                <w:szCs w:val="21"/>
              </w:rPr>
              <w:t>主要</w:t>
            </w:r>
            <w:r>
              <w:rPr>
                <w:kern w:val="0"/>
                <w:sz w:val="24"/>
                <w:szCs w:val="21"/>
              </w:rPr>
              <w:t>为挥发性有机废气</w:t>
            </w:r>
            <w:r>
              <w:rPr>
                <w:rFonts w:hint="eastAsia"/>
                <w:kern w:val="0"/>
                <w:sz w:val="24"/>
                <w:szCs w:val="21"/>
              </w:rPr>
              <w:t>和颗粒物</w:t>
            </w:r>
            <w:r>
              <w:rPr>
                <w:kern w:val="0"/>
                <w:sz w:val="24"/>
                <w:szCs w:val="21"/>
              </w:rPr>
              <w:t>，挥发性有机废气为气态物质，大部分在大气环境中扩散和分解，</w:t>
            </w:r>
            <w:r>
              <w:rPr>
                <w:rFonts w:hint="eastAsia"/>
                <w:kern w:val="0"/>
                <w:sz w:val="24"/>
                <w:szCs w:val="21"/>
              </w:rPr>
              <w:t>颗粒物不属于</w:t>
            </w:r>
            <w:r>
              <w:rPr>
                <w:rFonts w:hint="eastAsia"/>
                <w:sz w:val="24"/>
                <w:szCs w:val="20"/>
              </w:rPr>
              <w:t>重金属、持久性难降解有机污染物，</w:t>
            </w:r>
            <w:r>
              <w:rPr>
                <w:kern w:val="0"/>
                <w:sz w:val="24"/>
                <w:szCs w:val="21"/>
              </w:rPr>
              <w:t>故本项目亦不存在大气沉降污染土壤环境的途径。因此本报告不开展土壤环境现状监测调查工作。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800" w:type="dxa"/>
            <w:vAlign w:val="center"/>
          </w:tcPr>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p>
          <w:p>
            <w:pPr>
              <w:adjustRightInd w:val="0"/>
              <w:snapToGrid w:val="0"/>
              <w:jc w:val="center"/>
              <w:rPr>
                <w:rFonts w:ascii="宋体" w:hAnsi="宋体" w:cs="宋体"/>
                <w:b/>
                <w:kern w:val="0"/>
                <w:sz w:val="24"/>
              </w:rPr>
            </w:pPr>
            <w:r>
              <w:rPr>
                <w:rFonts w:hint="eastAsia" w:ascii="宋体" w:hAnsi="宋体" w:cs="宋体"/>
                <w:b/>
                <w:kern w:val="0"/>
                <w:sz w:val="24"/>
              </w:rPr>
              <w:t>环境</w:t>
            </w:r>
          </w:p>
          <w:p>
            <w:pPr>
              <w:adjustRightInd w:val="0"/>
              <w:snapToGrid w:val="0"/>
              <w:jc w:val="center"/>
              <w:rPr>
                <w:rFonts w:ascii="宋体" w:hAnsi="宋体" w:cs="宋体"/>
                <w:b/>
                <w:kern w:val="0"/>
                <w:sz w:val="24"/>
              </w:rPr>
            </w:pPr>
            <w:r>
              <w:rPr>
                <w:rFonts w:hint="eastAsia" w:ascii="宋体" w:hAnsi="宋体" w:cs="宋体"/>
                <w:b/>
                <w:kern w:val="0"/>
                <w:sz w:val="24"/>
              </w:rPr>
              <w:t>保护</w:t>
            </w:r>
          </w:p>
          <w:p>
            <w:pPr>
              <w:adjustRightInd w:val="0"/>
              <w:snapToGrid w:val="0"/>
              <w:jc w:val="center"/>
              <w:rPr>
                <w:rFonts w:ascii="宋体" w:hAnsi="宋体" w:cs="宋体"/>
                <w:b/>
                <w:kern w:val="0"/>
                <w:sz w:val="24"/>
              </w:rPr>
            </w:pPr>
            <w:r>
              <w:rPr>
                <w:rFonts w:hint="eastAsia" w:ascii="宋体" w:hAnsi="宋体" w:cs="宋体"/>
                <w:b/>
                <w:kern w:val="0"/>
                <w:sz w:val="24"/>
              </w:rPr>
              <w:t>目标</w:t>
            </w:r>
          </w:p>
        </w:tc>
        <w:tc>
          <w:tcPr>
            <w:tcW w:w="8190" w:type="dxa"/>
            <w:vAlign w:val="center"/>
          </w:tcPr>
          <w:p>
            <w:pPr>
              <w:adjustRightInd w:val="0"/>
              <w:snapToGrid w:val="0"/>
              <w:spacing w:line="360" w:lineRule="auto"/>
              <w:ind w:firstLine="480" w:firstLineChars="200"/>
              <w:rPr>
                <w:sz w:val="24"/>
              </w:rPr>
            </w:pPr>
            <w:r>
              <w:rPr>
                <w:rFonts w:hint="eastAsia"/>
                <w:sz w:val="24"/>
              </w:rPr>
              <w:t>本</w:t>
            </w:r>
            <w:r>
              <w:rPr>
                <w:sz w:val="24"/>
              </w:rPr>
              <w:t>项目周边主要环境保护目标见表3-</w:t>
            </w:r>
            <w:r>
              <w:rPr>
                <w:rFonts w:hint="eastAsia"/>
                <w:sz w:val="24"/>
                <w:lang w:val="en-US" w:eastAsia="zh-CN"/>
              </w:rPr>
              <w:t>6</w:t>
            </w:r>
            <w:r>
              <w:rPr>
                <w:sz w:val="24"/>
              </w:rPr>
              <w:t>、表3-</w:t>
            </w:r>
            <w:r>
              <w:rPr>
                <w:rFonts w:hint="eastAsia"/>
                <w:sz w:val="24"/>
                <w:lang w:val="en-US" w:eastAsia="zh-CN"/>
              </w:rPr>
              <w:t>7</w:t>
            </w:r>
            <w:r>
              <w:rPr>
                <w:sz w:val="24"/>
              </w:rPr>
              <w:t>、表3-</w:t>
            </w:r>
            <w:r>
              <w:rPr>
                <w:rFonts w:hint="eastAsia"/>
                <w:sz w:val="24"/>
                <w:lang w:val="en-US" w:eastAsia="zh-CN"/>
              </w:rPr>
              <w:t>8</w:t>
            </w:r>
            <w:r>
              <w:rPr>
                <w:sz w:val="24"/>
              </w:rPr>
              <w:t>。</w:t>
            </w:r>
          </w:p>
          <w:p>
            <w:pPr>
              <w:keepNext/>
              <w:jc w:val="center"/>
              <w:rPr>
                <w:b/>
                <w:kern w:val="0"/>
                <w:sz w:val="24"/>
              </w:rPr>
            </w:pPr>
            <w:bookmarkStart w:id="4" w:name="_Ref435090838"/>
            <w:r>
              <w:rPr>
                <w:b/>
                <w:kern w:val="0"/>
                <w:sz w:val="24"/>
              </w:rPr>
              <w:t>表</w:t>
            </w:r>
            <w:bookmarkEnd w:id="4"/>
            <w:r>
              <w:rPr>
                <w:b/>
                <w:kern w:val="0"/>
                <w:sz w:val="24"/>
              </w:rPr>
              <w:t>3-</w:t>
            </w:r>
            <w:r>
              <w:rPr>
                <w:rFonts w:hint="eastAsia"/>
                <w:b/>
                <w:kern w:val="0"/>
                <w:sz w:val="24"/>
                <w:lang w:val="en-US" w:eastAsia="zh-CN"/>
              </w:rPr>
              <w:t>6</w:t>
            </w:r>
            <w:r>
              <w:rPr>
                <w:rFonts w:hint="eastAsia"/>
                <w:b/>
                <w:kern w:val="0"/>
                <w:sz w:val="24"/>
              </w:rPr>
              <w:t xml:space="preserve"> 本项项目场界外5</w:t>
            </w:r>
            <w:r>
              <w:rPr>
                <w:b/>
                <w:kern w:val="0"/>
                <w:sz w:val="24"/>
              </w:rPr>
              <w:t xml:space="preserve">00m </w:t>
            </w:r>
            <w:r>
              <w:rPr>
                <w:rFonts w:hint="eastAsia"/>
                <w:b/>
                <w:kern w:val="0"/>
                <w:sz w:val="24"/>
              </w:rPr>
              <w:t>范围内</w:t>
            </w:r>
            <w:r>
              <w:rPr>
                <w:b/>
                <w:kern w:val="0"/>
                <w:sz w:val="24"/>
              </w:rPr>
              <w:t>环境空气环境保护目标表</w:t>
            </w:r>
          </w:p>
          <w:tbl>
            <w:tblPr>
              <w:tblStyle w:val="36"/>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28" w:type="dxa"/>
                <w:bottom w:w="0" w:type="dxa"/>
                <w:right w:w="28" w:type="dxa"/>
              </w:tblCellMar>
            </w:tblPr>
            <w:tblGrid>
              <w:gridCol w:w="296"/>
              <w:gridCol w:w="1218"/>
              <w:gridCol w:w="1222"/>
              <w:gridCol w:w="1144"/>
              <w:gridCol w:w="615"/>
              <w:gridCol w:w="689"/>
              <w:gridCol w:w="1818"/>
              <w:gridCol w:w="553"/>
              <w:gridCol w:w="60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238" w:type="pct"/>
                  <w:vMerge w:val="restart"/>
                  <w:tcBorders>
                    <w:tl2br w:val="nil"/>
                    <w:tr2bl w:val="nil"/>
                  </w:tcBorders>
                  <w:vAlign w:val="center"/>
                </w:tcPr>
                <w:p>
                  <w:pPr>
                    <w:jc w:val="center"/>
                    <w:rPr>
                      <w:b/>
                      <w:szCs w:val="21"/>
                    </w:rPr>
                  </w:pPr>
                  <w:r>
                    <w:rPr>
                      <w:b/>
                      <w:szCs w:val="21"/>
                    </w:rPr>
                    <w:t>环境要素</w:t>
                  </w:r>
                </w:p>
              </w:tc>
              <w:tc>
                <w:tcPr>
                  <w:tcW w:w="1608" w:type="pct"/>
                  <w:gridSpan w:val="2"/>
                  <w:tcBorders>
                    <w:tl2br w:val="nil"/>
                    <w:tr2bl w:val="nil"/>
                  </w:tcBorders>
                  <w:vAlign w:val="center"/>
                </w:tcPr>
                <w:p>
                  <w:pPr>
                    <w:jc w:val="center"/>
                    <w:rPr>
                      <w:rFonts w:hint="default" w:eastAsia="宋体"/>
                      <w:b/>
                      <w:szCs w:val="21"/>
                      <w:lang w:val="en-US" w:eastAsia="zh-CN"/>
                    </w:rPr>
                  </w:pPr>
                  <w:r>
                    <w:rPr>
                      <w:rFonts w:hint="eastAsia"/>
                      <w:b/>
                      <w:szCs w:val="21"/>
                      <w:lang w:eastAsia="zh-CN"/>
                    </w:rPr>
                    <w:t>坐标</w:t>
                  </w:r>
                  <w:r>
                    <w:rPr>
                      <w:rFonts w:hint="eastAsia"/>
                      <w:b/>
                      <w:szCs w:val="21"/>
                      <w:lang w:val="en-US" w:eastAsia="zh-CN"/>
                    </w:rPr>
                    <w:t>/度</w:t>
                  </w:r>
                </w:p>
              </w:tc>
              <w:tc>
                <w:tcPr>
                  <w:tcW w:w="757" w:type="pct"/>
                  <w:vMerge w:val="restart"/>
                  <w:tcBorders>
                    <w:tl2br w:val="nil"/>
                    <w:tr2bl w:val="nil"/>
                  </w:tcBorders>
                  <w:vAlign w:val="center"/>
                </w:tcPr>
                <w:p>
                  <w:pPr>
                    <w:jc w:val="center"/>
                    <w:rPr>
                      <w:b/>
                      <w:szCs w:val="21"/>
                    </w:rPr>
                  </w:pPr>
                  <w:r>
                    <w:rPr>
                      <w:b/>
                      <w:szCs w:val="21"/>
                    </w:rPr>
                    <w:t>名称</w:t>
                  </w:r>
                </w:p>
              </w:tc>
              <w:tc>
                <w:tcPr>
                  <w:tcW w:w="433" w:type="pct"/>
                  <w:vMerge w:val="restart"/>
                  <w:tcBorders>
                    <w:tl2br w:val="nil"/>
                    <w:tr2bl w:val="nil"/>
                  </w:tcBorders>
                  <w:vAlign w:val="center"/>
                </w:tcPr>
                <w:p>
                  <w:pPr>
                    <w:jc w:val="center"/>
                    <w:rPr>
                      <w:b/>
                      <w:szCs w:val="21"/>
                    </w:rPr>
                  </w:pPr>
                  <w:r>
                    <w:rPr>
                      <w:b/>
                      <w:szCs w:val="21"/>
                    </w:rPr>
                    <w:t>保护</w:t>
                  </w:r>
                </w:p>
                <w:p>
                  <w:pPr>
                    <w:jc w:val="center"/>
                    <w:rPr>
                      <w:b/>
                      <w:szCs w:val="21"/>
                    </w:rPr>
                  </w:pPr>
                  <w:r>
                    <w:rPr>
                      <w:b/>
                      <w:szCs w:val="21"/>
                    </w:rPr>
                    <w:t>对象</w:t>
                  </w:r>
                </w:p>
              </w:tc>
              <w:tc>
                <w:tcPr>
                  <w:tcW w:w="378" w:type="pct"/>
                  <w:vMerge w:val="restart"/>
                  <w:tcBorders>
                    <w:tl2br w:val="nil"/>
                    <w:tr2bl w:val="nil"/>
                  </w:tcBorders>
                  <w:vAlign w:val="center"/>
                </w:tcPr>
                <w:p>
                  <w:pPr>
                    <w:jc w:val="center"/>
                    <w:rPr>
                      <w:b/>
                      <w:szCs w:val="21"/>
                    </w:rPr>
                  </w:pPr>
                  <w:r>
                    <w:rPr>
                      <w:b/>
                      <w:szCs w:val="21"/>
                    </w:rPr>
                    <w:t>保护内容</w:t>
                  </w:r>
                  <w:r>
                    <w:rPr>
                      <w:rFonts w:hint="eastAsia"/>
                      <w:b/>
                      <w:szCs w:val="21"/>
                    </w:rPr>
                    <w:t>（人）</w:t>
                  </w:r>
                </w:p>
              </w:tc>
              <w:tc>
                <w:tcPr>
                  <w:tcW w:w="763" w:type="pct"/>
                  <w:vMerge w:val="restart"/>
                  <w:tcBorders>
                    <w:tl2br w:val="nil"/>
                    <w:tr2bl w:val="nil"/>
                  </w:tcBorders>
                  <w:vAlign w:val="center"/>
                </w:tcPr>
                <w:p>
                  <w:pPr>
                    <w:jc w:val="center"/>
                    <w:rPr>
                      <w:b/>
                      <w:szCs w:val="21"/>
                    </w:rPr>
                  </w:pPr>
                  <w:r>
                    <w:rPr>
                      <w:b/>
                      <w:szCs w:val="21"/>
                    </w:rPr>
                    <w:t>环境</w:t>
                  </w:r>
                </w:p>
                <w:p>
                  <w:pPr>
                    <w:jc w:val="center"/>
                    <w:rPr>
                      <w:b/>
                      <w:szCs w:val="21"/>
                    </w:rPr>
                  </w:pPr>
                  <w:r>
                    <w:rPr>
                      <w:b/>
                      <w:szCs w:val="21"/>
                    </w:rPr>
                    <w:t>功能区</w:t>
                  </w:r>
                </w:p>
              </w:tc>
              <w:tc>
                <w:tcPr>
                  <w:tcW w:w="395" w:type="pct"/>
                  <w:vMerge w:val="restart"/>
                  <w:tcBorders>
                    <w:tl2br w:val="nil"/>
                    <w:tr2bl w:val="nil"/>
                  </w:tcBorders>
                  <w:vAlign w:val="center"/>
                </w:tcPr>
                <w:p>
                  <w:pPr>
                    <w:jc w:val="center"/>
                    <w:rPr>
                      <w:b/>
                      <w:szCs w:val="21"/>
                    </w:rPr>
                  </w:pPr>
                  <w:r>
                    <w:rPr>
                      <w:b/>
                      <w:szCs w:val="21"/>
                    </w:rPr>
                    <w:t>相对厂址方位</w:t>
                  </w:r>
                </w:p>
              </w:tc>
              <w:tc>
                <w:tcPr>
                  <w:tcW w:w="425" w:type="pct"/>
                  <w:vMerge w:val="restart"/>
                  <w:tcBorders>
                    <w:tl2br w:val="nil"/>
                    <w:tr2bl w:val="nil"/>
                  </w:tcBorders>
                  <w:vAlign w:val="center"/>
                </w:tcPr>
                <w:p>
                  <w:pPr>
                    <w:jc w:val="center"/>
                    <w:rPr>
                      <w:b/>
                      <w:szCs w:val="21"/>
                    </w:rPr>
                  </w:pPr>
                  <w:r>
                    <w:rPr>
                      <w:b/>
                      <w:szCs w:val="21"/>
                    </w:rPr>
                    <w:t>相对厂界距离/m</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238" w:type="pct"/>
                  <w:vMerge w:val="continue"/>
                  <w:tcBorders>
                    <w:tl2br w:val="nil"/>
                    <w:tr2bl w:val="nil"/>
                  </w:tcBorders>
                  <w:vAlign w:val="center"/>
                </w:tcPr>
                <w:p>
                  <w:pPr>
                    <w:jc w:val="center"/>
                    <w:rPr>
                      <w:b/>
                      <w:szCs w:val="21"/>
                    </w:rPr>
                  </w:pPr>
                </w:p>
              </w:tc>
              <w:tc>
                <w:tcPr>
                  <w:tcW w:w="803" w:type="pct"/>
                  <w:tcBorders>
                    <w:tl2br w:val="nil"/>
                    <w:tr2bl w:val="nil"/>
                  </w:tcBorders>
                  <w:vAlign w:val="center"/>
                </w:tcPr>
                <w:p>
                  <w:pPr>
                    <w:jc w:val="center"/>
                    <w:rPr>
                      <w:rFonts w:hint="eastAsia"/>
                      <w:lang w:val="en-US" w:eastAsia="zh-CN"/>
                    </w:rPr>
                  </w:pPr>
                  <w:r>
                    <w:rPr>
                      <w:rFonts w:hint="eastAsia"/>
                      <w:lang w:val="en-US" w:eastAsia="zh-CN"/>
                    </w:rPr>
                    <w:t>X</w:t>
                  </w:r>
                </w:p>
                <w:p>
                  <w:pPr>
                    <w:pStyle w:val="2"/>
                    <w:ind w:firstLine="361" w:firstLineChars="200"/>
                    <w:rPr>
                      <w:rFonts w:hint="default"/>
                      <w:lang w:val="en-US" w:eastAsia="zh-CN"/>
                    </w:rPr>
                  </w:pPr>
                  <w:r>
                    <w:rPr>
                      <w:rFonts w:hint="eastAsia"/>
                      <w:b/>
                      <w:color w:val="auto"/>
                      <w:szCs w:val="21"/>
                      <w:lang w:val="en-US" w:eastAsia="zh-CN"/>
                    </w:rPr>
                    <w:t>(经度）</w:t>
                  </w:r>
                </w:p>
              </w:tc>
              <w:tc>
                <w:tcPr>
                  <w:tcW w:w="804" w:type="pct"/>
                  <w:tcBorders>
                    <w:tl2br w:val="nil"/>
                    <w:tr2bl w:val="nil"/>
                  </w:tcBorders>
                  <w:vAlign w:val="center"/>
                </w:tcPr>
                <w:p>
                  <w:pPr>
                    <w:jc w:val="center"/>
                    <w:rPr>
                      <w:rFonts w:hint="eastAsia"/>
                      <w:lang w:val="en-US" w:eastAsia="zh-CN"/>
                    </w:rPr>
                  </w:pPr>
                  <w:r>
                    <w:rPr>
                      <w:rFonts w:hint="eastAsia"/>
                      <w:lang w:val="en-US" w:eastAsia="zh-CN"/>
                    </w:rPr>
                    <w:t>Y</w:t>
                  </w:r>
                </w:p>
                <w:p>
                  <w:pPr>
                    <w:pStyle w:val="2"/>
                    <w:jc w:val="center"/>
                    <w:rPr>
                      <w:rFonts w:hint="default"/>
                      <w:lang w:val="en-US" w:eastAsia="zh-CN"/>
                    </w:rPr>
                  </w:pPr>
                  <w:r>
                    <w:rPr>
                      <w:rFonts w:hint="eastAsia"/>
                      <w:b/>
                      <w:color w:val="auto"/>
                      <w:szCs w:val="21"/>
                      <w:lang w:val="en-US" w:eastAsia="zh-CN"/>
                    </w:rPr>
                    <w:t>（纬度）</w:t>
                  </w:r>
                </w:p>
              </w:tc>
              <w:tc>
                <w:tcPr>
                  <w:tcW w:w="757" w:type="pct"/>
                  <w:vMerge w:val="continue"/>
                  <w:tcBorders>
                    <w:tl2br w:val="nil"/>
                    <w:tr2bl w:val="nil"/>
                  </w:tcBorders>
                  <w:vAlign w:val="center"/>
                </w:tcPr>
                <w:p>
                  <w:pPr>
                    <w:jc w:val="center"/>
                    <w:rPr>
                      <w:b/>
                      <w:color w:val="auto"/>
                      <w:szCs w:val="21"/>
                    </w:rPr>
                  </w:pPr>
                </w:p>
              </w:tc>
              <w:tc>
                <w:tcPr>
                  <w:tcW w:w="433" w:type="pct"/>
                  <w:vMerge w:val="continue"/>
                  <w:tcBorders>
                    <w:tl2br w:val="nil"/>
                    <w:tr2bl w:val="nil"/>
                  </w:tcBorders>
                  <w:vAlign w:val="center"/>
                </w:tcPr>
                <w:p>
                  <w:pPr>
                    <w:jc w:val="center"/>
                    <w:rPr>
                      <w:b/>
                      <w:color w:val="auto"/>
                      <w:szCs w:val="21"/>
                    </w:rPr>
                  </w:pPr>
                </w:p>
              </w:tc>
              <w:tc>
                <w:tcPr>
                  <w:tcW w:w="378" w:type="pct"/>
                  <w:vMerge w:val="continue"/>
                  <w:tcBorders>
                    <w:tl2br w:val="nil"/>
                    <w:tr2bl w:val="nil"/>
                  </w:tcBorders>
                  <w:vAlign w:val="center"/>
                </w:tcPr>
                <w:p>
                  <w:pPr>
                    <w:jc w:val="center"/>
                    <w:rPr>
                      <w:b/>
                      <w:color w:val="auto"/>
                      <w:szCs w:val="21"/>
                    </w:rPr>
                  </w:pPr>
                </w:p>
              </w:tc>
              <w:tc>
                <w:tcPr>
                  <w:tcW w:w="763" w:type="pct"/>
                  <w:vMerge w:val="continue"/>
                  <w:tcBorders>
                    <w:tl2br w:val="nil"/>
                    <w:tr2bl w:val="nil"/>
                  </w:tcBorders>
                  <w:vAlign w:val="center"/>
                </w:tcPr>
                <w:p>
                  <w:pPr>
                    <w:jc w:val="center"/>
                    <w:rPr>
                      <w:b/>
                      <w:color w:val="auto"/>
                      <w:szCs w:val="21"/>
                    </w:rPr>
                  </w:pPr>
                </w:p>
              </w:tc>
              <w:tc>
                <w:tcPr>
                  <w:tcW w:w="395" w:type="pct"/>
                  <w:vMerge w:val="continue"/>
                  <w:tcBorders>
                    <w:tl2br w:val="nil"/>
                    <w:tr2bl w:val="nil"/>
                  </w:tcBorders>
                  <w:vAlign w:val="center"/>
                </w:tcPr>
                <w:p>
                  <w:pPr>
                    <w:jc w:val="center"/>
                    <w:rPr>
                      <w:b/>
                      <w:color w:val="auto"/>
                      <w:szCs w:val="21"/>
                    </w:rPr>
                  </w:pPr>
                </w:p>
              </w:tc>
              <w:tc>
                <w:tcPr>
                  <w:tcW w:w="425" w:type="pct"/>
                  <w:vMerge w:val="continue"/>
                  <w:tcBorders>
                    <w:tl2br w:val="nil"/>
                    <w:tr2bl w:val="nil"/>
                  </w:tcBorders>
                  <w:vAlign w:val="center"/>
                </w:tcPr>
                <w:p>
                  <w:pPr>
                    <w:jc w:val="center"/>
                    <w:rPr>
                      <w:b/>
                      <w:color w:val="auto"/>
                      <w:szCs w:val="21"/>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238" w:type="pct"/>
                  <w:tcBorders>
                    <w:tl2br w:val="nil"/>
                    <w:tr2bl w:val="nil"/>
                  </w:tcBorders>
                  <w:vAlign w:val="center"/>
                </w:tcPr>
                <w:p>
                  <w:pPr>
                    <w:jc w:val="center"/>
                    <w:rPr>
                      <w:szCs w:val="21"/>
                    </w:rPr>
                  </w:pPr>
                  <w:r>
                    <w:rPr>
                      <w:szCs w:val="21"/>
                    </w:rPr>
                    <w:t>空气环境</w:t>
                  </w:r>
                </w:p>
              </w:tc>
              <w:tc>
                <w:tcPr>
                  <w:tcW w:w="803" w:type="pct"/>
                  <w:tcBorders>
                    <w:tl2br w:val="nil"/>
                    <w:tr2bl w:val="nil"/>
                  </w:tcBorders>
                  <w:vAlign w:val="center"/>
                </w:tcPr>
                <w:p>
                  <w:pPr>
                    <w:adjustRightInd w:val="0"/>
                    <w:snapToGrid w:val="0"/>
                    <w:jc w:val="center"/>
                    <w:rPr>
                      <w:rFonts w:hint="default"/>
                      <w:color w:val="auto"/>
                      <w:szCs w:val="21"/>
                      <w:lang w:val="en-US" w:eastAsia="zh-CN"/>
                    </w:rPr>
                  </w:pPr>
                  <w:r>
                    <w:rPr>
                      <w:rFonts w:hint="eastAsia"/>
                      <w:color w:val="auto"/>
                      <w:szCs w:val="21"/>
                      <w:lang w:val="en-US" w:eastAsia="zh-CN"/>
                    </w:rPr>
                    <w:t>119.747711</w:t>
                  </w:r>
                </w:p>
              </w:tc>
              <w:tc>
                <w:tcPr>
                  <w:tcW w:w="804" w:type="pct"/>
                  <w:tcBorders>
                    <w:tl2br w:val="nil"/>
                    <w:tr2bl w:val="nil"/>
                  </w:tcBorders>
                  <w:vAlign w:val="center"/>
                </w:tcPr>
                <w:p>
                  <w:pPr>
                    <w:adjustRightInd w:val="0"/>
                    <w:snapToGrid w:val="0"/>
                    <w:jc w:val="center"/>
                    <w:rPr>
                      <w:rFonts w:hint="default"/>
                      <w:color w:val="auto"/>
                      <w:szCs w:val="21"/>
                      <w:lang w:val="en-US" w:eastAsia="zh-CN"/>
                    </w:rPr>
                  </w:pPr>
                  <w:r>
                    <w:rPr>
                      <w:rFonts w:hint="eastAsia"/>
                      <w:color w:val="auto"/>
                      <w:szCs w:val="21"/>
                      <w:lang w:val="en-US" w:eastAsia="zh-CN"/>
                    </w:rPr>
                    <w:t>31.436945</w:t>
                  </w:r>
                </w:p>
              </w:tc>
              <w:tc>
                <w:tcPr>
                  <w:tcW w:w="757" w:type="pct"/>
                  <w:tcBorders>
                    <w:tl2br w:val="nil"/>
                    <w:tr2bl w:val="nil"/>
                  </w:tcBorders>
                  <w:vAlign w:val="center"/>
                </w:tcPr>
                <w:p>
                  <w:pPr>
                    <w:adjustRightInd w:val="0"/>
                    <w:snapToGrid w:val="0"/>
                    <w:jc w:val="center"/>
                    <w:rPr>
                      <w:rFonts w:hint="eastAsia"/>
                      <w:color w:val="auto"/>
                      <w:szCs w:val="21"/>
                      <w:lang w:eastAsia="zh-CN"/>
                    </w:rPr>
                  </w:pPr>
                  <w:r>
                    <w:rPr>
                      <w:rFonts w:hint="eastAsia"/>
                      <w:color w:val="auto"/>
                      <w:szCs w:val="21"/>
                      <w:lang w:eastAsia="zh-CN"/>
                    </w:rPr>
                    <w:t>农场小区</w:t>
                  </w:r>
                </w:p>
              </w:tc>
              <w:tc>
                <w:tcPr>
                  <w:tcW w:w="433" w:type="pct"/>
                  <w:tcBorders>
                    <w:tl2br w:val="nil"/>
                    <w:tr2bl w:val="nil"/>
                  </w:tcBorders>
                  <w:vAlign w:val="center"/>
                </w:tcPr>
                <w:p>
                  <w:pPr>
                    <w:adjustRightInd w:val="0"/>
                    <w:snapToGrid w:val="0"/>
                    <w:jc w:val="center"/>
                    <w:rPr>
                      <w:rFonts w:hint="eastAsia"/>
                      <w:color w:val="auto"/>
                      <w:szCs w:val="21"/>
                      <w:lang w:eastAsia="zh-CN"/>
                    </w:rPr>
                  </w:pPr>
                  <w:r>
                    <w:rPr>
                      <w:rFonts w:hint="eastAsia"/>
                      <w:color w:val="auto"/>
                      <w:szCs w:val="21"/>
                      <w:lang w:eastAsia="zh-CN"/>
                    </w:rPr>
                    <w:t>居民</w:t>
                  </w:r>
                </w:p>
              </w:tc>
              <w:tc>
                <w:tcPr>
                  <w:tcW w:w="378" w:type="pct"/>
                  <w:tcBorders>
                    <w:tl2br w:val="nil"/>
                    <w:tr2bl w:val="nil"/>
                  </w:tcBorders>
                  <w:vAlign w:val="center"/>
                </w:tcPr>
                <w:p>
                  <w:pPr>
                    <w:adjustRightInd w:val="0"/>
                    <w:snapToGrid w:val="0"/>
                    <w:jc w:val="center"/>
                    <w:rPr>
                      <w:rFonts w:hint="default"/>
                      <w:color w:val="auto"/>
                      <w:szCs w:val="21"/>
                      <w:lang w:val="en-US" w:eastAsia="zh-CN"/>
                    </w:rPr>
                  </w:pPr>
                  <w:r>
                    <w:rPr>
                      <w:rFonts w:hint="eastAsia"/>
                      <w:color w:val="auto"/>
                      <w:szCs w:val="21"/>
                      <w:lang w:val="en-US" w:eastAsia="zh-CN"/>
                    </w:rPr>
                    <w:t>300</w:t>
                  </w:r>
                </w:p>
              </w:tc>
              <w:tc>
                <w:tcPr>
                  <w:tcW w:w="763" w:type="pct"/>
                  <w:tcBorders>
                    <w:tl2br w:val="nil"/>
                    <w:tr2bl w:val="nil"/>
                  </w:tcBorders>
                  <w:vAlign w:val="center"/>
                </w:tcPr>
                <w:p>
                  <w:pPr>
                    <w:adjustRightInd w:val="0"/>
                    <w:snapToGrid w:val="0"/>
                    <w:jc w:val="center"/>
                    <w:rPr>
                      <w:rFonts w:hint="eastAsia"/>
                      <w:color w:val="auto"/>
                      <w:szCs w:val="21"/>
                      <w:lang w:eastAsia="zh-CN"/>
                    </w:rPr>
                  </w:pPr>
                  <w:r>
                    <w:rPr>
                      <w:rFonts w:hint="eastAsia"/>
                      <w:color w:val="auto"/>
                      <w:szCs w:val="21"/>
                      <w:lang w:eastAsia="zh-CN"/>
                    </w:rPr>
                    <w:t>（GB3095–2012）二级标准</w:t>
                  </w:r>
                </w:p>
              </w:tc>
              <w:tc>
                <w:tcPr>
                  <w:tcW w:w="395" w:type="pct"/>
                  <w:tcBorders>
                    <w:tl2br w:val="nil"/>
                    <w:tr2bl w:val="nil"/>
                  </w:tcBorders>
                  <w:vAlign w:val="center"/>
                </w:tcPr>
                <w:p>
                  <w:pPr>
                    <w:adjustRightInd w:val="0"/>
                    <w:snapToGrid w:val="0"/>
                    <w:jc w:val="center"/>
                    <w:rPr>
                      <w:rFonts w:hint="eastAsia"/>
                      <w:color w:val="auto"/>
                      <w:szCs w:val="21"/>
                      <w:lang w:eastAsia="zh-CN"/>
                    </w:rPr>
                  </w:pPr>
                  <w:r>
                    <w:rPr>
                      <w:rFonts w:hint="eastAsia"/>
                      <w:color w:val="auto"/>
                      <w:szCs w:val="21"/>
                      <w:lang w:eastAsia="zh-CN"/>
                    </w:rPr>
                    <w:t>西北侧</w:t>
                  </w:r>
                </w:p>
              </w:tc>
              <w:tc>
                <w:tcPr>
                  <w:tcW w:w="425" w:type="pct"/>
                  <w:tcBorders>
                    <w:tl2br w:val="nil"/>
                    <w:tr2bl w:val="nil"/>
                  </w:tcBorders>
                  <w:vAlign w:val="center"/>
                </w:tcPr>
                <w:p>
                  <w:pPr>
                    <w:adjustRightInd w:val="0"/>
                    <w:snapToGrid w:val="0"/>
                    <w:jc w:val="center"/>
                    <w:rPr>
                      <w:rFonts w:hint="default"/>
                      <w:color w:val="auto"/>
                      <w:szCs w:val="21"/>
                      <w:lang w:val="en-US" w:eastAsia="zh-CN"/>
                    </w:rPr>
                  </w:pPr>
                  <w:r>
                    <w:rPr>
                      <w:rFonts w:hint="eastAsia"/>
                      <w:color w:val="auto"/>
                      <w:szCs w:val="21"/>
                      <w:lang w:val="en-US" w:eastAsia="zh-CN"/>
                    </w:rPr>
                    <w:t>106</w:t>
                  </w:r>
                </w:p>
              </w:tc>
            </w:tr>
          </w:tbl>
          <w:p>
            <w:pPr>
              <w:keepNext/>
              <w:jc w:val="center"/>
              <w:rPr>
                <w:rFonts w:hint="eastAsia"/>
                <w:b/>
                <w:kern w:val="0"/>
                <w:sz w:val="24"/>
              </w:rPr>
            </w:pPr>
            <w:r>
              <w:rPr>
                <w:b/>
                <w:kern w:val="0"/>
                <w:sz w:val="24"/>
              </w:rPr>
              <w:t>表3-</w:t>
            </w:r>
            <w:r>
              <w:rPr>
                <w:rFonts w:hint="eastAsia"/>
                <w:b/>
                <w:kern w:val="0"/>
                <w:sz w:val="24"/>
                <w:lang w:val="en-US" w:eastAsia="zh-CN"/>
              </w:rPr>
              <w:t>7</w:t>
            </w:r>
            <w:r>
              <w:rPr>
                <w:rFonts w:hint="eastAsia"/>
                <w:b/>
                <w:kern w:val="0"/>
                <w:sz w:val="24"/>
              </w:rPr>
              <w:t xml:space="preserve"> 主要环境保护目标一览表</w:t>
            </w:r>
          </w:p>
          <w:tbl>
            <w:tblPr>
              <w:tblStyle w:val="3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020"/>
              <w:gridCol w:w="574"/>
              <w:gridCol w:w="987"/>
              <w:gridCol w:w="1929"/>
              <w:gridCol w:w="29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noWrap w:val="0"/>
                  <w:tcMar>
                    <w:left w:w="0" w:type="dxa"/>
                    <w:right w:w="0" w:type="dxa"/>
                  </w:tcMar>
                  <w:vAlign w:val="center"/>
                </w:tcPr>
                <w:p>
                  <w:pPr>
                    <w:adjustRightInd w:val="0"/>
                    <w:snapToGrid w:val="0"/>
                    <w:jc w:val="center"/>
                    <w:rPr>
                      <w:rFonts w:ascii="宋体" w:hAnsi="宋体" w:eastAsia="宋体"/>
                      <w:b/>
                      <w:bCs/>
                      <w:szCs w:val="21"/>
                    </w:rPr>
                  </w:pPr>
                  <w:r>
                    <w:rPr>
                      <w:rFonts w:ascii="宋体" w:hAnsi="宋体" w:eastAsia="宋体"/>
                      <w:b/>
                      <w:bCs/>
                      <w:szCs w:val="21"/>
                    </w:rPr>
                    <w:t>保护项目</w:t>
                  </w:r>
                </w:p>
              </w:tc>
              <w:tc>
                <w:tcPr>
                  <w:tcW w:w="0" w:type="auto"/>
                  <w:noWrap w:val="0"/>
                  <w:tcMar>
                    <w:left w:w="0" w:type="dxa"/>
                    <w:right w:w="0" w:type="dxa"/>
                  </w:tcMar>
                  <w:vAlign w:val="center"/>
                </w:tcPr>
                <w:p>
                  <w:pPr>
                    <w:adjustRightInd w:val="0"/>
                    <w:snapToGrid w:val="0"/>
                    <w:jc w:val="center"/>
                    <w:rPr>
                      <w:rFonts w:hint="eastAsia" w:ascii="宋体" w:hAnsi="宋体" w:eastAsia="宋体"/>
                      <w:b/>
                      <w:bCs/>
                      <w:szCs w:val="21"/>
                      <w:lang w:eastAsia="zh-CN"/>
                    </w:rPr>
                  </w:pPr>
                  <w:r>
                    <w:rPr>
                      <w:rFonts w:hint="eastAsia" w:ascii="宋体" w:hAnsi="宋体" w:eastAsia="宋体"/>
                      <w:b/>
                      <w:bCs/>
                      <w:szCs w:val="21"/>
                      <w:lang w:eastAsia="zh-CN"/>
                    </w:rPr>
                    <w:t>环境保护对象名称</w:t>
                  </w:r>
                </w:p>
              </w:tc>
              <w:tc>
                <w:tcPr>
                  <w:tcW w:w="0" w:type="auto"/>
                  <w:noWrap w:val="0"/>
                  <w:vAlign w:val="center"/>
                </w:tcPr>
                <w:p>
                  <w:pPr>
                    <w:adjustRightInd w:val="0"/>
                    <w:snapToGrid w:val="0"/>
                    <w:jc w:val="center"/>
                    <w:rPr>
                      <w:rFonts w:ascii="宋体" w:hAnsi="宋体" w:eastAsia="宋体"/>
                      <w:b/>
                      <w:bCs/>
                      <w:szCs w:val="21"/>
                    </w:rPr>
                  </w:pPr>
                  <w:r>
                    <w:rPr>
                      <w:rFonts w:ascii="宋体" w:hAnsi="宋体" w:eastAsia="宋体"/>
                      <w:b/>
                      <w:bCs/>
                      <w:szCs w:val="21"/>
                    </w:rPr>
                    <w:t>方位</w:t>
                  </w:r>
                </w:p>
              </w:tc>
              <w:tc>
                <w:tcPr>
                  <w:tcW w:w="0" w:type="auto"/>
                  <w:noWrap w:val="0"/>
                  <w:vAlign w:val="center"/>
                </w:tcPr>
                <w:p>
                  <w:pPr>
                    <w:adjustRightInd w:val="0"/>
                    <w:snapToGrid w:val="0"/>
                    <w:jc w:val="center"/>
                    <w:rPr>
                      <w:rFonts w:ascii="宋体" w:hAnsi="宋体" w:eastAsia="宋体"/>
                      <w:b/>
                      <w:bCs/>
                      <w:szCs w:val="21"/>
                    </w:rPr>
                  </w:pPr>
                  <w:r>
                    <w:rPr>
                      <w:rFonts w:ascii="宋体" w:hAnsi="宋体" w:eastAsia="宋体"/>
                      <w:b/>
                      <w:bCs/>
                      <w:szCs w:val="21"/>
                    </w:rPr>
                    <w:t>距离（</w:t>
                  </w:r>
                  <w:r>
                    <w:rPr>
                      <w:rFonts w:ascii="Times New Roman" w:hAnsi="Times New Roman" w:eastAsia="宋体"/>
                      <w:b/>
                      <w:bCs/>
                      <w:szCs w:val="21"/>
                    </w:rPr>
                    <w:t>m</w:t>
                  </w:r>
                  <w:r>
                    <w:rPr>
                      <w:rFonts w:ascii="宋体" w:hAnsi="宋体" w:eastAsia="宋体"/>
                      <w:b/>
                      <w:bCs/>
                      <w:szCs w:val="21"/>
                    </w:rPr>
                    <w:t>）</w:t>
                  </w:r>
                </w:p>
              </w:tc>
              <w:tc>
                <w:tcPr>
                  <w:tcW w:w="0" w:type="auto"/>
                  <w:noWrap w:val="0"/>
                  <w:vAlign w:val="center"/>
                </w:tcPr>
                <w:p>
                  <w:pPr>
                    <w:adjustRightInd w:val="0"/>
                    <w:snapToGrid w:val="0"/>
                    <w:jc w:val="center"/>
                    <w:rPr>
                      <w:rFonts w:ascii="宋体" w:hAnsi="宋体" w:eastAsia="宋体"/>
                      <w:b/>
                      <w:bCs/>
                      <w:szCs w:val="21"/>
                    </w:rPr>
                  </w:pPr>
                  <w:r>
                    <w:rPr>
                      <w:rFonts w:ascii="宋体" w:hAnsi="宋体" w:eastAsia="宋体"/>
                      <w:b/>
                      <w:bCs/>
                      <w:szCs w:val="21"/>
                    </w:rPr>
                    <w:t>规模</w:t>
                  </w:r>
                </w:p>
              </w:tc>
              <w:tc>
                <w:tcPr>
                  <w:tcW w:w="0" w:type="auto"/>
                  <w:noWrap w:val="0"/>
                  <w:vAlign w:val="center"/>
                </w:tcPr>
                <w:p>
                  <w:pPr>
                    <w:adjustRightInd w:val="0"/>
                    <w:snapToGrid w:val="0"/>
                    <w:jc w:val="center"/>
                    <w:rPr>
                      <w:rFonts w:hint="eastAsia" w:ascii="宋体" w:hAnsi="宋体" w:eastAsia="宋体"/>
                      <w:b/>
                      <w:bCs/>
                      <w:szCs w:val="21"/>
                      <w:lang w:eastAsia="zh-CN"/>
                    </w:rPr>
                  </w:pPr>
                  <w:r>
                    <w:rPr>
                      <w:rFonts w:hint="eastAsia" w:ascii="宋体" w:hAnsi="宋体" w:eastAsia="宋体"/>
                      <w:b/>
                      <w:bCs/>
                      <w:szCs w:val="21"/>
                      <w:lang w:eastAsia="zh-CN"/>
                    </w:rPr>
                    <w:t>环境功能区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0" w:type="auto"/>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声环境</w:t>
                  </w:r>
                </w:p>
              </w:tc>
              <w:tc>
                <w:tcPr>
                  <w:tcW w:w="0" w:type="auto"/>
                  <w:noWrap w:val="0"/>
                  <w:tcMar>
                    <w:left w:w="0" w:type="dxa"/>
                    <w:right w:w="0" w:type="dxa"/>
                  </w:tcMar>
                  <w:vAlign w:val="center"/>
                </w:tcPr>
                <w:p>
                  <w:pPr>
                    <w:adjustRightInd w:val="0"/>
                    <w:snapToGrid w:val="0"/>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农场小区</w:t>
                  </w:r>
                </w:p>
              </w:tc>
              <w:tc>
                <w:tcPr>
                  <w:tcW w:w="0" w:type="auto"/>
                  <w:noWrap w:val="0"/>
                  <w:vAlign w:val="center"/>
                </w:tcPr>
                <w:p>
                  <w:pPr>
                    <w:adjustRightInd w:val="0"/>
                    <w:snapToGrid w:val="0"/>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西北侧</w:t>
                  </w:r>
                </w:p>
              </w:tc>
              <w:tc>
                <w:tcPr>
                  <w:tcW w:w="0" w:type="auto"/>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106</w:t>
                  </w:r>
                </w:p>
              </w:tc>
              <w:tc>
                <w:tcPr>
                  <w:tcW w:w="0" w:type="auto"/>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75户/300人</w:t>
                  </w:r>
                </w:p>
              </w:tc>
              <w:tc>
                <w:tcPr>
                  <w:tcW w:w="0" w:type="auto"/>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满足《声环境质量标准》（GB3096-2008）</w:t>
                  </w: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生态保护</w:t>
                  </w:r>
                </w:p>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目标</w:t>
                  </w:r>
                </w:p>
              </w:tc>
              <w:tc>
                <w:tcPr>
                  <w:tcW w:w="0" w:type="auto"/>
                  <w:noWrap w:val="0"/>
                  <w:tcMar>
                    <w:left w:w="0" w:type="dxa"/>
                    <w:right w:w="0" w:type="dxa"/>
                  </w:tcMar>
                  <w:vAlign w:val="center"/>
                </w:tcPr>
                <w:p>
                  <w:pPr>
                    <w:adjustRightInd w:val="0"/>
                    <w:snapToGrid w:val="0"/>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三氿</w:t>
                  </w:r>
                  <w:r>
                    <w:rPr>
                      <w:rFonts w:hint="default" w:ascii="Times New Roman" w:hAnsi="Times New Roman" w:eastAsia="宋体" w:cs="Times New Roman"/>
                      <w:szCs w:val="21"/>
                    </w:rPr>
                    <w:t>重要湿地</w:t>
                  </w:r>
                  <w:r>
                    <w:rPr>
                      <w:rFonts w:hint="default" w:ascii="Times New Roman" w:hAnsi="Times New Roman" w:eastAsia="宋体" w:cs="Times New Roman"/>
                      <w:szCs w:val="21"/>
                      <w:lang w:eastAsia="zh-CN"/>
                    </w:rPr>
                    <w:t>（西氿）</w:t>
                  </w:r>
                </w:p>
              </w:tc>
              <w:tc>
                <w:tcPr>
                  <w:tcW w:w="0" w:type="auto"/>
                  <w:noWrap w:val="0"/>
                  <w:vAlign w:val="center"/>
                </w:tcPr>
                <w:p>
                  <w:pPr>
                    <w:adjustRightInd w:val="0"/>
                    <w:snapToGrid w:val="0"/>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南侧</w:t>
                  </w:r>
                </w:p>
              </w:tc>
              <w:tc>
                <w:tcPr>
                  <w:tcW w:w="0" w:type="auto"/>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4.45km</w:t>
                  </w:r>
                </w:p>
              </w:tc>
              <w:tc>
                <w:tcPr>
                  <w:tcW w:w="0" w:type="auto"/>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eastAsia="zh-CN"/>
                    </w:rPr>
                    <w:t>三氿生态空间管控区域范围</w:t>
                  </w:r>
                  <w:r>
                    <w:rPr>
                      <w:rFonts w:hint="default" w:ascii="Times New Roman" w:hAnsi="Times New Roman" w:eastAsia="宋体" w:cs="Times New Roman"/>
                      <w:szCs w:val="21"/>
                      <w:lang w:val="en-US" w:eastAsia="zh-CN"/>
                    </w:rPr>
                    <w:t>24.29km</w:t>
                  </w:r>
                  <w:r>
                    <w:rPr>
                      <w:rFonts w:hint="default" w:ascii="Times New Roman" w:hAnsi="Times New Roman" w:eastAsia="宋体" w:cs="Times New Roman"/>
                      <w:szCs w:val="21"/>
                      <w:vertAlign w:val="superscript"/>
                      <w:lang w:val="en-US" w:eastAsia="zh-CN"/>
                    </w:rPr>
                    <w:t>2</w:t>
                  </w:r>
                </w:p>
              </w:tc>
              <w:tc>
                <w:tcPr>
                  <w:tcW w:w="0" w:type="auto"/>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《江苏省生态红线区域保护规划》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val="0"/>
                  <w:vAlign w:val="center"/>
                </w:tcPr>
                <w:p>
                  <w:pPr>
                    <w:adjustRightInd w:val="0"/>
                    <w:snapToGrid w:val="0"/>
                    <w:jc w:val="center"/>
                    <w:rPr>
                      <w:rFonts w:hint="eastAsia" w:ascii="宋体" w:hAnsi="宋体" w:eastAsia="宋体"/>
                      <w:szCs w:val="21"/>
                    </w:rPr>
                  </w:pPr>
                  <w:r>
                    <w:rPr>
                      <w:rFonts w:hint="eastAsia" w:ascii="宋体" w:hAnsi="宋体" w:eastAsia="宋体"/>
                      <w:szCs w:val="21"/>
                    </w:rPr>
                    <w:t>地下水环境</w:t>
                  </w:r>
                </w:p>
              </w:tc>
              <w:tc>
                <w:tcPr>
                  <w:tcW w:w="0" w:type="auto"/>
                  <w:gridSpan w:val="5"/>
                  <w:noWrap w:val="0"/>
                  <w:tcMar>
                    <w:left w:w="0" w:type="dxa"/>
                    <w:right w:w="0" w:type="dxa"/>
                  </w:tcMar>
                  <w:vAlign w:val="center"/>
                </w:tcPr>
                <w:p>
                  <w:pPr>
                    <w:adjustRightInd w:val="0"/>
                    <w:snapToGrid w:val="0"/>
                    <w:jc w:val="center"/>
                    <w:rPr>
                      <w:rStyle w:val="39"/>
                      <w:rFonts w:ascii="宋体" w:hAnsi="宋体" w:eastAsia="宋体"/>
                      <w:b w:val="0"/>
                      <w:sz w:val="21"/>
                      <w:szCs w:val="21"/>
                    </w:rPr>
                  </w:pPr>
                  <w:r>
                    <w:rPr>
                      <w:rStyle w:val="39"/>
                      <w:rFonts w:ascii="宋体" w:hAnsi="宋体" w:eastAsia="宋体"/>
                      <w:b w:val="0"/>
                      <w:sz w:val="21"/>
                      <w:szCs w:val="21"/>
                    </w:rPr>
                    <w:t>建设项目周围无地下水环境敏感目标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0" w:type="auto"/>
                  <w:noWrap w:val="0"/>
                  <w:vAlign w:val="center"/>
                </w:tcPr>
                <w:p>
                  <w:pPr>
                    <w:adjustRightInd w:val="0"/>
                    <w:snapToGrid w:val="0"/>
                    <w:jc w:val="center"/>
                    <w:rPr>
                      <w:rFonts w:hint="eastAsia" w:ascii="宋体" w:hAnsi="宋体" w:eastAsia="宋体"/>
                      <w:szCs w:val="21"/>
                    </w:rPr>
                  </w:pPr>
                  <w:r>
                    <w:rPr>
                      <w:rFonts w:hint="eastAsia" w:ascii="宋体" w:hAnsi="宋体" w:eastAsia="宋体"/>
                      <w:szCs w:val="21"/>
                    </w:rPr>
                    <w:t>土壤环境</w:t>
                  </w:r>
                </w:p>
              </w:tc>
              <w:tc>
                <w:tcPr>
                  <w:tcW w:w="0" w:type="auto"/>
                  <w:gridSpan w:val="5"/>
                  <w:noWrap w:val="0"/>
                  <w:tcMar>
                    <w:left w:w="0" w:type="dxa"/>
                    <w:right w:w="0" w:type="dxa"/>
                  </w:tcMar>
                  <w:vAlign w:val="center"/>
                </w:tcPr>
                <w:p>
                  <w:pPr>
                    <w:adjustRightInd w:val="0"/>
                    <w:snapToGrid w:val="0"/>
                    <w:jc w:val="center"/>
                    <w:rPr>
                      <w:rStyle w:val="39"/>
                      <w:rFonts w:ascii="宋体" w:hAnsi="宋体" w:eastAsia="宋体"/>
                      <w:b w:val="0"/>
                      <w:sz w:val="21"/>
                      <w:szCs w:val="21"/>
                    </w:rPr>
                  </w:pPr>
                  <w:r>
                    <w:rPr>
                      <w:rStyle w:val="39"/>
                      <w:rFonts w:ascii="宋体" w:hAnsi="宋体" w:eastAsia="宋体"/>
                      <w:b w:val="0"/>
                      <w:sz w:val="21"/>
                      <w:szCs w:val="21"/>
                    </w:rPr>
                    <w:t>建设项目周围无土壤环境敏感目标</w:t>
                  </w:r>
                </w:p>
              </w:tc>
            </w:tr>
          </w:tbl>
          <w:p>
            <w:pPr>
              <w:keepNext/>
              <w:jc w:val="center"/>
              <w:rPr>
                <w:b/>
                <w:kern w:val="0"/>
                <w:sz w:val="24"/>
              </w:rPr>
            </w:pPr>
            <w:r>
              <w:rPr>
                <w:b/>
                <w:kern w:val="0"/>
                <w:sz w:val="24"/>
              </w:rPr>
              <w:t>表3-</w:t>
            </w:r>
            <w:r>
              <w:rPr>
                <w:rFonts w:hint="eastAsia"/>
                <w:b/>
                <w:kern w:val="0"/>
                <w:sz w:val="24"/>
                <w:lang w:val="en-US" w:eastAsia="zh-CN"/>
              </w:rPr>
              <w:t>8</w:t>
            </w:r>
            <w:r>
              <w:rPr>
                <w:rFonts w:hint="eastAsia"/>
                <w:b/>
                <w:kern w:val="0"/>
                <w:sz w:val="24"/>
              </w:rPr>
              <w:t>水环境保护目标</w:t>
            </w:r>
          </w:p>
          <w:tbl>
            <w:tblPr>
              <w:tblStyle w:val="3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734"/>
              <w:gridCol w:w="1334"/>
              <w:gridCol w:w="919"/>
              <w:gridCol w:w="1316"/>
              <w:gridCol w:w="1355"/>
              <w:gridCol w:w="24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450" w:type="pct"/>
                  <w:tcBorders>
                    <w:tl2br w:val="nil"/>
                    <w:tr2bl w:val="nil"/>
                  </w:tcBorders>
                  <w:vAlign w:val="center"/>
                </w:tcPr>
                <w:p>
                  <w:pPr>
                    <w:tabs>
                      <w:tab w:val="left" w:pos="1800"/>
                    </w:tabs>
                    <w:adjustRightInd w:val="0"/>
                    <w:snapToGrid w:val="0"/>
                    <w:jc w:val="center"/>
                    <w:rPr>
                      <w:b/>
                      <w:szCs w:val="21"/>
                    </w:rPr>
                  </w:pPr>
                  <w:r>
                    <w:rPr>
                      <w:b/>
                      <w:szCs w:val="21"/>
                    </w:rPr>
                    <w:t>环境</w:t>
                  </w:r>
                </w:p>
                <w:p>
                  <w:pPr>
                    <w:tabs>
                      <w:tab w:val="left" w:pos="1800"/>
                    </w:tabs>
                    <w:adjustRightInd w:val="0"/>
                    <w:snapToGrid w:val="0"/>
                    <w:jc w:val="center"/>
                    <w:rPr>
                      <w:b/>
                      <w:szCs w:val="21"/>
                    </w:rPr>
                  </w:pPr>
                  <w:r>
                    <w:rPr>
                      <w:b/>
                      <w:szCs w:val="21"/>
                    </w:rPr>
                    <w:t>要素</w:t>
                  </w:r>
                </w:p>
              </w:tc>
              <w:tc>
                <w:tcPr>
                  <w:tcW w:w="817" w:type="pct"/>
                  <w:tcBorders>
                    <w:tl2br w:val="nil"/>
                    <w:tr2bl w:val="nil"/>
                  </w:tcBorders>
                  <w:vAlign w:val="center"/>
                </w:tcPr>
                <w:p>
                  <w:pPr>
                    <w:tabs>
                      <w:tab w:val="left" w:pos="1800"/>
                    </w:tabs>
                    <w:adjustRightInd w:val="0"/>
                    <w:snapToGrid w:val="0"/>
                    <w:jc w:val="center"/>
                    <w:rPr>
                      <w:b/>
                      <w:szCs w:val="21"/>
                    </w:rPr>
                  </w:pPr>
                  <w:r>
                    <w:rPr>
                      <w:b/>
                      <w:szCs w:val="21"/>
                    </w:rPr>
                    <w:t>环境保护对象名称</w:t>
                  </w:r>
                </w:p>
              </w:tc>
              <w:tc>
                <w:tcPr>
                  <w:tcW w:w="563" w:type="pct"/>
                  <w:tcBorders>
                    <w:tl2br w:val="nil"/>
                    <w:tr2bl w:val="nil"/>
                  </w:tcBorders>
                  <w:vAlign w:val="center"/>
                </w:tcPr>
                <w:p>
                  <w:pPr>
                    <w:tabs>
                      <w:tab w:val="left" w:pos="1800"/>
                    </w:tabs>
                    <w:adjustRightInd w:val="0"/>
                    <w:snapToGrid w:val="0"/>
                    <w:jc w:val="center"/>
                    <w:rPr>
                      <w:b/>
                      <w:szCs w:val="21"/>
                    </w:rPr>
                  </w:pPr>
                  <w:r>
                    <w:rPr>
                      <w:b/>
                      <w:szCs w:val="21"/>
                    </w:rPr>
                    <w:t>方位</w:t>
                  </w:r>
                </w:p>
              </w:tc>
              <w:tc>
                <w:tcPr>
                  <w:tcW w:w="806" w:type="pct"/>
                  <w:tcBorders>
                    <w:tl2br w:val="nil"/>
                    <w:tr2bl w:val="nil"/>
                  </w:tcBorders>
                  <w:vAlign w:val="center"/>
                </w:tcPr>
                <w:p>
                  <w:pPr>
                    <w:tabs>
                      <w:tab w:val="left" w:pos="1800"/>
                    </w:tabs>
                    <w:adjustRightInd w:val="0"/>
                    <w:snapToGrid w:val="0"/>
                    <w:jc w:val="center"/>
                    <w:rPr>
                      <w:b/>
                      <w:szCs w:val="21"/>
                    </w:rPr>
                  </w:pPr>
                  <w:r>
                    <w:rPr>
                      <w:b/>
                      <w:szCs w:val="21"/>
                    </w:rPr>
                    <w:t>距离（m）</w:t>
                  </w:r>
                </w:p>
              </w:tc>
              <w:tc>
                <w:tcPr>
                  <w:tcW w:w="830" w:type="pct"/>
                  <w:tcBorders>
                    <w:tl2br w:val="nil"/>
                    <w:tr2bl w:val="nil"/>
                  </w:tcBorders>
                  <w:vAlign w:val="center"/>
                </w:tcPr>
                <w:p>
                  <w:pPr>
                    <w:tabs>
                      <w:tab w:val="left" w:pos="1800"/>
                    </w:tabs>
                    <w:adjustRightInd w:val="0"/>
                    <w:snapToGrid w:val="0"/>
                    <w:jc w:val="center"/>
                    <w:rPr>
                      <w:b/>
                      <w:szCs w:val="21"/>
                    </w:rPr>
                  </w:pPr>
                  <w:r>
                    <w:rPr>
                      <w:b/>
                      <w:szCs w:val="21"/>
                    </w:rPr>
                    <w:t>规模</w:t>
                  </w:r>
                </w:p>
              </w:tc>
              <w:tc>
                <w:tcPr>
                  <w:tcW w:w="1531" w:type="pct"/>
                  <w:tcBorders>
                    <w:tl2br w:val="nil"/>
                    <w:tr2bl w:val="nil"/>
                  </w:tcBorders>
                  <w:vAlign w:val="center"/>
                </w:tcPr>
                <w:p>
                  <w:pPr>
                    <w:tabs>
                      <w:tab w:val="left" w:pos="1800"/>
                    </w:tabs>
                    <w:adjustRightInd w:val="0"/>
                    <w:snapToGrid w:val="0"/>
                    <w:jc w:val="center"/>
                    <w:rPr>
                      <w:b/>
                      <w:szCs w:val="21"/>
                    </w:rPr>
                  </w:pPr>
                  <w:r>
                    <w:rPr>
                      <w:b/>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31" w:hRule="atLeast"/>
                <w:jc w:val="center"/>
              </w:trPr>
              <w:tc>
                <w:tcPr>
                  <w:tcW w:w="450" w:type="pct"/>
                  <w:vMerge w:val="restart"/>
                  <w:tcBorders>
                    <w:tl2br w:val="nil"/>
                    <w:tr2bl w:val="nil"/>
                  </w:tcBorders>
                  <w:vAlign w:val="center"/>
                </w:tcPr>
                <w:p>
                  <w:pPr>
                    <w:adjustRightInd w:val="0"/>
                    <w:snapToGrid w:val="0"/>
                    <w:jc w:val="center"/>
                    <w:rPr>
                      <w:bCs/>
                      <w:szCs w:val="21"/>
                    </w:rPr>
                  </w:pPr>
                  <w:r>
                    <w:rPr>
                      <w:rFonts w:hint="eastAsia"/>
                      <w:bCs/>
                      <w:szCs w:val="21"/>
                      <w:lang w:eastAsia="zh-CN"/>
                    </w:rPr>
                    <w:t>水</w:t>
                  </w:r>
                  <w:r>
                    <w:rPr>
                      <w:bCs/>
                      <w:szCs w:val="21"/>
                    </w:rPr>
                    <w:t>环境</w:t>
                  </w:r>
                </w:p>
              </w:tc>
              <w:tc>
                <w:tcPr>
                  <w:tcW w:w="817" w:type="pct"/>
                  <w:tcBorders>
                    <w:tl2br w:val="nil"/>
                    <w:tr2bl w:val="nil"/>
                  </w:tcBorders>
                  <w:vAlign w:val="center"/>
                </w:tcPr>
                <w:p>
                  <w:pPr>
                    <w:adjustRightInd w:val="0"/>
                    <w:snapToGrid w:val="0"/>
                    <w:jc w:val="center"/>
                    <w:rPr>
                      <w:rFonts w:hint="eastAsia" w:eastAsia="宋体"/>
                      <w:bCs/>
                      <w:szCs w:val="21"/>
                      <w:lang w:eastAsia="zh-CN"/>
                    </w:rPr>
                  </w:pPr>
                  <w:r>
                    <w:rPr>
                      <w:rFonts w:hint="eastAsia"/>
                      <w:bCs/>
                      <w:szCs w:val="21"/>
                      <w:lang w:eastAsia="zh-CN"/>
                    </w:rPr>
                    <w:t>洋埝河</w:t>
                  </w:r>
                </w:p>
              </w:tc>
              <w:tc>
                <w:tcPr>
                  <w:tcW w:w="563" w:type="pct"/>
                  <w:tcBorders>
                    <w:tl2br w:val="nil"/>
                    <w:tr2bl w:val="nil"/>
                  </w:tcBorders>
                  <w:vAlign w:val="center"/>
                </w:tcPr>
                <w:p>
                  <w:pPr>
                    <w:jc w:val="center"/>
                    <w:rPr>
                      <w:rFonts w:hint="eastAsia" w:eastAsia="宋体"/>
                      <w:bCs/>
                      <w:szCs w:val="21"/>
                      <w:lang w:eastAsia="zh-CN"/>
                    </w:rPr>
                  </w:pPr>
                  <w:r>
                    <w:rPr>
                      <w:rFonts w:hint="eastAsia"/>
                      <w:szCs w:val="21"/>
                      <w:lang w:eastAsia="zh-CN"/>
                    </w:rPr>
                    <w:t>东侧</w:t>
                  </w:r>
                </w:p>
              </w:tc>
              <w:tc>
                <w:tcPr>
                  <w:tcW w:w="806" w:type="pct"/>
                  <w:tcBorders>
                    <w:tl2br w:val="nil"/>
                    <w:tr2bl w:val="nil"/>
                  </w:tcBorders>
                  <w:vAlign w:val="center"/>
                </w:tcPr>
                <w:p>
                  <w:pPr>
                    <w:jc w:val="center"/>
                    <w:rPr>
                      <w:rFonts w:hint="default" w:eastAsia="宋体"/>
                      <w:bCs/>
                      <w:szCs w:val="21"/>
                      <w:lang w:val="en-US" w:eastAsia="zh-CN"/>
                    </w:rPr>
                  </w:pPr>
                  <w:r>
                    <w:rPr>
                      <w:rFonts w:hint="eastAsia"/>
                      <w:szCs w:val="21"/>
                      <w:lang w:val="en-US" w:eastAsia="zh-CN"/>
                    </w:rPr>
                    <w:t>300</w:t>
                  </w:r>
                </w:p>
              </w:tc>
              <w:tc>
                <w:tcPr>
                  <w:tcW w:w="830" w:type="pct"/>
                  <w:tcBorders>
                    <w:tl2br w:val="nil"/>
                    <w:tr2bl w:val="nil"/>
                  </w:tcBorders>
                  <w:vAlign w:val="center"/>
                </w:tcPr>
                <w:p>
                  <w:pPr>
                    <w:jc w:val="center"/>
                    <w:rPr>
                      <w:rFonts w:hint="eastAsia" w:eastAsia="宋体"/>
                      <w:bCs/>
                      <w:szCs w:val="21"/>
                      <w:lang w:eastAsia="zh-CN"/>
                    </w:rPr>
                  </w:pPr>
                  <w:r>
                    <w:rPr>
                      <w:rFonts w:hint="eastAsia"/>
                      <w:szCs w:val="21"/>
                      <w:lang w:eastAsia="zh-CN"/>
                    </w:rPr>
                    <w:t>小河</w:t>
                  </w:r>
                </w:p>
              </w:tc>
              <w:tc>
                <w:tcPr>
                  <w:tcW w:w="1531" w:type="pct"/>
                  <w:vMerge w:val="restart"/>
                  <w:tcBorders>
                    <w:tl2br w:val="nil"/>
                    <w:tr2bl w:val="nil"/>
                  </w:tcBorders>
                  <w:vAlign w:val="center"/>
                </w:tcPr>
                <w:p>
                  <w:pPr>
                    <w:tabs>
                      <w:tab w:val="left" w:pos="1800"/>
                    </w:tabs>
                    <w:jc w:val="center"/>
                    <w:rPr>
                      <w:szCs w:val="21"/>
                    </w:rPr>
                  </w:pPr>
                  <w:r>
                    <w:rPr>
                      <w:rFonts w:hint="eastAsia"/>
                      <w:szCs w:val="21"/>
                      <w:lang w:eastAsia="zh-CN"/>
                    </w:rPr>
                    <w:t>《地表水环境质量标准》（GB3838-2002）中Ⅲ类标准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450" w:type="pct"/>
                  <w:vMerge w:val="continue"/>
                  <w:tcBorders>
                    <w:tl2br w:val="nil"/>
                    <w:tr2bl w:val="nil"/>
                  </w:tcBorders>
                  <w:vAlign w:val="center"/>
                </w:tcPr>
                <w:p>
                  <w:pPr>
                    <w:jc w:val="center"/>
                    <w:rPr>
                      <w:szCs w:val="21"/>
                    </w:rPr>
                  </w:pPr>
                </w:p>
              </w:tc>
              <w:tc>
                <w:tcPr>
                  <w:tcW w:w="817" w:type="pct"/>
                  <w:tcBorders>
                    <w:tl2br w:val="nil"/>
                    <w:tr2bl w:val="nil"/>
                  </w:tcBorders>
                  <w:vAlign w:val="center"/>
                </w:tcPr>
                <w:p>
                  <w:pPr>
                    <w:jc w:val="center"/>
                    <w:rPr>
                      <w:rFonts w:hint="eastAsia" w:eastAsia="宋体"/>
                      <w:szCs w:val="21"/>
                      <w:lang w:eastAsia="zh-CN"/>
                    </w:rPr>
                  </w:pPr>
                  <w:r>
                    <w:rPr>
                      <w:rFonts w:hint="eastAsia"/>
                      <w:szCs w:val="21"/>
                      <w:lang w:eastAsia="zh-CN"/>
                    </w:rPr>
                    <w:t>云爱河</w:t>
                  </w:r>
                </w:p>
              </w:tc>
              <w:tc>
                <w:tcPr>
                  <w:tcW w:w="563" w:type="pct"/>
                  <w:tcBorders>
                    <w:tl2br w:val="nil"/>
                    <w:tr2bl w:val="nil"/>
                  </w:tcBorders>
                  <w:vAlign w:val="center"/>
                </w:tcPr>
                <w:p>
                  <w:pPr>
                    <w:jc w:val="center"/>
                    <w:rPr>
                      <w:rFonts w:hint="eastAsia" w:eastAsia="宋体"/>
                      <w:szCs w:val="21"/>
                      <w:lang w:eastAsia="zh-CN"/>
                    </w:rPr>
                  </w:pPr>
                  <w:r>
                    <w:rPr>
                      <w:rFonts w:hint="eastAsia"/>
                      <w:szCs w:val="21"/>
                      <w:lang w:eastAsia="zh-CN"/>
                    </w:rPr>
                    <w:t>南侧</w:t>
                  </w:r>
                </w:p>
              </w:tc>
              <w:tc>
                <w:tcPr>
                  <w:tcW w:w="806"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410</w:t>
                  </w:r>
                </w:p>
              </w:tc>
              <w:tc>
                <w:tcPr>
                  <w:tcW w:w="830" w:type="pct"/>
                  <w:tcBorders>
                    <w:tl2br w:val="nil"/>
                    <w:tr2bl w:val="nil"/>
                  </w:tcBorders>
                  <w:vAlign w:val="center"/>
                </w:tcPr>
                <w:p>
                  <w:pPr>
                    <w:numPr>
                      <w:ilvl w:val="12"/>
                      <w:numId w:val="0"/>
                    </w:numPr>
                    <w:jc w:val="center"/>
                    <w:rPr>
                      <w:szCs w:val="21"/>
                    </w:rPr>
                  </w:pPr>
                  <w:r>
                    <w:rPr>
                      <w:rFonts w:hint="eastAsia"/>
                      <w:szCs w:val="21"/>
                      <w:lang w:eastAsia="zh-CN"/>
                    </w:rPr>
                    <w:t>小河</w:t>
                  </w:r>
                </w:p>
              </w:tc>
              <w:tc>
                <w:tcPr>
                  <w:tcW w:w="1531" w:type="pct"/>
                  <w:vMerge w:val="continue"/>
                  <w:tcBorders>
                    <w:tl2br w:val="nil"/>
                    <w:tr2bl w:val="nil"/>
                  </w:tcBorders>
                  <w:vAlign w:val="center"/>
                </w:tcPr>
                <w:p>
                  <w:pPr>
                    <w:tabs>
                      <w:tab w:val="left" w:pos="1800"/>
                    </w:tabs>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jc w:val="center"/>
              </w:trPr>
              <w:tc>
                <w:tcPr>
                  <w:tcW w:w="450" w:type="pct"/>
                  <w:vMerge w:val="continue"/>
                  <w:tcBorders>
                    <w:tl2br w:val="nil"/>
                    <w:tr2bl w:val="nil"/>
                  </w:tcBorders>
                  <w:vAlign w:val="center"/>
                </w:tcPr>
                <w:p>
                  <w:pPr>
                    <w:jc w:val="center"/>
                    <w:rPr>
                      <w:szCs w:val="21"/>
                    </w:rPr>
                  </w:pPr>
                </w:p>
              </w:tc>
              <w:tc>
                <w:tcPr>
                  <w:tcW w:w="817" w:type="pct"/>
                  <w:tcBorders>
                    <w:tl2br w:val="nil"/>
                    <w:tr2bl w:val="nil"/>
                  </w:tcBorders>
                  <w:vAlign w:val="center"/>
                </w:tcPr>
                <w:p>
                  <w:pPr>
                    <w:jc w:val="center"/>
                    <w:rPr>
                      <w:rFonts w:hint="eastAsia" w:eastAsia="宋体"/>
                      <w:szCs w:val="21"/>
                      <w:lang w:eastAsia="zh-CN"/>
                    </w:rPr>
                  </w:pPr>
                  <w:r>
                    <w:rPr>
                      <w:rFonts w:hint="eastAsia"/>
                      <w:szCs w:val="21"/>
                      <w:lang w:eastAsia="zh-CN"/>
                    </w:rPr>
                    <w:t>范道河</w:t>
                  </w:r>
                </w:p>
              </w:tc>
              <w:tc>
                <w:tcPr>
                  <w:tcW w:w="563" w:type="pct"/>
                  <w:tcBorders>
                    <w:tl2br w:val="nil"/>
                    <w:tr2bl w:val="nil"/>
                  </w:tcBorders>
                  <w:vAlign w:val="center"/>
                </w:tcPr>
                <w:p>
                  <w:pPr>
                    <w:jc w:val="center"/>
                    <w:rPr>
                      <w:rFonts w:hint="eastAsia" w:eastAsia="宋体"/>
                      <w:szCs w:val="21"/>
                      <w:lang w:eastAsia="zh-CN"/>
                    </w:rPr>
                  </w:pPr>
                  <w:r>
                    <w:rPr>
                      <w:rFonts w:hint="eastAsia"/>
                      <w:szCs w:val="21"/>
                      <w:lang w:eastAsia="zh-CN"/>
                    </w:rPr>
                    <w:t>西侧</w:t>
                  </w:r>
                </w:p>
              </w:tc>
              <w:tc>
                <w:tcPr>
                  <w:tcW w:w="806" w:type="pct"/>
                  <w:tcBorders>
                    <w:tl2br w:val="nil"/>
                    <w:tr2bl w:val="nil"/>
                  </w:tcBorders>
                  <w:vAlign w:val="center"/>
                </w:tcPr>
                <w:p>
                  <w:pPr>
                    <w:jc w:val="center"/>
                    <w:rPr>
                      <w:rFonts w:hint="default" w:eastAsia="宋体"/>
                      <w:szCs w:val="21"/>
                      <w:lang w:val="en-US" w:eastAsia="zh-CN"/>
                    </w:rPr>
                  </w:pPr>
                  <w:r>
                    <w:rPr>
                      <w:rFonts w:hint="eastAsia"/>
                      <w:szCs w:val="21"/>
                      <w:lang w:val="en-US" w:eastAsia="zh-CN"/>
                    </w:rPr>
                    <w:t>220</w:t>
                  </w:r>
                </w:p>
              </w:tc>
              <w:tc>
                <w:tcPr>
                  <w:tcW w:w="830" w:type="pct"/>
                  <w:tcBorders>
                    <w:tl2br w:val="nil"/>
                    <w:tr2bl w:val="nil"/>
                  </w:tcBorders>
                  <w:vAlign w:val="center"/>
                </w:tcPr>
                <w:p>
                  <w:pPr>
                    <w:numPr>
                      <w:ilvl w:val="12"/>
                      <w:numId w:val="0"/>
                    </w:numPr>
                    <w:jc w:val="center"/>
                    <w:rPr>
                      <w:szCs w:val="21"/>
                    </w:rPr>
                  </w:pPr>
                  <w:r>
                    <w:rPr>
                      <w:rFonts w:hint="eastAsia"/>
                      <w:szCs w:val="21"/>
                      <w:lang w:eastAsia="zh-CN"/>
                    </w:rPr>
                    <w:t>小河</w:t>
                  </w:r>
                </w:p>
              </w:tc>
              <w:tc>
                <w:tcPr>
                  <w:tcW w:w="1531" w:type="pct"/>
                  <w:vMerge w:val="continue"/>
                  <w:tcBorders>
                    <w:tl2br w:val="nil"/>
                    <w:tr2bl w:val="nil"/>
                  </w:tcBorders>
                  <w:vAlign w:val="center"/>
                </w:tcPr>
                <w:p>
                  <w:pPr>
                    <w:tabs>
                      <w:tab w:val="left" w:pos="1800"/>
                    </w:tabs>
                    <w:jc w:val="center"/>
                    <w:rPr>
                      <w:szCs w:val="21"/>
                    </w:rPr>
                  </w:pPr>
                </w:p>
              </w:tc>
            </w:tr>
          </w:tbl>
          <w:p>
            <w:pPr>
              <w:keepNext/>
              <w:jc w:val="left"/>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Mar>
              <w:left w:w="28" w:type="dxa"/>
              <w:right w:w="28" w:type="dxa"/>
            </w:tcMar>
            <w:vAlign w:val="center"/>
          </w:tcPr>
          <w:p>
            <w:pPr>
              <w:adjustRightInd w:val="0"/>
              <w:snapToGrid w:val="0"/>
              <w:jc w:val="center"/>
              <w:rPr>
                <w:rFonts w:ascii="宋体" w:hAnsi="宋体" w:cs="宋体"/>
                <w:b/>
                <w:kern w:val="0"/>
                <w:sz w:val="24"/>
              </w:rPr>
            </w:pPr>
            <w:r>
              <w:rPr>
                <w:rFonts w:hint="eastAsia" w:ascii="宋体" w:hAnsi="宋体" w:cs="宋体"/>
                <w:b/>
                <w:kern w:val="0"/>
                <w:sz w:val="24"/>
              </w:rPr>
              <w:t>污染</w:t>
            </w:r>
          </w:p>
          <w:p>
            <w:pPr>
              <w:adjustRightInd w:val="0"/>
              <w:snapToGrid w:val="0"/>
              <w:jc w:val="center"/>
              <w:rPr>
                <w:rFonts w:ascii="宋体" w:hAnsi="宋体" w:cs="宋体"/>
                <w:b/>
                <w:kern w:val="0"/>
                <w:sz w:val="24"/>
              </w:rPr>
            </w:pPr>
            <w:r>
              <w:rPr>
                <w:rFonts w:hint="eastAsia" w:ascii="宋体" w:hAnsi="宋体" w:cs="宋体"/>
                <w:b/>
                <w:kern w:val="0"/>
                <w:sz w:val="24"/>
              </w:rPr>
              <w:t>物排</w:t>
            </w:r>
          </w:p>
          <w:p>
            <w:pPr>
              <w:adjustRightInd w:val="0"/>
              <w:snapToGrid w:val="0"/>
              <w:jc w:val="center"/>
              <w:rPr>
                <w:rFonts w:ascii="宋体" w:hAnsi="宋体" w:cs="宋体"/>
                <w:b/>
                <w:kern w:val="0"/>
                <w:sz w:val="24"/>
              </w:rPr>
            </w:pPr>
            <w:r>
              <w:rPr>
                <w:rFonts w:hint="eastAsia" w:ascii="宋体" w:hAnsi="宋体" w:cs="宋体"/>
                <w:b/>
                <w:kern w:val="0"/>
                <w:sz w:val="24"/>
              </w:rPr>
              <w:t>放控</w:t>
            </w:r>
          </w:p>
          <w:p>
            <w:pPr>
              <w:adjustRightInd w:val="0"/>
              <w:snapToGrid w:val="0"/>
              <w:jc w:val="center"/>
              <w:rPr>
                <w:rFonts w:ascii="宋体" w:hAnsi="宋体" w:cs="宋体"/>
                <w:b/>
                <w:kern w:val="0"/>
                <w:sz w:val="24"/>
              </w:rPr>
            </w:pPr>
            <w:r>
              <w:rPr>
                <w:rFonts w:hint="eastAsia" w:ascii="宋体" w:hAnsi="宋体" w:cs="宋体"/>
                <w:b/>
                <w:kern w:val="0"/>
                <w:sz w:val="24"/>
              </w:rPr>
              <w:t>制标</w:t>
            </w:r>
          </w:p>
          <w:p>
            <w:pPr>
              <w:adjustRightInd w:val="0"/>
              <w:snapToGrid w:val="0"/>
              <w:jc w:val="center"/>
              <w:rPr>
                <w:rFonts w:ascii="宋体" w:hAnsi="宋体" w:cs="宋体"/>
                <w:b/>
                <w:kern w:val="0"/>
                <w:sz w:val="24"/>
              </w:rPr>
            </w:pPr>
            <w:r>
              <w:rPr>
                <w:rFonts w:hint="eastAsia" w:ascii="宋体" w:hAnsi="宋体" w:cs="宋体"/>
                <w:b/>
                <w:kern w:val="0"/>
                <w:sz w:val="24"/>
              </w:rPr>
              <w:t>准</w:t>
            </w:r>
          </w:p>
        </w:tc>
        <w:tc>
          <w:tcPr>
            <w:tcW w:w="8190" w:type="dxa"/>
            <w:vAlign w:val="center"/>
          </w:tcPr>
          <w:p>
            <w:pPr>
              <w:adjustRightInd w:val="0"/>
              <w:snapToGrid w:val="0"/>
              <w:spacing w:line="360" w:lineRule="auto"/>
              <w:ind w:firstLine="480" w:firstLineChars="200"/>
              <w:rPr>
                <w:bCs/>
                <w:snapToGrid w:val="0"/>
                <w:kern w:val="0"/>
                <w:sz w:val="24"/>
              </w:rPr>
            </w:pPr>
            <w:r>
              <w:rPr>
                <w:rFonts w:hint="eastAsia"/>
                <w:bCs/>
                <w:snapToGrid w:val="0"/>
                <w:kern w:val="0"/>
                <w:sz w:val="24"/>
              </w:rPr>
              <w:t>（1）废水</w:t>
            </w:r>
          </w:p>
          <w:p>
            <w:pPr>
              <w:pStyle w:val="160"/>
              <w:spacing w:line="360" w:lineRule="auto"/>
              <w:ind w:firstLine="480" w:firstLineChars="200"/>
              <w:rPr>
                <w:bCs/>
                <w:sz w:val="24"/>
                <w:szCs w:val="24"/>
              </w:rPr>
            </w:pPr>
            <w:r>
              <w:rPr>
                <w:bCs/>
                <w:sz w:val="24"/>
                <w:szCs w:val="24"/>
              </w:rPr>
              <w:t>本项目无</w:t>
            </w:r>
            <w:r>
              <w:rPr>
                <w:rFonts w:hint="eastAsia"/>
                <w:bCs/>
                <w:sz w:val="24"/>
                <w:szCs w:val="24"/>
                <w:lang w:eastAsia="zh-CN"/>
              </w:rPr>
              <w:t>生产</w:t>
            </w:r>
            <w:r>
              <w:rPr>
                <w:bCs/>
                <w:sz w:val="24"/>
                <w:szCs w:val="24"/>
              </w:rPr>
              <w:t>废水</w:t>
            </w:r>
            <w:r>
              <w:rPr>
                <w:rFonts w:hint="eastAsia"/>
                <w:bCs/>
                <w:sz w:val="24"/>
                <w:szCs w:val="24"/>
                <w:lang w:eastAsia="zh-CN"/>
              </w:rPr>
              <w:t>排放</w:t>
            </w:r>
            <w:r>
              <w:rPr>
                <w:bCs/>
                <w:sz w:val="24"/>
                <w:szCs w:val="24"/>
              </w:rPr>
              <w:t>；</w:t>
            </w:r>
            <w:r>
              <w:rPr>
                <w:rFonts w:hint="eastAsia"/>
                <w:bCs/>
                <w:sz w:val="24"/>
                <w:szCs w:val="24"/>
                <w:lang w:eastAsia="zh-CN"/>
              </w:rPr>
              <w:t>职工生活污水</w:t>
            </w:r>
            <w:r>
              <w:rPr>
                <w:bCs/>
                <w:sz w:val="24"/>
                <w:szCs w:val="24"/>
              </w:rPr>
              <w:t>接管至</w:t>
            </w:r>
            <w:r>
              <w:rPr>
                <w:rFonts w:hint="eastAsia"/>
                <w:bCs/>
                <w:sz w:val="24"/>
                <w:szCs w:val="24"/>
                <w:lang w:eastAsia="zh-CN"/>
              </w:rPr>
              <w:t>城市污水处理厂</w:t>
            </w:r>
            <w:r>
              <w:rPr>
                <w:bCs/>
                <w:sz w:val="24"/>
                <w:szCs w:val="24"/>
              </w:rPr>
              <w:t>处理</w:t>
            </w:r>
            <w:r>
              <w:rPr>
                <w:rFonts w:hint="eastAsia"/>
                <w:bCs/>
                <w:sz w:val="24"/>
                <w:szCs w:val="24"/>
                <w:lang w:eastAsia="zh-CN"/>
              </w:rPr>
              <w:t>后，尾水达标排入武宜运河</w:t>
            </w:r>
            <w:r>
              <w:rPr>
                <w:rFonts w:hint="eastAsia"/>
                <w:bCs/>
                <w:sz w:val="24"/>
                <w:szCs w:val="24"/>
              </w:rPr>
              <w:t>。</w:t>
            </w:r>
            <w:r>
              <w:rPr>
                <w:bCs/>
                <w:sz w:val="24"/>
                <w:szCs w:val="24"/>
              </w:rPr>
              <w:t>污水接管执行《污水综合排放标准》（GB 8978-1996）表4中三级标准，标准中无规定的氨氮、总磷、总氮指标执行《污水排入城镇下水道水质标准》（GB/T</w:t>
            </w:r>
            <w:r>
              <w:rPr>
                <w:rFonts w:hint="eastAsia"/>
                <w:bCs/>
                <w:sz w:val="24"/>
                <w:szCs w:val="24"/>
                <w:lang w:val="en-US" w:eastAsia="zh-CN"/>
              </w:rPr>
              <w:t xml:space="preserve"> </w:t>
            </w:r>
            <w:r>
              <w:rPr>
                <w:bCs/>
                <w:sz w:val="24"/>
                <w:szCs w:val="24"/>
              </w:rPr>
              <w:t>31962-2015）表1中B等级标准要求。污水厂尾水</w:t>
            </w:r>
            <w:r>
              <w:rPr>
                <w:rFonts w:hint="eastAsia"/>
                <w:bCs/>
                <w:sz w:val="24"/>
                <w:szCs w:val="24"/>
                <w:lang w:val="en-US" w:eastAsia="zh-CN"/>
              </w:rPr>
              <w:t>COD、氨氮、总磷、总氮</w:t>
            </w:r>
            <w:r>
              <w:rPr>
                <w:bCs/>
                <w:sz w:val="24"/>
                <w:szCs w:val="24"/>
              </w:rPr>
              <w:t>排放执行《太湖地区城镇污水处理厂及重点工业行业主要水污染物排放值》(DB32/1072-2018)中表1标准，</w:t>
            </w:r>
            <w:r>
              <w:rPr>
                <w:rFonts w:hint="eastAsia"/>
                <w:bCs/>
                <w:sz w:val="24"/>
                <w:szCs w:val="24"/>
                <w:lang w:val="en-US" w:eastAsia="zh-CN"/>
              </w:rPr>
              <w:t>pH值、SS排放</w:t>
            </w:r>
            <w:r>
              <w:rPr>
                <w:rFonts w:hint="eastAsia" w:ascii="Times New Roman" w:hAnsi="Times New Roman" w:cs="Times New Roman"/>
                <w:bCs/>
                <w:sz w:val="24"/>
                <w:szCs w:val="24"/>
                <w:lang w:val="en-US" w:eastAsia="zh-CN"/>
              </w:rPr>
              <w:t>执行《城镇污水处理厂污染物排放标准》（GB18918-2002）表1中一级A标准</w:t>
            </w:r>
            <w:r>
              <w:rPr>
                <w:rFonts w:hint="eastAsia" w:ascii="Times New Roman" w:hAnsi="Times New Roman" w:cs="Times New Roman"/>
                <w:bCs/>
                <w:sz w:val="24"/>
                <w:szCs w:val="24"/>
                <w:lang w:eastAsia="zh-CN"/>
              </w:rPr>
              <w:t>，</w:t>
            </w:r>
            <w:r>
              <w:rPr>
                <w:rFonts w:ascii="Times New Roman" w:hAnsi="Times New Roman" w:cs="Times New Roman"/>
                <w:bCs/>
                <w:sz w:val="24"/>
                <w:szCs w:val="24"/>
              </w:rPr>
              <w:t>具</w:t>
            </w:r>
            <w:r>
              <w:rPr>
                <w:bCs/>
                <w:sz w:val="24"/>
                <w:szCs w:val="24"/>
              </w:rPr>
              <w:t>体值见表</w:t>
            </w:r>
            <w:r>
              <w:rPr>
                <w:rFonts w:hint="eastAsia"/>
                <w:bCs/>
                <w:sz w:val="24"/>
                <w:szCs w:val="24"/>
              </w:rPr>
              <w:t>3-</w:t>
            </w:r>
            <w:r>
              <w:rPr>
                <w:rFonts w:hint="eastAsia"/>
                <w:bCs/>
                <w:sz w:val="24"/>
                <w:szCs w:val="24"/>
                <w:lang w:val="en-US" w:eastAsia="zh-CN"/>
              </w:rPr>
              <w:t>8</w:t>
            </w:r>
            <w:r>
              <w:rPr>
                <w:bCs/>
                <w:sz w:val="24"/>
                <w:szCs w:val="24"/>
              </w:rPr>
              <w:t>。</w:t>
            </w:r>
          </w:p>
          <w:p>
            <w:pPr>
              <w:adjustRightInd w:val="0"/>
              <w:snapToGrid w:val="0"/>
              <w:jc w:val="center"/>
              <w:rPr>
                <w:b/>
                <w:bCs/>
                <w:sz w:val="24"/>
              </w:rPr>
            </w:pPr>
            <w:r>
              <w:rPr>
                <w:b/>
                <w:bCs/>
                <w:sz w:val="24"/>
              </w:rPr>
              <w:t>表</w:t>
            </w:r>
            <w:r>
              <w:rPr>
                <w:rFonts w:hint="eastAsia"/>
                <w:b/>
                <w:bCs/>
                <w:sz w:val="24"/>
              </w:rPr>
              <w:t>3-</w:t>
            </w:r>
            <w:r>
              <w:rPr>
                <w:rFonts w:hint="eastAsia"/>
                <w:b/>
                <w:bCs/>
                <w:sz w:val="24"/>
                <w:lang w:val="en-US" w:eastAsia="zh-CN"/>
              </w:rPr>
              <w:t>8</w:t>
            </w:r>
            <w:r>
              <w:rPr>
                <w:b/>
                <w:bCs/>
                <w:sz w:val="24"/>
              </w:rPr>
              <w:t xml:space="preserve">   本项目水污染物接管和污水厂排放标准一览表</w:t>
            </w:r>
            <w:r>
              <w:rPr>
                <w:b/>
                <w:bCs/>
                <w:kern w:val="0"/>
                <w:szCs w:val="21"/>
              </w:rPr>
              <w:t>（单位：mg/L）</w:t>
            </w:r>
          </w:p>
          <w:tbl>
            <w:tblPr>
              <w:tblStyle w:val="3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07"/>
              <w:gridCol w:w="1362"/>
              <w:gridCol w:w="997"/>
              <w:gridCol w:w="997"/>
              <w:gridCol w:w="997"/>
              <w:gridCol w:w="997"/>
              <w:gridCol w:w="9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707" w:type="dxa"/>
                  <w:vAlign w:val="center"/>
                </w:tcPr>
                <w:p>
                  <w:pPr>
                    <w:adjustRightInd w:val="0"/>
                    <w:snapToGrid w:val="0"/>
                    <w:jc w:val="center"/>
                    <w:rPr>
                      <w:b/>
                      <w:bCs/>
                      <w:kern w:val="0"/>
                      <w:szCs w:val="21"/>
                    </w:rPr>
                  </w:pPr>
                  <w:r>
                    <w:rPr>
                      <w:b/>
                      <w:bCs/>
                      <w:kern w:val="0"/>
                      <w:szCs w:val="21"/>
                    </w:rPr>
                    <w:t>项目污染因子</w:t>
                  </w:r>
                </w:p>
              </w:tc>
              <w:tc>
                <w:tcPr>
                  <w:tcW w:w="1362" w:type="dxa"/>
                  <w:vAlign w:val="center"/>
                </w:tcPr>
                <w:p>
                  <w:pPr>
                    <w:adjustRightInd w:val="0"/>
                    <w:snapToGrid w:val="0"/>
                    <w:jc w:val="center"/>
                    <w:rPr>
                      <w:b/>
                      <w:bCs/>
                      <w:kern w:val="0"/>
                      <w:szCs w:val="21"/>
                    </w:rPr>
                  </w:pPr>
                  <w:r>
                    <w:rPr>
                      <w:b/>
                      <w:bCs/>
                      <w:kern w:val="0"/>
                      <w:szCs w:val="21"/>
                    </w:rPr>
                    <w:t>pH（无量纲）</w:t>
                  </w:r>
                </w:p>
              </w:tc>
              <w:tc>
                <w:tcPr>
                  <w:tcW w:w="997" w:type="dxa"/>
                  <w:vAlign w:val="center"/>
                </w:tcPr>
                <w:p>
                  <w:pPr>
                    <w:adjustRightInd w:val="0"/>
                    <w:snapToGrid w:val="0"/>
                    <w:jc w:val="center"/>
                    <w:rPr>
                      <w:b/>
                      <w:bCs/>
                      <w:kern w:val="0"/>
                      <w:szCs w:val="21"/>
                    </w:rPr>
                  </w:pPr>
                  <w:r>
                    <w:rPr>
                      <w:b/>
                      <w:bCs/>
                      <w:kern w:val="0"/>
                      <w:szCs w:val="21"/>
                    </w:rPr>
                    <w:t>COD</w:t>
                  </w:r>
                </w:p>
              </w:tc>
              <w:tc>
                <w:tcPr>
                  <w:tcW w:w="997" w:type="dxa"/>
                  <w:vAlign w:val="center"/>
                </w:tcPr>
                <w:p>
                  <w:pPr>
                    <w:adjustRightInd w:val="0"/>
                    <w:snapToGrid w:val="0"/>
                    <w:jc w:val="center"/>
                    <w:rPr>
                      <w:b/>
                      <w:bCs/>
                      <w:kern w:val="0"/>
                      <w:szCs w:val="21"/>
                    </w:rPr>
                  </w:pPr>
                  <w:r>
                    <w:rPr>
                      <w:b/>
                      <w:bCs/>
                      <w:kern w:val="0"/>
                      <w:szCs w:val="21"/>
                    </w:rPr>
                    <w:t>SS</w:t>
                  </w:r>
                </w:p>
              </w:tc>
              <w:tc>
                <w:tcPr>
                  <w:tcW w:w="997" w:type="dxa"/>
                  <w:vAlign w:val="center"/>
                </w:tcPr>
                <w:p>
                  <w:pPr>
                    <w:adjustRightInd w:val="0"/>
                    <w:snapToGrid w:val="0"/>
                    <w:jc w:val="center"/>
                    <w:rPr>
                      <w:b/>
                      <w:bCs/>
                      <w:kern w:val="0"/>
                      <w:szCs w:val="21"/>
                    </w:rPr>
                  </w:pPr>
                  <w:r>
                    <w:rPr>
                      <w:b/>
                      <w:bCs/>
                      <w:kern w:val="0"/>
                      <w:szCs w:val="21"/>
                    </w:rPr>
                    <w:t>NH</w:t>
                  </w:r>
                  <w:r>
                    <w:rPr>
                      <w:b/>
                      <w:bCs/>
                      <w:kern w:val="0"/>
                      <w:szCs w:val="21"/>
                      <w:vertAlign w:val="subscript"/>
                    </w:rPr>
                    <w:t>3</w:t>
                  </w:r>
                  <w:r>
                    <w:rPr>
                      <w:b/>
                      <w:bCs/>
                      <w:kern w:val="0"/>
                      <w:szCs w:val="21"/>
                    </w:rPr>
                    <w:t>-N</w:t>
                  </w:r>
                </w:p>
              </w:tc>
              <w:tc>
                <w:tcPr>
                  <w:tcW w:w="997" w:type="dxa"/>
                  <w:vAlign w:val="center"/>
                </w:tcPr>
                <w:p>
                  <w:pPr>
                    <w:adjustRightInd w:val="0"/>
                    <w:snapToGrid w:val="0"/>
                    <w:jc w:val="center"/>
                    <w:rPr>
                      <w:b/>
                      <w:bCs/>
                      <w:kern w:val="0"/>
                      <w:szCs w:val="21"/>
                    </w:rPr>
                  </w:pPr>
                  <w:r>
                    <w:rPr>
                      <w:b/>
                      <w:bCs/>
                      <w:kern w:val="0"/>
                      <w:szCs w:val="21"/>
                    </w:rPr>
                    <w:t>TP</w:t>
                  </w:r>
                </w:p>
              </w:tc>
              <w:tc>
                <w:tcPr>
                  <w:tcW w:w="997" w:type="dxa"/>
                  <w:vAlign w:val="center"/>
                </w:tcPr>
                <w:p>
                  <w:pPr>
                    <w:adjustRightInd w:val="0"/>
                    <w:snapToGrid w:val="0"/>
                    <w:jc w:val="center"/>
                    <w:rPr>
                      <w:b/>
                      <w:bCs/>
                      <w:kern w:val="0"/>
                      <w:szCs w:val="21"/>
                    </w:rPr>
                  </w:pPr>
                  <w:r>
                    <w:rPr>
                      <w:b/>
                      <w:bCs/>
                      <w:kern w:val="0"/>
                      <w:szCs w:val="21"/>
                    </w:rPr>
                    <w:t>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707" w:type="dxa"/>
                  <w:vAlign w:val="center"/>
                </w:tcPr>
                <w:p>
                  <w:pPr>
                    <w:adjustRightInd w:val="0"/>
                    <w:snapToGrid w:val="0"/>
                    <w:jc w:val="center"/>
                    <w:rPr>
                      <w:bCs/>
                      <w:kern w:val="0"/>
                      <w:szCs w:val="21"/>
                    </w:rPr>
                  </w:pPr>
                  <w:r>
                    <w:rPr>
                      <w:bCs/>
                      <w:kern w:val="0"/>
                      <w:szCs w:val="21"/>
                    </w:rPr>
                    <w:t>接管标准</w:t>
                  </w:r>
                </w:p>
              </w:tc>
              <w:tc>
                <w:tcPr>
                  <w:tcW w:w="1362" w:type="dxa"/>
                  <w:vAlign w:val="center"/>
                </w:tcPr>
                <w:p>
                  <w:pPr>
                    <w:adjustRightInd w:val="0"/>
                    <w:snapToGrid w:val="0"/>
                    <w:jc w:val="center"/>
                    <w:rPr>
                      <w:bCs/>
                      <w:kern w:val="0"/>
                      <w:szCs w:val="21"/>
                    </w:rPr>
                  </w:pPr>
                  <w:r>
                    <w:rPr>
                      <w:bCs/>
                      <w:kern w:val="0"/>
                      <w:szCs w:val="21"/>
                    </w:rPr>
                    <w:t>6~9</w:t>
                  </w:r>
                </w:p>
              </w:tc>
              <w:tc>
                <w:tcPr>
                  <w:tcW w:w="997" w:type="dxa"/>
                  <w:vAlign w:val="center"/>
                </w:tcPr>
                <w:p>
                  <w:pPr>
                    <w:adjustRightInd w:val="0"/>
                    <w:snapToGrid w:val="0"/>
                    <w:jc w:val="center"/>
                    <w:rPr>
                      <w:bCs/>
                      <w:kern w:val="0"/>
                      <w:szCs w:val="21"/>
                    </w:rPr>
                  </w:pPr>
                  <w:r>
                    <w:rPr>
                      <w:bCs/>
                      <w:kern w:val="0"/>
                      <w:szCs w:val="21"/>
                    </w:rPr>
                    <w:t>500</w:t>
                  </w:r>
                </w:p>
              </w:tc>
              <w:tc>
                <w:tcPr>
                  <w:tcW w:w="997" w:type="dxa"/>
                  <w:vAlign w:val="center"/>
                </w:tcPr>
                <w:p>
                  <w:pPr>
                    <w:adjustRightInd w:val="0"/>
                    <w:snapToGrid w:val="0"/>
                    <w:jc w:val="center"/>
                    <w:rPr>
                      <w:bCs/>
                      <w:kern w:val="0"/>
                      <w:szCs w:val="21"/>
                    </w:rPr>
                  </w:pPr>
                  <w:r>
                    <w:rPr>
                      <w:bCs/>
                      <w:kern w:val="0"/>
                      <w:szCs w:val="21"/>
                    </w:rPr>
                    <w:t>400</w:t>
                  </w:r>
                </w:p>
              </w:tc>
              <w:tc>
                <w:tcPr>
                  <w:tcW w:w="997" w:type="dxa"/>
                  <w:vAlign w:val="center"/>
                </w:tcPr>
                <w:p>
                  <w:pPr>
                    <w:adjustRightInd w:val="0"/>
                    <w:snapToGrid w:val="0"/>
                    <w:jc w:val="center"/>
                    <w:rPr>
                      <w:bCs/>
                      <w:kern w:val="0"/>
                      <w:szCs w:val="21"/>
                    </w:rPr>
                  </w:pPr>
                  <w:r>
                    <w:rPr>
                      <w:bCs/>
                      <w:kern w:val="0"/>
                      <w:szCs w:val="21"/>
                    </w:rPr>
                    <w:t>45</w:t>
                  </w:r>
                </w:p>
              </w:tc>
              <w:tc>
                <w:tcPr>
                  <w:tcW w:w="997" w:type="dxa"/>
                  <w:vAlign w:val="center"/>
                </w:tcPr>
                <w:p>
                  <w:pPr>
                    <w:adjustRightInd w:val="0"/>
                    <w:snapToGrid w:val="0"/>
                    <w:jc w:val="center"/>
                    <w:rPr>
                      <w:bCs/>
                      <w:kern w:val="0"/>
                      <w:szCs w:val="21"/>
                    </w:rPr>
                  </w:pPr>
                  <w:r>
                    <w:rPr>
                      <w:bCs/>
                      <w:kern w:val="0"/>
                      <w:szCs w:val="21"/>
                    </w:rPr>
                    <w:t>8</w:t>
                  </w:r>
                </w:p>
              </w:tc>
              <w:tc>
                <w:tcPr>
                  <w:tcW w:w="997" w:type="dxa"/>
                  <w:vAlign w:val="center"/>
                </w:tcPr>
                <w:p>
                  <w:pPr>
                    <w:adjustRightInd w:val="0"/>
                    <w:snapToGrid w:val="0"/>
                    <w:jc w:val="center"/>
                    <w:rPr>
                      <w:bCs/>
                      <w:kern w:val="0"/>
                      <w:szCs w:val="21"/>
                    </w:rPr>
                  </w:pPr>
                  <w:r>
                    <w:rPr>
                      <w:bCs/>
                      <w:kern w:val="0"/>
                      <w:szCs w:val="21"/>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1707" w:type="dxa"/>
                  <w:vAlign w:val="center"/>
                </w:tcPr>
                <w:p>
                  <w:pPr>
                    <w:adjustRightInd w:val="0"/>
                    <w:snapToGrid w:val="0"/>
                    <w:jc w:val="center"/>
                    <w:rPr>
                      <w:kern w:val="0"/>
                      <w:szCs w:val="21"/>
                    </w:rPr>
                  </w:pPr>
                  <w:r>
                    <w:rPr>
                      <w:kern w:val="0"/>
                      <w:szCs w:val="21"/>
                    </w:rPr>
                    <w:t>排放标准</w:t>
                  </w:r>
                </w:p>
              </w:tc>
              <w:tc>
                <w:tcPr>
                  <w:tcW w:w="1362" w:type="dxa"/>
                  <w:vAlign w:val="center"/>
                </w:tcPr>
                <w:p>
                  <w:pPr>
                    <w:adjustRightInd w:val="0"/>
                    <w:snapToGrid w:val="0"/>
                    <w:jc w:val="center"/>
                    <w:rPr>
                      <w:szCs w:val="21"/>
                    </w:rPr>
                  </w:pPr>
                  <w:r>
                    <w:rPr>
                      <w:szCs w:val="21"/>
                    </w:rPr>
                    <w:t>6~9</w:t>
                  </w:r>
                </w:p>
              </w:tc>
              <w:tc>
                <w:tcPr>
                  <w:tcW w:w="997" w:type="dxa"/>
                  <w:vAlign w:val="center"/>
                </w:tcPr>
                <w:p>
                  <w:pPr>
                    <w:adjustRightInd w:val="0"/>
                    <w:snapToGrid w:val="0"/>
                    <w:jc w:val="center"/>
                    <w:rPr>
                      <w:szCs w:val="21"/>
                    </w:rPr>
                  </w:pPr>
                  <w:r>
                    <w:rPr>
                      <w:szCs w:val="21"/>
                    </w:rPr>
                    <w:t>40</w:t>
                  </w:r>
                </w:p>
              </w:tc>
              <w:tc>
                <w:tcPr>
                  <w:tcW w:w="997" w:type="dxa"/>
                  <w:vAlign w:val="center"/>
                </w:tcPr>
                <w:p>
                  <w:pPr>
                    <w:adjustRightInd w:val="0"/>
                    <w:snapToGrid w:val="0"/>
                    <w:jc w:val="center"/>
                    <w:rPr>
                      <w:szCs w:val="21"/>
                    </w:rPr>
                  </w:pPr>
                  <w:r>
                    <w:rPr>
                      <w:szCs w:val="21"/>
                    </w:rPr>
                    <w:t>10</w:t>
                  </w:r>
                </w:p>
              </w:tc>
              <w:tc>
                <w:tcPr>
                  <w:tcW w:w="997" w:type="dxa"/>
                  <w:vAlign w:val="center"/>
                </w:tcPr>
                <w:p>
                  <w:pPr>
                    <w:adjustRightInd w:val="0"/>
                    <w:snapToGrid w:val="0"/>
                    <w:jc w:val="center"/>
                    <w:rPr>
                      <w:szCs w:val="21"/>
                    </w:rPr>
                  </w:pPr>
                  <w:r>
                    <w:rPr>
                      <w:szCs w:val="21"/>
                    </w:rPr>
                    <w:t>3（5）</w:t>
                  </w:r>
                </w:p>
              </w:tc>
              <w:tc>
                <w:tcPr>
                  <w:tcW w:w="997" w:type="dxa"/>
                  <w:vAlign w:val="center"/>
                </w:tcPr>
                <w:p>
                  <w:pPr>
                    <w:adjustRightInd w:val="0"/>
                    <w:snapToGrid w:val="0"/>
                    <w:jc w:val="center"/>
                    <w:rPr>
                      <w:szCs w:val="21"/>
                    </w:rPr>
                  </w:pPr>
                  <w:r>
                    <w:rPr>
                      <w:szCs w:val="21"/>
                    </w:rPr>
                    <w:t>0.3</w:t>
                  </w:r>
                </w:p>
              </w:tc>
              <w:tc>
                <w:tcPr>
                  <w:tcW w:w="997" w:type="dxa"/>
                  <w:vAlign w:val="center"/>
                </w:tcPr>
                <w:p>
                  <w:pPr>
                    <w:adjustRightInd w:val="0"/>
                    <w:snapToGrid w:val="0"/>
                    <w:jc w:val="center"/>
                    <w:rPr>
                      <w:szCs w:val="21"/>
                    </w:rPr>
                  </w:pPr>
                  <w:r>
                    <w:rPr>
                      <w:szCs w:val="21"/>
                    </w:rPr>
                    <w:t>10（12）</w:t>
                  </w:r>
                </w:p>
              </w:tc>
            </w:tr>
          </w:tbl>
          <w:p>
            <w:pPr>
              <w:adjustRightInd w:val="0"/>
              <w:snapToGrid w:val="0"/>
              <w:spacing w:line="360" w:lineRule="auto"/>
              <w:ind w:left="422" w:hanging="422" w:hangingChars="200"/>
            </w:pPr>
            <w:r>
              <w:rPr>
                <w:b/>
                <w:color w:val="000000"/>
                <w:szCs w:val="21"/>
              </w:rPr>
              <w:t>注：</w:t>
            </w:r>
            <w:r>
              <w:rPr>
                <w:color w:val="000000"/>
                <w:szCs w:val="21"/>
              </w:rPr>
              <w:t>括号外数值为水温＞12℃时的控制指标，括号内数值为水温≤12℃时的控制指标。</w:t>
            </w:r>
          </w:p>
          <w:p>
            <w:pPr>
              <w:numPr>
                <w:ilvl w:val="0"/>
                <w:numId w:val="4"/>
              </w:numPr>
              <w:spacing w:line="360" w:lineRule="auto"/>
              <w:ind w:left="-60" w:leftChars="0" w:firstLine="480" w:firstLineChars="0"/>
              <w:rPr>
                <w:rFonts w:hint="eastAsia"/>
                <w:bCs/>
                <w:snapToGrid w:val="0"/>
                <w:kern w:val="0"/>
                <w:sz w:val="24"/>
              </w:rPr>
            </w:pPr>
            <w:r>
              <w:rPr>
                <w:rFonts w:hint="eastAsia"/>
                <w:bCs/>
                <w:snapToGrid w:val="0"/>
                <w:kern w:val="0"/>
                <w:sz w:val="24"/>
              </w:rPr>
              <w:t>大气</w:t>
            </w:r>
          </w:p>
          <w:p>
            <w:pPr>
              <w:numPr>
                <w:ilvl w:val="0"/>
                <w:numId w:val="0"/>
              </w:numPr>
              <w:spacing w:line="360" w:lineRule="auto"/>
              <w:ind w:firstLine="480" w:firstLineChars="200"/>
              <w:rPr>
                <w:rFonts w:ascii="Times New Roman" w:hAnsi="Times New Roman" w:eastAsia="宋体" w:cs="Times New Roman"/>
                <w:bCs/>
                <w:kern w:val="0"/>
                <w:sz w:val="24"/>
                <w:szCs w:val="24"/>
                <w:lang w:val="en-US" w:eastAsia="zh-CN" w:bidi="ar-SA"/>
              </w:rPr>
            </w:pPr>
            <w:r>
              <w:rPr>
                <w:rFonts w:hint="eastAsia" w:ascii="Times New Roman" w:hAnsi="Times New Roman" w:eastAsia="宋体" w:cs="Times New Roman"/>
                <w:bCs/>
                <w:kern w:val="0"/>
                <w:sz w:val="24"/>
                <w:szCs w:val="24"/>
                <w:lang w:val="en-US" w:eastAsia="zh-CN" w:bidi="ar-SA"/>
              </w:rPr>
              <w:t>本项目</w:t>
            </w:r>
            <w:r>
              <w:rPr>
                <w:rFonts w:ascii="Times New Roman" w:hAnsi="Times New Roman" w:eastAsia="宋体" w:cs="Times New Roman"/>
                <w:bCs/>
                <w:kern w:val="0"/>
                <w:sz w:val="24"/>
                <w:szCs w:val="24"/>
                <w:lang w:val="en-US" w:eastAsia="zh-CN" w:bidi="ar-SA"/>
              </w:rPr>
              <w:t>丝网印刷、烘干工序有组织排放的VOC</w:t>
            </w:r>
            <w:r>
              <w:rPr>
                <w:rFonts w:hint="eastAsia" w:cs="Times New Roman"/>
                <w:bCs/>
                <w:kern w:val="0"/>
                <w:sz w:val="24"/>
                <w:szCs w:val="24"/>
                <w:lang w:val="en-US" w:eastAsia="zh-CN" w:bidi="ar-SA"/>
              </w:rPr>
              <w:t>s</w:t>
            </w:r>
            <w:r>
              <w:rPr>
                <w:rFonts w:ascii="Times New Roman" w:hAnsi="Times New Roman" w:eastAsia="宋体" w:cs="Times New Roman"/>
                <w:bCs/>
                <w:kern w:val="0"/>
                <w:sz w:val="24"/>
                <w:szCs w:val="24"/>
                <w:lang w:val="en-US" w:eastAsia="zh-CN" w:bidi="ar-SA"/>
              </w:rPr>
              <w:t>执行</w:t>
            </w:r>
            <w:r>
              <w:rPr>
                <w:rFonts w:hint="eastAsia"/>
                <w:kern w:val="0"/>
                <w:sz w:val="24"/>
              </w:rPr>
              <w:t>江苏省地方标准《大气污染物综合排放标准》（DB32/4041—2021）</w:t>
            </w:r>
            <w:r>
              <w:rPr>
                <w:rFonts w:ascii="Times New Roman" w:hAnsi="Times New Roman" w:eastAsia="宋体" w:cs="Times New Roman"/>
                <w:bCs/>
                <w:kern w:val="0"/>
                <w:sz w:val="24"/>
                <w:szCs w:val="24"/>
                <w:lang w:val="en-US" w:eastAsia="zh-CN" w:bidi="ar-SA"/>
              </w:rPr>
              <w:t>中表</w:t>
            </w:r>
            <w:r>
              <w:rPr>
                <w:rFonts w:hint="eastAsia" w:cs="Times New Roman"/>
                <w:bCs/>
                <w:kern w:val="0"/>
                <w:sz w:val="24"/>
                <w:szCs w:val="24"/>
                <w:lang w:val="en-US" w:eastAsia="zh-CN" w:bidi="ar-SA"/>
              </w:rPr>
              <w:t>1</w:t>
            </w:r>
            <w:r>
              <w:rPr>
                <w:rFonts w:hint="eastAsia" w:ascii="Times New Roman" w:hAnsi="Times New Roman" w:eastAsia="宋体" w:cs="Times New Roman"/>
                <w:kern w:val="0"/>
                <w:sz w:val="24"/>
                <w:lang w:val="en-US" w:eastAsia="zh-CN"/>
              </w:rPr>
              <w:t>中“其他行业”标准。无组织排放VOCs执行</w:t>
            </w:r>
            <w:r>
              <w:rPr>
                <w:rFonts w:hint="eastAsia" w:ascii="Times New Roman" w:hAnsi="Times New Roman" w:eastAsia="宋体" w:cs="Times New Roman"/>
                <w:kern w:val="0"/>
                <w:sz w:val="24"/>
              </w:rPr>
              <w:t>江苏省地方标准《大气污染物综合排放标准》</w:t>
            </w:r>
            <w:r>
              <w:rPr>
                <w:rFonts w:hint="eastAsia" w:ascii="Times New Roman" w:hAnsi="Times New Roman" w:eastAsia="宋体" w:cs="Times New Roman"/>
                <w:kern w:val="0"/>
                <w:sz w:val="24"/>
                <w:lang w:val="en-US" w:eastAsia="zh-CN"/>
              </w:rPr>
              <w:t xml:space="preserve"> </w:t>
            </w:r>
            <w:r>
              <w:rPr>
                <w:rFonts w:hint="eastAsia" w:ascii="Times New Roman" w:hAnsi="Times New Roman" w:eastAsia="宋体" w:cs="Times New Roman"/>
                <w:kern w:val="0"/>
                <w:sz w:val="24"/>
              </w:rPr>
              <w:t>（DB32/4041—2021）</w:t>
            </w:r>
            <w:r>
              <w:rPr>
                <w:rFonts w:hint="eastAsia" w:ascii="Times New Roman" w:hAnsi="Times New Roman" w:eastAsia="宋体" w:cs="Times New Roman"/>
                <w:kern w:val="0"/>
                <w:sz w:val="24"/>
                <w:lang w:val="en-US" w:eastAsia="zh-CN"/>
              </w:rPr>
              <w:t>表3中</w:t>
            </w:r>
            <w:r>
              <w:rPr>
                <w:rFonts w:hint="eastAsia" w:cs="Times New Roman"/>
                <w:kern w:val="0"/>
                <w:sz w:val="24"/>
                <w:lang w:val="en-US" w:eastAsia="zh-CN"/>
              </w:rPr>
              <w:t>的</w:t>
            </w:r>
            <w:r>
              <w:rPr>
                <w:rFonts w:hint="eastAsia" w:ascii="Times New Roman" w:hAnsi="Times New Roman"/>
                <w:sz w:val="24"/>
                <w:szCs w:val="24"/>
              </w:rPr>
              <w:t>标准限值</w:t>
            </w:r>
            <w:r>
              <w:rPr>
                <w:rFonts w:hint="eastAsia" w:ascii="Times New Roman" w:hAnsi="Times New Roman" w:eastAsia="宋体" w:cs="Times New Roman"/>
                <w:kern w:val="0"/>
                <w:sz w:val="24"/>
                <w:lang w:val="en-US" w:eastAsia="zh-CN"/>
              </w:rPr>
              <w:t>。激光打孔无组织排放颗粒物（粉尘</w:t>
            </w:r>
            <w:r>
              <w:rPr>
                <w:rFonts w:ascii="Times New Roman" w:hAnsi="Times New Roman" w:eastAsia="宋体" w:cs="Times New Roman"/>
                <w:bCs/>
                <w:kern w:val="0"/>
                <w:sz w:val="24"/>
                <w:szCs w:val="24"/>
                <w:lang w:val="en-US" w:eastAsia="zh-CN" w:bidi="ar-SA"/>
              </w:rPr>
              <w:t>）执行</w:t>
            </w:r>
            <w:r>
              <w:rPr>
                <w:rFonts w:hint="eastAsia"/>
                <w:kern w:val="0"/>
                <w:sz w:val="24"/>
              </w:rPr>
              <w:t>江苏省地方标准《大气污染物综合排放标准》（DB32/4041—2021）</w:t>
            </w:r>
            <w:r>
              <w:rPr>
                <w:rFonts w:hint="eastAsia"/>
                <w:kern w:val="0"/>
                <w:sz w:val="24"/>
                <w:lang w:eastAsia="zh-CN"/>
              </w:rPr>
              <w:t>表</w:t>
            </w:r>
            <w:r>
              <w:rPr>
                <w:rFonts w:hint="eastAsia"/>
                <w:kern w:val="0"/>
                <w:sz w:val="24"/>
                <w:lang w:val="en-US" w:eastAsia="zh-CN"/>
              </w:rPr>
              <w:t>3</w:t>
            </w:r>
            <w:r>
              <w:rPr>
                <w:rFonts w:hint="eastAsia"/>
                <w:kern w:val="0"/>
                <w:sz w:val="24"/>
                <w:lang w:eastAsia="zh-CN"/>
              </w:rPr>
              <w:t>中</w:t>
            </w:r>
            <w:r>
              <w:rPr>
                <w:rFonts w:hint="eastAsia" w:ascii="Times New Roman" w:hAnsi="Times New Roman"/>
                <w:sz w:val="24"/>
                <w:szCs w:val="24"/>
              </w:rPr>
              <w:t>的标准限值</w:t>
            </w:r>
            <w:r>
              <w:rPr>
                <w:rFonts w:ascii="Times New Roman" w:hAnsi="Times New Roman" w:eastAsia="宋体" w:cs="Times New Roman"/>
                <w:bCs/>
                <w:kern w:val="0"/>
                <w:sz w:val="24"/>
                <w:szCs w:val="24"/>
                <w:lang w:val="en-US" w:eastAsia="zh-CN" w:bidi="ar-SA"/>
              </w:rPr>
              <w:t>。</w:t>
            </w:r>
            <w:r>
              <w:rPr>
                <w:rFonts w:ascii="Times New Roman" w:hAnsi="Times New Roman"/>
                <w:sz w:val="24"/>
                <w:szCs w:val="24"/>
              </w:rPr>
              <w:t>厂区内无组织排放</w:t>
            </w:r>
            <w:r>
              <w:rPr>
                <w:rFonts w:hint="eastAsia" w:ascii="Times New Roman" w:hAnsi="Times New Roman"/>
                <w:sz w:val="24"/>
                <w:szCs w:val="24"/>
                <w:lang w:val="en-US" w:eastAsia="zh-CN"/>
              </w:rPr>
              <w:t>VOCs</w:t>
            </w:r>
            <w:r>
              <w:rPr>
                <w:rFonts w:hint="eastAsia" w:ascii="Times New Roman" w:hAnsi="Times New Roman"/>
                <w:sz w:val="24"/>
                <w:szCs w:val="24"/>
                <w:lang w:eastAsia="zh-CN"/>
              </w:rPr>
              <w:t>参照</w:t>
            </w:r>
            <w:r>
              <w:rPr>
                <w:rFonts w:ascii="Times New Roman" w:hAnsi="Times New Roman"/>
                <w:sz w:val="24"/>
                <w:szCs w:val="24"/>
              </w:rPr>
              <w:t>执行</w:t>
            </w:r>
            <w:r>
              <w:rPr>
                <w:rFonts w:hint="eastAsia"/>
                <w:kern w:val="0"/>
                <w:sz w:val="24"/>
              </w:rPr>
              <w:t>江苏省地方标准《大气污染物综合排放标准》（DB32/4041—2021）</w:t>
            </w:r>
            <w:r>
              <w:rPr>
                <w:rFonts w:ascii="Times New Roman" w:hAnsi="Times New Roman"/>
                <w:sz w:val="24"/>
                <w:szCs w:val="24"/>
              </w:rPr>
              <w:t>表</w:t>
            </w:r>
            <w:r>
              <w:rPr>
                <w:rFonts w:hint="eastAsia" w:ascii="Times New Roman" w:hAnsi="Times New Roman"/>
                <w:sz w:val="24"/>
                <w:szCs w:val="24"/>
                <w:lang w:val="en-US" w:eastAsia="zh-CN"/>
              </w:rPr>
              <w:t>2</w:t>
            </w:r>
            <w:r>
              <w:rPr>
                <w:rFonts w:ascii="Times New Roman" w:hAnsi="Times New Roman"/>
                <w:sz w:val="24"/>
                <w:szCs w:val="24"/>
              </w:rPr>
              <w:t>中特别排放限值</w:t>
            </w:r>
            <w:r>
              <w:rPr>
                <w:rFonts w:ascii="Times New Roman" w:hAnsi="Times New Roman" w:eastAsia="宋体" w:cs="Times New Roman"/>
                <w:bCs/>
                <w:kern w:val="0"/>
                <w:sz w:val="24"/>
                <w:szCs w:val="24"/>
                <w:lang w:val="en-US" w:eastAsia="zh-CN" w:bidi="ar-SA"/>
              </w:rPr>
              <w:t>。</w:t>
            </w:r>
          </w:p>
          <w:p>
            <w:pPr>
              <w:adjustRightInd w:val="0"/>
              <w:snapToGrid w:val="0"/>
              <w:jc w:val="center"/>
              <w:rPr>
                <w:rFonts w:hint="eastAsia" w:ascii="宋体" w:hAnsi="宋体" w:eastAsia="宋体"/>
                <w:b/>
                <w:bCs/>
                <w:sz w:val="24"/>
                <w:szCs w:val="24"/>
                <w:lang w:eastAsia="zh-CN"/>
              </w:rPr>
            </w:pPr>
            <w:r>
              <w:rPr>
                <w:rFonts w:hint="eastAsia" w:ascii="宋体" w:hAnsi="宋体" w:eastAsia="宋体"/>
                <w:b/>
                <w:bCs/>
                <w:sz w:val="24"/>
                <w:szCs w:val="24"/>
              </w:rPr>
              <w:t>表</w:t>
            </w:r>
            <w:r>
              <w:rPr>
                <w:rFonts w:hint="eastAsia" w:ascii="Times New Roman" w:hAnsi="Times New Roman"/>
                <w:b/>
                <w:bCs/>
                <w:sz w:val="24"/>
                <w:szCs w:val="24"/>
                <w:lang w:val="en-US" w:eastAsia="zh-CN"/>
              </w:rPr>
              <w:t>3-9</w:t>
            </w:r>
            <w:r>
              <w:rPr>
                <w:rFonts w:hint="eastAsia" w:ascii="宋体" w:hAnsi="宋体" w:eastAsia="宋体"/>
                <w:b/>
                <w:bCs/>
                <w:sz w:val="24"/>
                <w:szCs w:val="24"/>
              </w:rPr>
              <w:t xml:space="preserve">   </w:t>
            </w:r>
            <w:r>
              <w:rPr>
                <w:rFonts w:hint="eastAsia" w:ascii="宋体" w:hAnsi="宋体"/>
                <w:b/>
                <w:bCs/>
                <w:sz w:val="24"/>
                <w:szCs w:val="24"/>
                <w:lang w:eastAsia="zh-CN"/>
              </w:rPr>
              <w:t>大气污染物排放限值</w:t>
            </w:r>
          </w:p>
          <w:tbl>
            <w:tblPr>
              <w:tblStyle w:val="36"/>
              <w:tblW w:w="4998"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113"/>
              <w:gridCol w:w="873"/>
              <w:gridCol w:w="922"/>
              <w:gridCol w:w="1024"/>
              <w:gridCol w:w="664"/>
              <w:gridCol w:w="1305"/>
              <w:gridCol w:w="225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28" w:hRule="atLeast"/>
                <w:jc w:val="center"/>
              </w:trPr>
              <w:tc>
                <w:tcPr>
                  <w:tcW w:w="683"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废气来源</w:t>
                  </w:r>
                </w:p>
              </w:tc>
              <w:tc>
                <w:tcPr>
                  <w:tcW w:w="535"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3781" w:type="pct"/>
                  <w:gridSpan w:val="5"/>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排放限值（mg/m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92" w:hRule="atLeast"/>
                <w:jc w:val="center"/>
              </w:trPr>
              <w:tc>
                <w:tcPr>
                  <w:tcW w:w="683"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535"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c>
                <w:tcPr>
                  <w:tcW w:w="56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最高允许排放浓度</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排放速率</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（kg/h）</w:t>
                  </w:r>
                </w:p>
              </w:tc>
              <w:tc>
                <w:tcPr>
                  <w:tcW w:w="40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排放高度</w:t>
                  </w:r>
                </w:p>
              </w:tc>
              <w:tc>
                <w:tcPr>
                  <w:tcW w:w="80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周界外浓度最高点</w:t>
                  </w:r>
                </w:p>
              </w:tc>
              <w:tc>
                <w:tcPr>
                  <w:tcW w:w="1378" w:type="pct"/>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sz w:val="21"/>
                      <w:szCs w:val="21"/>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49" w:hRule="atLeast"/>
                <w:jc w:val="center"/>
              </w:trPr>
              <w:tc>
                <w:tcPr>
                  <w:tcW w:w="68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丝网印刷、烘干工序</w:t>
                  </w:r>
                </w:p>
              </w:tc>
              <w:tc>
                <w:tcPr>
                  <w:tcW w:w="53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VOC</w:t>
                  </w:r>
                  <w:r>
                    <w:rPr>
                      <w:rFonts w:hint="default" w:ascii="Times New Roman" w:hAnsi="Times New Roman" w:eastAsia="宋体" w:cs="Times New Roman"/>
                      <w:color w:val="000000"/>
                      <w:sz w:val="21"/>
                      <w:szCs w:val="21"/>
                      <w:vertAlign w:val="subscript"/>
                    </w:rPr>
                    <w:t>S</w:t>
                  </w:r>
                </w:p>
              </w:tc>
              <w:tc>
                <w:tcPr>
                  <w:tcW w:w="56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60</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sz w:val="21"/>
                      <w:szCs w:val="21"/>
                      <w:lang w:eastAsia="zh-CN"/>
                    </w:rPr>
                  </w:pPr>
                  <w:r>
                    <w:rPr>
                      <w:rFonts w:hint="eastAsia" w:cs="Times New Roman"/>
                      <w:sz w:val="21"/>
                      <w:szCs w:val="21"/>
                      <w:lang w:val="en-US" w:eastAsia="zh-CN"/>
                    </w:rPr>
                    <w:t>3</w:t>
                  </w:r>
                </w:p>
              </w:tc>
              <w:tc>
                <w:tcPr>
                  <w:tcW w:w="40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w:t>
                  </w:r>
                </w:p>
              </w:tc>
              <w:tc>
                <w:tcPr>
                  <w:tcW w:w="80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4.0</w:t>
                  </w:r>
                </w:p>
              </w:tc>
              <w:tc>
                <w:tcPr>
                  <w:tcW w:w="1378"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（DB32/4041—2021）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63" w:hRule="atLeast"/>
                <w:jc w:val="center"/>
              </w:trPr>
              <w:tc>
                <w:tcPr>
                  <w:tcW w:w="68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钢化工序</w:t>
                  </w:r>
                </w:p>
              </w:tc>
              <w:tc>
                <w:tcPr>
                  <w:tcW w:w="53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VOC</w:t>
                  </w:r>
                  <w:r>
                    <w:rPr>
                      <w:rFonts w:hint="default" w:ascii="Times New Roman" w:hAnsi="Times New Roman" w:eastAsia="宋体" w:cs="Times New Roman"/>
                      <w:color w:val="000000"/>
                      <w:sz w:val="21"/>
                      <w:szCs w:val="21"/>
                      <w:vertAlign w:val="subscript"/>
                    </w:rPr>
                    <w:t>S</w:t>
                  </w:r>
                </w:p>
              </w:tc>
              <w:tc>
                <w:tcPr>
                  <w:tcW w:w="56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0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4.0</w:t>
                  </w:r>
                </w:p>
              </w:tc>
              <w:tc>
                <w:tcPr>
                  <w:tcW w:w="137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683"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激光打孔工序</w:t>
                  </w:r>
                </w:p>
              </w:tc>
              <w:tc>
                <w:tcPr>
                  <w:tcW w:w="53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颗粒物</w:t>
                  </w:r>
                </w:p>
              </w:tc>
              <w:tc>
                <w:tcPr>
                  <w:tcW w:w="565"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628"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407"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00"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0.5</w:t>
                  </w:r>
                </w:p>
              </w:tc>
              <w:tc>
                <w:tcPr>
                  <w:tcW w:w="1378"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rPr>
                  </w:pPr>
                </w:p>
              </w:tc>
            </w:tr>
          </w:tbl>
          <w:p>
            <w:pPr>
              <w:adjustRightInd w:val="0"/>
              <w:snapToGrid w:val="0"/>
              <w:spacing w:line="360" w:lineRule="auto"/>
              <w:rPr>
                <w:rFonts w:hint="eastAsia" w:ascii="宋体" w:hAnsi="宋体" w:eastAsia="宋体"/>
                <w:sz w:val="24"/>
              </w:rPr>
            </w:pPr>
          </w:p>
          <w:p>
            <w:pPr>
              <w:adjustRightInd w:val="0"/>
              <w:snapToGrid w:val="0"/>
              <w:jc w:val="center"/>
              <w:rPr>
                <w:rFonts w:hint="eastAsia" w:ascii="宋体" w:hAnsi="宋体" w:eastAsia="宋体"/>
                <w:b/>
                <w:bCs/>
                <w:sz w:val="24"/>
                <w:szCs w:val="24"/>
              </w:rPr>
            </w:pPr>
            <w:r>
              <w:rPr>
                <w:rFonts w:hint="eastAsia" w:ascii="宋体" w:hAnsi="宋体" w:eastAsia="宋体"/>
                <w:b/>
                <w:bCs/>
                <w:sz w:val="24"/>
                <w:szCs w:val="24"/>
              </w:rPr>
              <w:t>表</w:t>
            </w:r>
            <w:r>
              <w:rPr>
                <w:rFonts w:hint="eastAsia" w:ascii="Times New Roman" w:hAnsi="Times New Roman"/>
                <w:b/>
                <w:bCs/>
                <w:sz w:val="24"/>
                <w:szCs w:val="24"/>
                <w:lang w:val="en-US" w:eastAsia="zh-CN"/>
              </w:rPr>
              <w:t>3-10</w:t>
            </w:r>
            <w:r>
              <w:rPr>
                <w:rFonts w:hint="eastAsia" w:ascii="宋体" w:hAnsi="宋体" w:eastAsia="宋体"/>
                <w:b/>
                <w:bCs/>
                <w:sz w:val="24"/>
                <w:szCs w:val="24"/>
              </w:rPr>
              <w:t xml:space="preserve">  厂区内（</w:t>
            </w:r>
            <w:r>
              <w:rPr>
                <w:rFonts w:hint="eastAsia" w:ascii="Times New Roman" w:hAnsi="Times New Roman" w:eastAsia="宋体"/>
                <w:b/>
                <w:bCs/>
                <w:sz w:val="24"/>
                <w:szCs w:val="24"/>
              </w:rPr>
              <w:t>VOCs</w:t>
            </w:r>
            <w:r>
              <w:rPr>
                <w:rFonts w:hint="eastAsia" w:ascii="宋体" w:hAnsi="宋体" w:eastAsia="宋体"/>
                <w:b/>
                <w:bCs/>
                <w:sz w:val="24"/>
                <w:szCs w:val="24"/>
              </w:rPr>
              <w:t>）无组织排放限值   单位：</w:t>
            </w:r>
            <w:r>
              <w:rPr>
                <w:rFonts w:hint="eastAsia" w:ascii="Times New Roman" w:hAnsi="Times New Roman" w:eastAsia="宋体"/>
                <w:b/>
                <w:bCs/>
                <w:sz w:val="24"/>
                <w:szCs w:val="24"/>
              </w:rPr>
              <w:t>mg</w:t>
            </w:r>
            <w:r>
              <w:rPr>
                <w:rFonts w:hint="eastAsia" w:ascii="宋体" w:hAnsi="宋体" w:eastAsia="宋体"/>
                <w:b/>
                <w:bCs/>
                <w:sz w:val="24"/>
                <w:szCs w:val="24"/>
              </w:rPr>
              <w:t>/</w:t>
            </w:r>
            <w:r>
              <w:rPr>
                <w:rFonts w:hint="eastAsia" w:ascii="Times New Roman" w:hAnsi="Times New Roman" w:eastAsia="宋体"/>
                <w:b/>
                <w:bCs/>
                <w:sz w:val="24"/>
                <w:szCs w:val="24"/>
              </w:rPr>
              <w:t>m</w:t>
            </w:r>
            <w:r>
              <w:rPr>
                <w:rFonts w:hint="eastAsia" w:ascii="Times New Roman" w:hAnsi="Times New Roman" w:eastAsia="宋体"/>
                <w:b/>
                <w:bCs/>
                <w:sz w:val="24"/>
                <w:szCs w:val="24"/>
                <w:vertAlign w:val="superscript"/>
              </w:rPr>
              <w:t>3</w:t>
            </w:r>
          </w:p>
          <w:tbl>
            <w:tblPr>
              <w:tblStyle w:val="3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80"/>
              <w:gridCol w:w="977"/>
              <w:gridCol w:w="3150"/>
              <w:gridCol w:w="21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922" w:type="dxa"/>
                  <w:noWrap w:val="0"/>
                  <w:vAlign w:val="center"/>
                </w:tcPr>
                <w:p>
                  <w:pPr>
                    <w:snapToGrid w:val="0"/>
                    <w:jc w:val="center"/>
                    <w:rPr>
                      <w:rFonts w:ascii="宋体" w:hAnsi="宋体" w:eastAsia="宋体"/>
                      <w:b/>
                      <w:szCs w:val="21"/>
                    </w:rPr>
                  </w:pPr>
                  <w:r>
                    <w:rPr>
                      <w:rFonts w:ascii="宋体" w:hAnsi="宋体" w:eastAsia="宋体"/>
                      <w:b/>
                      <w:szCs w:val="21"/>
                    </w:rPr>
                    <w:t>污染物</w:t>
                  </w:r>
                </w:p>
              </w:tc>
              <w:tc>
                <w:tcPr>
                  <w:tcW w:w="1015" w:type="dxa"/>
                  <w:noWrap w:val="0"/>
                  <w:vAlign w:val="center"/>
                </w:tcPr>
                <w:p>
                  <w:pPr>
                    <w:snapToGrid w:val="0"/>
                    <w:jc w:val="center"/>
                    <w:rPr>
                      <w:rFonts w:ascii="宋体" w:hAnsi="宋体" w:eastAsia="宋体"/>
                      <w:b/>
                      <w:szCs w:val="21"/>
                    </w:rPr>
                  </w:pPr>
                  <w:r>
                    <w:rPr>
                      <w:rFonts w:hint="eastAsia" w:ascii="宋体" w:hAnsi="宋体" w:eastAsia="宋体"/>
                      <w:b/>
                      <w:szCs w:val="21"/>
                    </w:rPr>
                    <w:t>限值</w:t>
                  </w:r>
                </w:p>
              </w:tc>
              <w:tc>
                <w:tcPr>
                  <w:tcW w:w="3337" w:type="dxa"/>
                  <w:noWrap w:val="0"/>
                  <w:vAlign w:val="center"/>
                </w:tcPr>
                <w:p>
                  <w:pPr>
                    <w:snapToGrid w:val="0"/>
                    <w:jc w:val="center"/>
                    <w:rPr>
                      <w:rFonts w:ascii="宋体" w:hAnsi="宋体" w:eastAsia="宋体"/>
                      <w:b/>
                      <w:szCs w:val="21"/>
                    </w:rPr>
                  </w:pPr>
                  <w:r>
                    <w:rPr>
                      <w:rFonts w:hint="eastAsia" w:ascii="宋体" w:hAnsi="宋体" w:eastAsia="宋体"/>
                      <w:b/>
                      <w:szCs w:val="21"/>
                    </w:rPr>
                    <w:t>限值</w:t>
                  </w:r>
                  <w:r>
                    <w:rPr>
                      <w:rFonts w:ascii="宋体" w:hAnsi="宋体" w:eastAsia="宋体"/>
                      <w:b/>
                      <w:szCs w:val="21"/>
                    </w:rPr>
                    <w:t>含义</w:t>
                  </w:r>
                </w:p>
              </w:tc>
              <w:tc>
                <w:tcPr>
                  <w:tcW w:w="2269" w:type="dxa"/>
                  <w:noWrap w:val="0"/>
                  <w:vAlign w:val="center"/>
                </w:tcPr>
                <w:p>
                  <w:pPr>
                    <w:snapToGrid w:val="0"/>
                    <w:jc w:val="center"/>
                    <w:rPr>
                      <w:rFonts w:ascii="宋体" w:hAnsi="宋体" w:eastAsia="宋体"/>
                      <w:b/>
                      <w:szCs w:val="21"/>
                    </w:rPr>
                  </w:pPr>
                  <w:r>
                    <w:rPr>
                      <w:rFonts w:hint="eastAsia" w:ascii="宋体" w:hAnsi="宋体" w:eastAsia="宋体"/>
                      <w:b/>
                      <w:szCs w:val="21"/>
                    </w:rPr>
                    <w:t>无组织排放监控位置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922" w:type="dxa"/>
                  <w:vMerge w:val="restart"/>
                  <w:noWrap w:val="0"/>
                  <w:vAlign w:val="center"/>
                </w:tcPr>
                <w:p>
                  <w:pPr>
                    <w:snapToGrid w:val="0"/>
                    <w:jc w:val="center"/>
                    <w:rPr>
                      <w:rFonts w:ascii="宋体" w:hAnsi="宋体" w:eastAsia="宋体"/>
                      <w:szCs w:val="21"/>
                    </w:rPr>
                  </w:pPr>
                  <w:r>
                    <w:rPr>
                      <w:rFonts w:ascii="宋体" w:hAnsi="宋体" w:eastAsia="宋体"/>
                      <w:szCs w:val="21"/>
                    </w:rPr>
                    <w:t>非甲烷总烃</w:t>
                  </w:r>
                  <w:r>
                    <w:rPr>
                      <w:rFonts w:hint="eastAsia" w:ascii="宋体" w:hAnsi="宋体" w:eastAsia="宋体"/>
                      <w:szCs w:val="21"/>
                    </w:rPr>
                    <w:t>（</w:t>
                  </w:r>
                  <w:r>
                    <w:rPr>
                      <w:rFonts w:hint="eastAsia" w:ascii="Times New Roman" w:hAnsi="Times New Roman" w:eastAsia="宋体"/>
                      <w:szCs w:val="21"/>
                    </w:rPr>
                    <w:t>NMHC</w:t>
                  </w:r>
                  <w:r>
                    <w:rPr>
                      <w:rFonts w:hint="eastAsia" w:ascii="宋体" w:hAnsi="宋体" w:eastAsia="宋体"/>
                      <w:szCs w:val="21"/>
                    </w:rPr>
                    <w:t>）</w:t>
                  </w:r>
                </w:p>
              </w:tc>
              <w:tc>
                <w:tcPr>
                  <w:tcW w:w="1015" w:type="dxa"/>
                  <w:noWrap w:val="0"/>
                  <w:vAlign w:val="center"/>
                </w:tcPr>
                <w:p>
                  <w:pPr>
                    <w:snapToGrid w:val="0"/>
                    <w:jc w:val="center"/>
                    <w:rPr>
                      <w:rFonts w:ascii="宋体" w:hAnsi="宋体" w:eastAsia="宋体"/>
                      <w:szCs w:val="21"/>
                    </w:rPr>
                  </w:pPr>
                  <w:r>
                    <w:rPr>
                      <w:rFonts w:ascii="Times New Roman" w:hAnsi="Times New Roman" w:eastAsia="宋体"/>
                      <w:szCs w:val="21"/>
                    </w:rPr>
                    <w:t>6</w:t>
                  </w:r>
                </w:p>
              </w:tc>
              <w:tc>
                <w:tcPr>
                  <w:tcW w:w="3337" w:type="dxa"/>
                  <w:noWrap w:val="0"/>
                  <w:vAlign w:val="center"/>
                </w:tcPr>
                <w:p>
                  <w:pPr>
                    <w:snapToGrid w:val="0"/>
                    <w:jc w:val="center"/>
                    <w:rPr>
                      <w:rFonts w:ascii="宋体" w:hAnsi="宋体" w:eastAsia="宋体"/>
                      <w:szCs w:val="21"/>
                    </w:rPr>
                  </w:pPr>
                  <w:r>
                    <w:rPr>
                      <w:rFonts w:hint="eastAsia" w:ascii="宋体" w:hAnsi="宋体" w:eastAsia="宋体"/>
                      <w:szCs w:val="21"/>
                    </w:rPr>
                    <w:t>监控点处</w:t>
                  </w:r>
                  <w:r>
                    <w:rPr>
                      <w:rFonts w:hint="eastAsia" w:ascii="Times New Roman" w:hAnsi="Times New Roman" w:eastAsia="宋体"/>
                      <w:szCs w:val="21"/>
                    </w:rPr>
                    <w:t>1</w:t>
                  </w:r>
                  <w:r>
                    <w:rPr>
                      <w:rFonts w:hint="eastAsia" w:ascii="宋体" w:hAnsi="宋体" w:eastAsia="宋体"/>
                      <w:szCs w:val="21"/>
                    </w:rPr>
                    <w:t>小时平均浓度限值</w:t>
                  </w:r>
                </w:p>
              </w:tc>
              <w:tc>
                <w:tcPr>
                  <w:tcW w:w="2269" w:type="dxa"/>
                  <w:vMerge w:val="restart"/>
                  <w:noWrap w:val="0"/>
                  <w:vAlign w:val="center"/>
                </w:tcPr>
                <w:p>
                  <w:pPr>
                    <w:snapToGrid w:val="0"/>
                    <w:jc w:val="center"/>
                    <w:rPr>
                      <w:rFonts w:ascii="宋体" w:hAnsi="宋体" w:eastAsia="宋体"/>
                      <w:szCs w:val="21"/>
                    </w:rPr>
                  </w:pPr>
                  <w:r>
                    <w:rPr>
                      <w:rFonts w:hint="eastAsia" w:ascii="宋体" w:hAnsi="宋体" w:eastAsia="宋体"/>
                      <w:szCs w:val="21"/>
                    </w:rPr>
                    <w:t>在厂房外设置监控点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922" w:type="dxa"/>
                  <w:vMerge w:val="continue"/>
                  <w:noWrap w:val="0"/>
                  <w:vAlign w:val="center"/>
                </w:tcPr>
                <w:p>
                  <w:pPr>
                    <w:snapToGrid w:val="0"/>
                    <w:jc w:val="center"/>
                    <w:rPr>
                      <w:rFonts w:ascii="宋体" w:hAnsi="宋体" w:eastAsia="宋体"/>
                      <w:szCs w:val="21"/>
                    </w:rPr>
                  </w:pPr>
                </w:p>
              </w:tc>
              <w:tc>
                <w:tcPr>
                  <w:tcW w:w="1015" w:type="dxa"/>
                  <w:noWrap w:val="0"/>
                  <w:vAlign w:val="center"/>
                </w:tcPr>
                <w:p>
                  <w:pPr>
                    <w:snapToGrid w:val="0"/>
                    <w:jc w:val="center"/>
                    <w:rPr>
                      <w:rFonts w:ascii="宋体" w:hAnsi="宋体" w:eastAsia="宋体"/>
                      <w:szCs w:val="21"/>
                    </w:rPr>
                  </w:pPr>
                  <w:r>
                    <w:rPr>
                      <w:rFonts w:ascii="Times New Roman" w:hAnsi="Times New Roman" w:eastAsia="宋体"/>
                      <w:szCs w:val="21"/>
                    </w:rPr>
                    <w:t>20</w:t>
                  </w:r>
                </w:p>
              </w:tc>
              <w:tc>
                <w:tcPr>
                  <w:tcW w:w="3337" w:type="dxa"/>
                  <w:noWrap w:val="0"/>
                  <w:vAlign w:val="center"/>
                </w:tcPr>
                <w:p>
                  <w:pPr>
                    <w:snapToGrid w:val="0"/>
                    <w:jc w:val="center"/>
                    <w:rPr>
                      <w:rFonts w:ascii="宋体" w:hAnsi="宋体" w:eastAsia="宋体"/>
                      <w:szCs w:val="21"/>
                    </w:rPr>
                  </w:pPr>
                  <w:r>
                    <w:rPr>
                      <w:rFonts w:hint="eastAsia" w:ascii="宋体" w:hAnsi="宋体" w:eastAsia="宋体"/>
                      <w:szCs w:val="21"/>
                    </w:rPr>
                    <w:t>监控点处任意一次浓度值</w:t>
                  </w:r>
                </w:p>
              </w:tc>
              <w:tc>
                <w:tcPr>
                  <w:tcW w:w="2269" w:type="dxa"/>
                  <w:vMerge w:val="continue"/>
                  <w:noWrap w:val="0"/>
                  <w:vAlign w:val="center"/>
                </w:tcPr>
                <w:p>
                  <w:pPr>
                    <w:snapToGrid w:val="0"/>
                    <w:jc w:val="center"/>
                    <w:rPr>
                      <w:rFonts w:ascii="宋体" w:hAnsi="宋体" w:eastAsia="宋体"/>
                      <w:szCs w:val="21"/>
                    </w:rPr>
                  </w:pPr>
                </w:p>
              </w:tc>
            </w:tr>
          </w:tbl>
          <w:p>
            <w:pPr>
              <w:adjustRightInd w:val="0"/>
              <w:snapToGrid w:val="0"/>
              <w:spacing w:line="360" w:lineRule="auto"/>
              <w:rPr>
                <w:rFonts w:hint="eastAsia"/>
                <w:bCs/>
                <w:snapToGrid w:val="0"/>
                <w:kern w:val="0"/>
                <w:sz w:val="24"/>
              </w:rPr>
            </w:pPr>
          </w:p>
          <w:p>
            <w:pPr>
              <w:adjustRightInd w:val="0"/>
              <w:snapToGrid w:val="0"/>
              <w:spacing w:line="360" w:lineRule="auto"/>
              <w:ind w:firstLine="480" w:firstLineChars="200"/>
              <w:rPr>
                <w:bCs/>
                <w:snapToGrid w:val="0"/>
                <w:kern w:val="0"/>
                <w:sz w:val="24"/>
              </w:rPr>
            </w:pPr>
            <w:r>
              <w:rPr>
                <w:rFonts w:hint="eastAsia"/>
                <w:bCs/>
                <w:snapToGrid w:val="0"/>
                <w:kern w:val="0"/>
                <w:sz w:val="24"/>
              </w:rPr>
              <w:t>（</w:t>
            </w:r>
            <w:r>
              <w:rPr>
                <w:bCs/>
                <w:snapToGrid w:val="0"/>
                <w:kern w:val="0"/>
                <w:sz w:val="24"/>
              </w:rPr>
              <w:t>3</w:t>
            </w:r>
            <w:r>
              <w:rPr>
                <w:rFonts w:hint="eastAsia"/>
                <w:bCs/>
                <w:snapToGrid w:val="0"/>
                <w:kern w:val="0"/>
                <w:sz w:val="24"/>
              </w:rPr>
              <w:t>）噪声</w:t>
            </w:r>
          </w:p>
          <w:p>
            <w:pPr>
              <w:adjustRightInd w:val="0"/>
              <w:snapToGrid w:val="0"/>
              <w:spacing w:line="360" w:lineRule="auto"/>
              <w:ind w:firstLine="480" w:firstLineChars="200"/>
              <w:rPr>
                <w:sz w:val="24"/>
              </w:rPr>
            </w:pPr>
            <w:r>
              <w:rPr>
                <w:rFonts w:hint="eastAsia"/>
                <w:sz w:val="24"/>
              </w:rPr>
              <w:t>本项目营运期厂界噪声执行《工业企业厂界环境噪声排放标准》(GB12348-2008)表1中厂界外声环境功能区</w:t>
            </w:r>
            <w:r>
              <w:rPr>
                <w:rFonts w:hint="eastAsia"/>
                <w:sz w:val="24"/>
                <w:lang w:val="en-US" w:eastAsia="zh-CN"/>
              </w:rPr>
              <w:t>2</w:t>
            </w:r>
            <w:r>
              <w:rPr>
                <w:rFonts w:hint="eastAsia"/>
                <w:sz w:val="24"/>
              </w:rPr>
              <w:t>类标准：昼间噪声≤</w:t>
            </w:r>
            <w:r>
              <w:rPr>
                <w:rFonts w:hint="eastAsia"/>
                <w:sz w:val="24"/>
                <w:lang w:val="en-US" w:eastAsia="zh-CN"/>
              </w:rPr>
              <w:t>60</w:t>
            </w:r>
            <w:r>
              <w:rPr>
                <w:rFonts w:hint="eastAsia"/>
                <w:sz w:val="24"/>
              </w:rPr>
              <w:t>dB(A)，</w:t>
            </w:r>
            <w:r>
              <w:rPr>
                <w:rFonts w:hint="eastAsia"/>
                <w:sz w:val="24"/>
                <w:lang w:eastAsia="zh-CN"/>
              </w:rPr>
              <w:t>夜间</w:t>
            </w:r>
            <w:r>
              <w:rPr>
                <w:rFonts w:hint="eastAsia"/>
                <w:sz w:val="24"/>
              </w:rPr>
              <w:t>噪声≤</w:t>
            </w:r>
            <w:r>
              <w:rPr>
                <w:rFonts w:hint="eastAsia"/>
                <w:sz w:val="24"/>
                <w:lang w:val="en-US" w:eastAsia="zh-CN"/>
              </w:rPr>
              <w:t>50</w:t>
            </w:r>
            <w:r>
              <w:rPr>
                <w:rFonts w:hint="eastAsia"/>
                <w:sz w:val="24"/>
              </w:rPr>
              <w:t>dB(A)</w:t>
            </w:r>
            <w:r>
              <w:rPr>
                <w:sz w:val="24"/>
              </w:rPr>
              <w:t>。</w:t>
            </w:r>
          </w:p>
          <w:p>
            <w:pPr>
              <w:adjustRightInd w:val="0"/>
              <w:snapToGrid w:val="0"/>
              <w:spacing w:line="360" w:lineRule="auto"/>
              <w:ind w:firstLine="480" w:firstLineChars="200"/>
              <w:rPr>
                <w:color w:val="000000"/>
                <w:sz w:val="24"/>
              </w:rPr>
            </w:pPr>
            <w:r>
              <w:rPr>
                <w:rFonts w:hint="eastAsia"/>
                <w:color w:val="000000"/>
                <w:sz w:val="24"/>
              </w:rPr>
              <w:t>（4）固废</w:t>
            </w:r>
          </w:p>
          <w:p>
            <w:pPr>
              <w:adjustRightInd w:val="0"/>
              <w:snapToGrid w:val="0"/>
              <w:spacing w:line="360" w:lineRule="auto"/>
              <w:ind w:firstLine="480" w:firstLineChars="200"/>
              <w:rPr>
                <w:sz w:val="24"/>
              </w:rPr>
            </w:pPr>
            <w:r>
              <w:rPr>
                <w:rFonts w:hint="eastAsia"/>
                <w:sz w:val="24"/>
              </w:rPr>
              <w:t>本项目项目所产生的固废应执行以下标准：</w:t>
            </w:r>
          </w:p>
          <w:p>
            <w:pPr>
              <w:adjustRightInd w:val="0"/>
              <w:snapToGrid w:val="0"/>
              <w:spacing w:line="360" w:lineRule="auto"/>
              <w:ind w:firstLine="480" w:firstLineChars="200"/>
              <w:rPr>
                <w:sz w:val="24"/>
              </w:rPr>
            </w:pPr>
            <w:r>
              <w:rPr>
                <w:sz w:val="24"/>
              </w:rPr>
              <w:t>《一般工业固体废物贮存和填埋污染控制标准 》（GB18599-2020）</w:t>
            </w:r>
          </w:p>
          <w:p>
            <w:pPr>
              <w:adjustRightInd w:val="0"/>
              <w:snapToGrid w:val="0"/>
              <w:spacing w:line="360" w:lineRule="auto"/>
              <w:ind w:firstLine="480" w:firstLineChars="200"/>
              <w:rPr>
                <w:rFonts w:ascii="宋体" w:hAnsi="宋体" w:cs="宋体"/>
                <w:kern w:val="0"/>
                <w:szCs w:val="21"/>
              </w:rPr>
            </w:pPr>
            <w:r>
              <w:rPr>
                <w:rFonts w:hint="eastAsia"/>
                <w:sz w:val="24"/>
              </w:rPr>
              <w:t>危险固废的暂存场所执行《危险废物贮存污染控制标准》（GB18597-2001）及其修改单。同时应按照《关于印发江苏省危险废物贮存规范化管理专项整治行动方案的通知》（苏环办〔2019〕149号）、《省生态环境厅关于进一步加强危险废物污染防治工作的实施意见》（苏环办〔2019〕327号）要求进行危废的暂存和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vAlign w:val="center"/>
          </w:tcPr>
          <w:p>
            <w:pPr>
              <w:adjustRightInd w:val="0"/>
              <w:snapToGrid w:val="0"/>
              <w:jc w:val="center"/>
              <w:rPr>
                <w:rFonts w:ascii="宋体" w:hAnsi="宋体" w:cs="宋体"/>
                <w:b/>
                <w:kern w:val="0"/>
                <w:sz w:val="24"/>
              </w:rPr>
            </w:pPr>
            <w:r>
              <w:rPr>
                <w:rFonts w:hint="eastAsia" w:ascii="宋体" w:hAnsi="宋体" w:cs="宋体"/>
                <w:b/>
                <w:kern w:val="0"/>
                <w:sz w:val="24"/>
              </w:rPr>
              <w:t>总量</w:t>
            </w:r>
          </w:p>
          <w:p>
            <w:pPr>
              <w:adjustRightInd w:val="0"/>
              <w:snapToGrid w:val="0"/>
              <w:jc w:val="center"/>
              <w:rPr>
                <w:rFonts w:ascii="宋体" w:hAnsi="宋体" w:cs="宋体"/>
                <w:b/>
                <w:kern w:val="0"/>
                <w:sz w:val="24"/>
              </w:rPr>
            </w:pPr>
            <w:r>
              <w:rPr>
                <w:rFonts w:hint="eastAsia" w:ascii="宋体" w:hAnsi="宋体" w:cs="宋体"/>
                <w:b/>
                <w:kern w:val="0"/>
                <w:sz w:val="24"/>
              </w:rPr>
              <w:t>控制</w:t>
            </w:r>
          </w:p>
          <w:p>
            <w:pPr>
              <w:adjustRightInd w:val="0"/>
              <w:snapToGrid w:val="0"/>
              <w:jc w:val="center"/>
              <w:rPr>
                <w:rFonts w:ascii="宋体" w:hAnsi="宋体" w:cs="宋体"/>
                <w:b/>
                <w:kern w:val="0"/>
                <w:sz w:val="24"/>
              </w:rPr>
            </w:pPr>
            <w:r>
              <w:rPr>
                <w:rFonts w:hint="eastAsia" w:ascii="宋体" w:hAnsi="宋体" w:cs="宋体"/>
                <w:b/>
                <w:kern w:val="0"/>
                <w:sz w:val="24"/>
              </w:rPr>
              <w:t>指标</w:t>
            </w:r>
          </w:p>
        </w:tc>
        <w:tc>
          <w:tcPr>
            <w:tcW w:w="8190" w:type="dxa"/>
            <w:vAlign w:val="center"/>
          </w:tcPr>
          <w:p>
            <w:pPr>
              <w:adjustRightInd w:val="0"/>
              <w:snapToGrid w:val="0"/>
              <w:spacing w:line="360" w:lineRule="auto"/>
              <w:ind w:firstLine="480" w:firstLineChars="200"/>
              <w:rPr>
                <w:rFonts w:cs="宋体"/>
                <w:sz w:val="24"/>
              </w:rPr>
            </w:pPr>
            <w:r>
              <w:rPr>
                <w:rFonts w:hint="eastAsia" w:cs="宋体"/>
                <w:sz w:val="24"/>
              </w:rPr>
              <w:t>本项目选址所在区域属于</w:t>
            </w:r>
            <w:r>
              <w:rPr>
                <w:rFonts w:hint="eastAsia" w:cs="宋体"/>
                <w:sz w:val="24"/>
                <w:lang w:eastAsia="zh-CN"/>
              </w:rPr>
              <w:t>“</w:t>
            </w:r>
            <w:r>
              <w:rPr>
                <w:rFonts w:hint="eastAsia" w:cs="宋体"/>
                <w:sz w:val="24"/>
              </w:rPr>
              <w:t>双控区</w:t>
            </w:r>
            <w:r>
              <w:rPr>
                <w:rFonts w:hint="eastAsia" w:cs="宋体"/>
                <w:sz w:val="24"/>
                <w:lang w:eastAsia="zh-CN"/>
              </w:rPr>
              <w:t>“</w:t>
            </w:r>
            <w:r>
              <w:rPr>
                <w:rFonts w:hint="eastAsia" w:cs="宋体"/>
                <w:sz w:val="24"/>
              </w:rPr>
              <w:t>和太湖流域，本</w:t>
            </w:r>
            <w:r>
              <w:rPr>
                <w:rFonts w:hint="eastAsia"/>
                <w:sz w:val="24"/>
              </w:rPr>
              <w:t>项目位于宜兴市</w:t>
            </w:r>
            <w:r>
              <w:rPr>
                <w:rFonts w:hint="eastAsia"/>
                <w:sz w:val="24"/>
                <w:lang w:eastAsia="zh-CN"/>
              </w:rPr>
              <w:t>高塍镇工业集中区</w:t>
            </w:r>
            <w:r>
              <w:rPr>
                <w:rFonts w:hint="eastAsia" w:cs="宋体"/>
                <w:sz w:val="24"/>
              </w:rPr>
              <w:t>，属于太湖流域水污染防治</w:t>
            </w:r>
            <w:r>
              <w:rPr>
                <w:rFonts w:hint="eastAsia" w:cs="宋体"/>
                <w:sz w:val="24"/>
                <w:lang w:eastAsia="zh-CN"/>
              </w:rPr>
              <w:t>二</w:t>
            </w:r>
            <w:r>
              <w:rPr>
                <w:rFonts w:hint="eastAsia" w:cs="宋体"/>
                <w:sz w:val="24"/>
              </w:rPr>
              <w:t>级保护区。</w:t>
            </w:r>
          </w:p>
          <w:p>
            <w:pPr>
              <w:tabs>
                <w:tab w:val="left" w:pos="7114"/>
                <w:tab w:val="left" w:pos="7324"/>
              </w:tabs>
              <w:spacing w:before="50"/>
              <w:jc w:val="center"/>
              <w:rPr>
                <w:b/>
                <w:color w:val="auto"/>
                <w:sz w:val="24"/>
                <w:szCs w:val="20"/>
                <w:highlight w:val="none"/>
              </w:rPr>
            </w:pPr>
            <w:r>
              <w:rPr>
                <w:b/>
                <w:bCs/>
                <w:snapToGrid w:val="0"/>
                <w:color w:val="auto"/>
                <w:spacing w:val="-6"/>
                <w:kern w:val="0"/>
                <w:sz w:val="24"/>
                <w:highlight w:val="none"/>
              </w:rPr>
              <w:t>表</w:t>
            </w:r>
            <w:r>
              <w:rPr>
                <w:rFonts w:hint="eastAsia"/>
                <w:b/>
                <w:bCs/>
                <w:snapToGrid w:val="0"/>
                <w:color w:val="auto"/>
                <w:spacing w:val="-6"/>
                <w:kern w:val="0"/>
                <w:sz w:val="24"/>
                <w:highlight w:val="none"/>
              </w:rPr>
              <w:t>3-</w:t>
            </w:r>
            <w:r>
              <w:rPr>
                <w:rFonts w:hint="eastAsia"/>
                <w:b/>
                <w:bCs/>
                <w:snapToGrid w:val="0"/>
                <w:color w:val="auto"/>
                <w:spacing w:val="-6"/>
                <w:kern w:val="0"/>
                <w:sz w:val="24"/>
                <w:highlight w:val="none"/>
                <w:lang w:val="en-US" w:eastAsia="zh-CN"/>
              </w:rPr>
              <w:t>11</w:t>
            </w:r>
            <w:r>
              <w:rPr>
                <w:rFonts w:hint="eastAsia"/>
                <w:b/>
                <w:bCs/>
                <w:snapToGrid w:val="0"/>
                <w:color w:val="auto"/>
                <w:spacing w:val="-6"/>
                <w:kern w:val="0"/>
                <w:sz w:val="24"/>
                <w:highlight w:val="none"/>
              </w:rPr>
              <w:t>本</w:t>
            </w:r>
            <w:r>
              <w:rPr>
                <w:b/>
                <w:color w:val="auto"/>
                <w:sz w:val="24"/>
                <w:szCs w:val="20"/>
                <w:highlight w:val="none"/>
              </w:rPr>
              <w:t>项目污染物排放总量指标（t/a）</w:t>
            </w:r>
          </w:p>
          <w:tbl>
            <w:tblPr>
              <w:tblStyle w:val="36"/>
              <w:tblW w:w="7950" w:type="dxa"/>
              <w:tblInd w:w="71"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15" w:type="dxa"/>
                <w:left w:w="15" w:type="dxa"/>
                <w:bottom w:w="15" w:type="dxa"/>
                <w:right w:w="15" w:type="dxa"/>
              </w:tblCellMar>
            </w:tblPr>
            <w:tblGrid>
              <w:gridCol w:w="585"/>
              <w:gridCol w:w="1320"/>
              <w:gridCol w:w="1373"/>
              <w:gridCol w:w="1134"/>
              <w:gridCol w:w="1133"/>
              <w:gridCol w:w="1134"/>
              <w:gridCol w:w="127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611" w:hRule="exact"/>
              </w:trPr>
              <w:tc>
                <w:tcPr>
                  <w:tcW w:w="1905" w:type="dxa"/>
                  <w:gridSpan w:val="2"/>
                  <w:vAlign w:val="center"/>
                </w:tcPr>
                <w:p>
                  <w:pPr>
                    <w:widowControl/>
                    <w:jc w:val="center"/>
                    <w:textAlignment w:val="center"/>
                    <w:rPr>
                      <w:b/>
                      <w:bCs/>
                      <w:color w:val="auto"/>
                      <w:szCs w:val="21"/>
                      <w:highlight w:val="none"/>
                    </w:rPr>
                  </w:pPr>
                  <w:r>
                    <w:rPr>
                      <w:b/>
                      <w:bCs/>
                      <w:color w:val="auto"/>
                      <w:kern w:val="0"/>
                      <w:szCs w:val="21"/>
                      <w:highlight w:val="none"/>
                    </w:rPr>
                    <w:t>类别</w:t>
                  </w:r>
                </w:p>
              </w:tc>
              <w:tc>
                <w:tcPr>
                  <w:tcW w:w="1373" w:type="dxa"/>
                  <w:vAlign w:val="center"/>
                </w:tcPr>
                <w:p>
                  <w:pPr>
                    <w:widowControl/>
                    <w:jc w:val="center"/>
                    <w:textAlignment w:val="center"/>
                    <w:rPr>
                      <w:b/>
                      <w:bCs/>
                      <w:color w:val="auto"/>
                      <w:szCs w:val="21"/>
                      <w:highlight w:val="none"/>
                    </w:rPr>
                  </w:pPr>
                  <w:r>
                    <w:rPr>
                      <w:b/>
                      <w:bCs/>
                      <w:color w:val="auto"/>
                      <w:kern w:val="0"/>
                      <w:szCs w:val="21"/>
                      <w:highlight w:val="none"/>
                    </w:rPr>
                    <w:t>污染物</w:t>
                  </w:r>
                </w:p>
              </w:tc>
              <w:tc>
                <w:tcPr>
                  <w:tcW w:w="1134" w:type="dxa"/>
                  <w:vAlign w:val="center"/>
                </w:tcPr>
                <w:p>
                  <w:pPr>
                    <w:widowControl/>
                    <w:jc w:val="center"/>
                    <w:textAlignment w:val="center"/>
                    <w:rPr>
                      <w:b/>
                      <w:bCs/>
                      <w:color w:val="auto"/>
                      <w:szCs w:val="21"/>
                      <w:highlight w:val="none"/>
                    </w:rPr>
                  </w:pPr>
                  <w:r>
                    <w:rPr>
                      <w:b/>
                      <w:bCs/>
                      <w:color w:val="auto"/>
                      <w:kern w:val="0"/>
                      <w:szCs w:val="21"/>
                      <w:highlight w:val="none"/>
                    </w:rPr>
                    <w:t>产生量（t/a）</w:t>
                  </w:r>
                </w:p>
              </w:tc>
              <w:tc>
                <w:tcPr>
                  <w:tcW w:w="1133" w:type="dxa"/>
                  <w:vAlign w:val="center"/>
                </w:tcPr>
                <w:p>
                  <w:pPr>
                    <w:widowControl/>
                    <w:jc w:val="center"/>
                    <w:textAlignment w:val="center"/>
                    <w:rPr>
                      <w:b/>
                      <w:bCs/>
                      <w:color w:val="auto"/>
                      <w:szCs w:val="21"/>
                      <w:highlight w:val="none"/>
                    </w:rPr>
                  </w:pPr>
                  <w:r>
                    <w:rPr>
                      <w:b/>
                      <w:bCs/>
                      <w:color w:val="auto"/>
                      <w:szCs w:val="21"/>
                      <w:highlight w:val="none"/>
                    </w:rPr>
                    <w:t>削减量</w:t>
                  </w:r>
                </w:p>
                <w:p>
                  <w:pPr>
                    <w:pStyle w:val="2"/>
                    <w:jc w:val="center"/>
                    <w:rPr>
                      <w:b/>
                      <w:color w:val="auto"/>
                      <w:szCs w:val="21"/>
                      <w:highlight w:val="none"/>
                    </w:rPr>
                  </w:pPr>
                  <w:r>
                    <w:rPr>
                      <w:b/>
                      <w:color w:val="auto"/>
                      <w:szCs w:val="21"/>
                      <w:highlight w:val="none"/>
                    </w:rPr>
                    <w:t>（t/a）</w:t>
                  </w:r>
                </w:p>
              </w:tc>
              <w:tc>
                <w:tcPr>
                  <w:tcW w:w="1134" w:type="dxa"/>
                  <w:vAlign w:val="center"/>
                </w:tcPr>
                <w:p>
                  <w:pPr>
                    <w:widowControl/>
                    <w:jc w:val="center"/>
                    <w:textAlignment w:val="center"/>
                    <w:rPr>
                      <w:b/>
                      <w:bCs/>
                      <w:color w:val="auto"/>
                      <w:szCs w:val="21"/>
                      <w:highlight w:val="none"/>
                    </w:rPr>
                  </w:pPr>
                  <w:r>
                    <w:rPr>
                      <w:b/>
                      <w:bCs/>
                      <w:color w:val="auto"/>
                      <w:szCs w:val="21"/>
                      <w:highlight w:val="none"/>
                    </w:rPr>
                    <w:t>接管量</w:t>
                  </w:r>
                </w:p>
                <w:p>
                  <w:pPr>
                    <w:pStyle w:val="2"/>
                    <w:jc w:val="center"/>
                    <w:rPr>
                      <w:b/>
                      <w:color w:val="auto"/>
                      <w:szCs w:val="21"/>
                      <w:highlight w:val="none"/>
                    </w:rPr>
                  </w:pPr>
                  <w:r>
                    <w:rPr>
                      <w:b/>
                      <w:color w:val="auto"/>
                      <w:szCs w:val="21"/>
                      <w:highlight w:val="none"/>
                    </w:rPr>
                    <w:t>（t/a）</w:t>
                  </w:r>
                </w:p>
              </w:tc>
              <w:tc>
                <w:tcPr>
                  <w:tcW w:w="1271" w:type="dxa"/>
                  <w:vAlign w:val="center"/>
                </w:tcPr>
                <w:p>
                  <w:pPr>
                    <w:widowControl/>
                    <w:jc w:val="center"/>
                    <w:textAlignment w:val="center"/>
                    <w:rPr>
                      <w:b/>
                      <w:bCs/>
                      <w:color w:val="auto"/>
                      <w:szCs w:val="21"/>
                      <w:highlight w:val="none"/>
                    </w:rPr>
                  </w:pPr>
                  <w:r>
                    <w:rPr>
                      <w:b/>
                      <w:bCs/>
                      <w:color w:val="auto"/>
                      <w:szCs w:val="21"/>
                      <w:highlight w:val="none"/>
                    </w:rPr>
                    <w:t>排入环境量</w:t>
                  </w:r>
                  <w:r>
                    <w:rPr>
                      <w:b/>
                      <w:bCs/>
                      <w:color w:val="auto"/>
                      <w:kern w:val="0"/>
                      <w:szCs w:val="21"/>
                      <w:highlight w:val="none"/>
                    </w:rPr>
                    <w:t>（t/a）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585" w:type="dxa"/>
                  <w:vMerge w:val="restart"/>
                  <w:tcBorders>
                    <w:right w:val="single" w:color="auto" w:sz="4" w:space="0"/>
                  </w:tcBorders>
                  <w:vAlign w:val="center"/>
                </w:tcPr>
                <w:p>
                  <w:pPr>
                    <w:widowControl/>
                    <w:jc w:val="center"/>
                    <w:textAlignment w:val="center"/>
                    <w:rPr>
                      <w:color w:val="auto"/>
                      <w:szCs w:val="21"/>
                      <w:highlight w:val="none"/>
                    </w:rPr>
                  </w:pPr>
                  <w:r>
                    <w:rPr>
                      <w:color w:val="auto"/>
                      <w:szCs w:val="21"/>
                      <w:highlight w:val="none"/>
                    </w:rPr>
                    <w:t>废气</w:t>
                  </w:r>
                </w:p>
              </w:tc>
              <w:tc>
                <w:tcPr>
                  <w:tcW w:w="1320" w:type="dxa"/>
                  <w:tcBorders>
                    <w:left w:val="single" w:color="auto" w:sz="4" w:space="0"/>
                  </w:tcBorders>
                  <w:vAlign w:val="center"/>
                </w:tcPr>
                <w:p>
                  <w:pPr>
                    <w:widowControl/>
                    <w:jc w:val="center"/>
                    <w:textAlignment w:val="center"/>
                    <w:rPr>
                      <w:color w:val="auto"/>
                      <w:kern w:val="0"/>
                      <w:szCs w:val="21"/>
                      <w:highlight w:val="none"/>
                    </w:rPr>
                  </w:pPr>
                  <w:r>
                    <w:rPr>
                      <w:color w:val="auto"/>
                      <w:kern w:val="0"/>
                      <w:szCs w:val="21"/>
                      <w:highlight w:val="none"/>
                    </w:rPr>
                    <w:t>有组织废气</w:t>
                  </w:r>
                </w:p>
              </w:tc>
              <w:tc>
                <w:tcPr>
                  <w:tcW w:w="1373" w:type="dxa"/>
                  <w:vAlign w:val="center"/>
                </w:tcPr>
                <w:p>
                  <w:pPr>
                    <w:widowControl/>
                    <w:jc w:val="center"/>
                    <w:textAlignment w:val="top"/>
                    <w:rPr>
                      <w:rFonts w:hint="default" w:eastAsia="宋体"/>
                      <w:color w:val="auto"/>
                      <w:szCs w:val="21"/>
                      <w:highlight w:val="none"/>
                      <w:lang w:val="en-US" w:eastAsia="zh-CN"/>
                    </w:rPr>
                  </w:pPr>
                  <w:r>
                    <w:rPr>
                      <w:rFonts w:hint="eastAsia"/>
                      <w:color w:val="auto"/>
                      <w:szCs w:val="21"/>
                      <w:highlight w:val="none"/>
                      <w:lang w:val="en-US" w:eastAsia="zh-CN"/>
                    </w:rPr>
                    <w:t>VOCs</w:t>
                  </w:r>
                </w:p>
              </w:tc>
              <w:tc>
                <w:tcPr>
                  <w:tcW w:w="1134" w:type="dxa"/>
                </w:tcPr>
                <w:p>
                  <w:pPr>
                    <w:widowControl/>
                    <w:jc w:val="center"/>
                    <w:textAlignment w:val="top"/>
                    <w:rPr>
                      <w:rFonts w:hint="default" w:eastAsia="宋体"/>
                      <w:color w:val="auto"/>
                      <w:szCs w:val="21"/>
                      <w:highlight w:val="none"/>
                      <w:lang w:val="en-US" w:eastAsia="zh-CN"/>
                    </w:rPr>
                  </w:pPr>
                  <w:r>
                    <w:rPr>
                      <w:rFonts w:hint="eastAsia"/>
                      <w:color w:val="auto"/>
                      <w:szCs w:val="21"/>
                      <w:highlight w:val="none"/>
                      <w:lang w:val="en-US" w:eastAsia="zh-CN"/>
                    </w:rPr>
                    <w:t>1.208</w:t>
                  </w:r>
                </w:p>
              </w:tc>
              <w:tc>
                <w:tcPr>
                  <w:tcW w:w="1133"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0.966</w:t>
                  </w:r>
                </w:p>
              </w:tc>
              <w:tc>
                <w:tcPr>
                  <w:tcW w:w="2405" w:type="dxa"/>
                  <w:gridSpan w:val="2"/>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0.242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585" w:type="dxa"/>
                  <w:vMerge w:val="continue"/>
                  <w:tcBorders>
                    <w:right w:val="single" w:color="auto" w:sz="4" w:space="0"/>
                  </w:tcBorders>
                  <w:vAlign w:val="center"/>
                </w:tcPr>
                <w:p>
                  <w:pPr>
                    <w:widowControl/>
                    <w:jc w:val="center"/>
                    <w:textAlignment w:val="center"/>
                    <w:rPr>
                      <w:color w:val="auto"/>
                      <w:kern w:val="0"/>
                      <w:szCs w:val="21"/>
                      <w:highlight w:val="none"/>
                    </w:rPr>
                  </w:pPr>
                </w:p>
              </w:tc>
              <w:tc>
                <w:tcPr>
                  <w:tcW w:w="1320" w:type="dxa"/>
                  <w:vMerge w:val="restart"/>
                  <w:tcBorders>
                    <w:left w:val="single" w:color="auto" w:sz="4" w:space="0"/>
                  </w:tcBorders>
                  <w:vAlign w:val="center"/>
                </w:tcPr>
                <w:p>
                  <w:pPr>
                    <w:widowControl/>
                    <w:jc w:val="center"/>
                    <w:textAlignment w:val="center"/>
                    <w:rPr>
                      <w:color w:val="auto"/>
                      <w:kern w:val="0"/>
                      <w:szCs w:val="21"/>
                      <w:highlight w:val="none"/>
                    </w:rPr>
                  </w:pPr>
                  <w:r>
                    <w:rPr>
                      <w:color w:val="auto"/>
                      <w:kern w:val="0"/>
                      <w:szCs w:val="21"/>
                      <w:highlight w:val="none"/>
                    </w:rPr>
                    <w:t>无组织废气</w:t>
                  </w:r>
                </w:p>
              </w:tc>
              <w:tc>
                <w:tcPr>
                  <w:tcW w:w="1373" w:type="dxa"/>
                  <w:vAlign w:val="center"/>
                </w:tcPr>
                <w:p>
                  <w:pPr>
                    <w:widowControl/>
                    <w:jc w:val="center"/>
                    <w:textAlignment w:val="top"/>
                    <w:rPr>
                      <w:color w:val="auto"/>
                      <w:kern w:val="0"/>
                      <w:szCs w:val="21"/>
                      <w:highlight w:val="none"/>
                    </w:rPr>
                  </w:pPr>
                  <w:r>
                    <w:rPr>
                      <w:rFonts w:hint="eastAsia"/>
                      <w:color w:val="auto"/>
                      <w:szCs w:val="21"/>
                      <w:highlight w:val="none"/>
                      <w:lang w:val="en-US" w:eastAsia="zh-CN"/>
                    </w:rPr>
                    <w:t>VOCs</w:t>
                  </w:r>
                </w:p>
              </w:tc>
              <w:tc>
                <w:tcPr>
                  <w:tcW w:w="1134" w:type="dxa"/>
                </w:tcPr>
                <w:p>
                  <w:pPr>
                    <w:widowControl/>
                    <w:jc w:val="center"/>
                    <w:textAlignment w:val="top"/>
                    <w:rPr>
                      <w:rFonts w:hint="default" w:eastAsia="宋体"/>
                      <w:color w:val="auto"/>
                      <w:kern w:val="0"/>
                      <w:szCs w:val="21"/>
                      <w:highlight w:val="none"/>
                      <w:lang w:val="en-US" w:eastAsia="zh-CN"/>
                    </w:rPr>
                  </w:pPr>
                  <w:r>
                    <w:rPr>
                      <w:rFonts w:hint="eastAsia"/>
                      <w:color w:val="auto"/>
                      <w:kern w:val="0"/>
                      <w:szCs w:val="21"/>
                      <w:highlight w:val="none"/>
                      <w:lang w:val="en-US" w:eastAsia="zh-CN"/>
                    </w:rPr>
                    <w:t>0.378</w:t>
                  </w:r>
                </w:p>
              </w:tc>
              <w:tc>
                <w:tcPr>
                  <w:tcW w:w="1133" w:type="dxa"/>
                  <w:vAlign w:val="center"/>
                </w:tcPr>
                <w:p>
                  <w:pPr>
                    <w:widowControl/>
                    <w:jc w:val="center"/>
                    <w:textAlignment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0</w:t>
                  </w:r>
                </w:p>
              </w:tc>
              <w:tc>
                <w:tcPr>
                  <w:tcW w:w="2405" w:type="dxa"/>
                  <w:gridSpan w:val="2"/>
                  <w:vAlign w:val="center"/>
                </w:tcPr>
                <w:p>
                  <w:pPr>
                    <w:widowControl/>
                    <w:jc w:val="center"/>
                    <w:textAlignment w:val="top"/>
                    <w:rPr>
                      <w:rFonts w:hint="default" w:eastAsia="宋体"/>
                      <w:color w:val="auto"/>
                      <w:kern w:val="0"/>
                      <w:szCs w:val="21"/>
                      <w:highlight w:val="none"/>
                      <w:lang w:val="en-US" w:eastAsia="zh-CN"/>
                    </w:rPr>
                  </w:pPr>
                  <w:r>
                    <w:rPr>
                      <w:rFonts w:hint="eastAsia"/>
                      <w:color w:val="auto"/>
                      <w:kern w:val="0"/>
                      <w:szCs w:val="21"/>
                      <w:highlight w:val="none"/>
                      <w:lang w:val="en-US" w:eastAsia="zh-CN"/>
                    </w:rPr>
                    <w:t>0.378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74" w:hRule="atLeast"/>
              </w:trPr>
              <w:tc>
                <w:tcPr>
                  <w:tcW w:w="585" w:type="dxa"/>
                  <w:vMerge w:val="continue"/>
                  <w:tcBorders>
                    <w:right w:val="single" w:color="auto" w:sz="4" w:space="0"/>
                  </w:tcBorders>
                  <w:vAlign w:val="center"/>
                </w:tcPr>
                <w:p>
                  <w:pPr>
                    <w:widowControl/>
                    <w:jc w:val="center"/>
                    <w:textAlignment w:val="center"/>
                    <w:rPr>
                      <w:color w:val="auto"/>
                      <w:kern w:val="0"/>
                      <w:szCs w:val="21"/>
                      <w:highlight w:val="none"/>
                    </w:rPr>
                  </w:pPr>
                </w:p>
              </w:tc>
              <w:tc>
                <w:tcPr>
                  <w:tcW w:w="1320" w:type="dxa"/>
                  <w:vMerge w:val="continue"/>
                  <w:tcBorders>
                    <w:left w:val="single" w:color="auto" w:sz="4" w:space="0"/>
                  </w:tcBorders>
                  <w:vAlign w:val="center"/>
                </w:tcPr>
                <w:p>
                  <w:pPr>
                    <w:widowControl/>
                    <w:jc w:val="center"/>
                    <w:textAlignment w:val="center"/>
                    <w:rPr>
                      <w:color w:val="auto"/>
                      <w:kern w:val="0"/>
                      <w:szCs w:val="21"/>
                      <w:highlight w:val="none"/>
                    </w:rPr>
                  </w:pPr>
                </w:p>
              </w:tc>
              <w:tc>
                <w:tcPr>
                  <w:tcW w:w="1373" w:type="dxa"/>
                  <w:vAlign w:val="center"/>
                </w:tcPr>
                <w:p>
                  <w:pPr>
                    <w:widowControl/>
                    <w:jc w:val="center"/>
                    <w:textAlignment w:val="top"/>
                    <w:rPr>
                      <w:rFonts w:hint="default"/>
                      <w:color w:val="auto"/>
                      <w:szCs w:val="21"/>
                      <w:highlight w:val="none"/>
                      <w:lang w:val="en-US" w:eastAsia="zh-CN"/>
                    </w:rPr>
                  </w:pPr>
                  <w:r>
                    <w:rPr>
                      <w:rFonts w:hint="eastAsia"/>
                      <w:color w:val="auto"/>
                      <w:szCs w:val="21"/>
                      <w:highlight w:val="none"/>
                      <w:lang w:val="en-US" w:eastAsia="zh-CN"/>
                    </w:rPr>
                    <w:t>颗粒物</w:t>
                  </w:r>
                </w:p>
              </w:tc>
              <w:tc>
                <w:tcPr>
                  <w:tcW w:w="1134" w:type="dxa"/>
                </w:tcPr>
                <w:p>
                  <w:pPr>
                    <w:widowControl/>
                    <w:jc w:val="center"/>
                    <w:textAlignment w:val="top"/>
                    <w:rPr>
                      <w:rFonts w:hint="default" w:eastAsia="宋体"/>
                      <w:color w:val="auto"/>
                      <w:kern w:val="0"/>
                      <w:szCs w:val="21"/>
                      <w:highlight w:val="none"/>
                      <w:lang w:val="en-US" w:eastAsia="zh-CN"/>
                    </w:rPr>
                  </w:pPr>
                  <w:r>
                    <w:rPr>
                      <w:rFonts w:hint="eastAsia"/>
                      <w:color w:val="auto"/>
                      <w:kern w:val="0"/>
                      <w:szCs w:val="21"/>
                      <w:highlight w:val="none"/>
                      <w:lang w:val="en-US" w:eastAsia="zh-CN"/>
                    </w:rPr>
                    <w:t>1.77</w:t>
                  </w:r>
                </w:p>
              </w:tc>
              <w:tc>
                <w:tcPr>
                  <w:tcW w:w="1133" w:type="dxa"/>
                  <w:vAlign w:val="center"/>
                </w:tcPr>
                <w:p>
                  <w:pPr>
                    <w:widowControl/>
                    <w:jc w:val="center"/>
                    <w:textAlignment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1.513</w:t>
                  </w:r>
                </w:p>
              </w:tc>
              <w:tc>
                <w:tcPr>
                  <w:tcW w:w="2405" w:type="dxa"/>
                  <w:gridSpan w:val="2"/>
                  <w:vAlign w:val="center"/>
                </w:tcPr>
                <w:p>
                  <w:pPr>
                    <w:widowControl/>
                    <w:jc w:val="center"/>
                    <w:textAlignment w:val="top"/>
                    <w:rPr>
                      <w:rFonts w:hint="default" w:eastAsia="宋体"/>
                      <w:color w:val="auto"/>
                      <w:kern w:val="0"/>
                      <w:szCs w:val="21"/>
                      <w:highlight w:val="none"/>
                      <w:lang w:val="en-US" w:eastAsia="zh-CN"/>
                    </w:rPr>
                  </w:pPr>
                  <w:r>
                    <w:rPr>
                      <w:rFonts w:hint="eastAsia"/>
                      <w:color w:val="auto"/>
                      <w:kern w:val="0"/>
                      <w:szCs w:val="21"/>
                      <w:highlight w:val="none"/>
                      <w:lang w:val="en-US" w:eastAsia="zh-CN"/>
                    </w:rPr>
                    <w:t>0.257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19" w:hRule="exact"/>
              </w:trPr>
              <w:tc>
                <w:tcPr>
                  <w:tcW w:w="585" w:type="dxa"/>
                  <w:vMerge w:val="restart"/>
                  <w:tcBorders>
                    <w:right w:val="single" w:color="auto" w:sz="4" w:space="0"/>
                  </w:tcBorders>
                  <w:vAlign w:val="center"/>
                </w:tcPr>
                <w:p>
                  <w:pPr>
                    <w:widowControl/>
                    <w:jc w:val="center"/>
                    <w:textAlignment w:val="center"/>
                    <w:rPr>
                      <w:color w:val="auto"/>
                      <w:szCs w:val="21"/>
                      <w:highlight w:val="none"/>
                    </w:rPr>
                  </w:pPr>
                  <w:r>
                    <w:rPr>
                      <w:color w:val="auto"/>
                      <w:kern w:val="0"/>
                      <w:szCs w:val="21"/>
                      <w:highlight w:val="none"/>
                    </w:rPr>
                    <w:t>废水</w:t>
                  </w:r>
                </w:p>
              </w:tc>
              <w:tc>
                <w:tcPr>
                  <w:tcW w:w="1320" w:type="dxa"/>
                  <w:vMerge w:val="restart"/>
                  <w:tcBorders>
                    <w:left w:val="single" w:color="auto" w:sz="4" w:space="0"/>
                  </w:tcBorders>
                  <w:vAlign w:val="center"/>
                </w:tcPr>
                <w:p>
                  <w:pPr>
                    <w:widowControl/>
                    <w:jc w:val="center"/>
                    <w:textAlignment w:val="center"/>
                    <w:rPr>
                      <w:color w:val="auto"/>
                      <w:kern w:val="0"/>
                      <w:szCs w:val="21"/>
                      <w:highlight w:val="none"/>
                    </w:rPr>
                  </w:pPr>
                  <w:r>
                    <w:rPr>
                      <w:color w:val="auto"/>
                      <w:kern w:val="0"/>
                      <w:szCs w:val="21"/>
                      <w:highlight w:val="none"/>
                    </w:rPr>
                    <w:t>生活污水</w:t>
                  </w:r>
                </w:p>
              </w:tc>
              <w:tc>
                <w:tcPr>
                  <w:tcW w:w="1373" w:type="dxa"/>
                  <w:vAlign w:val="center"/>
                </w:tcPr>
                <w:p>
                  <w:pPr>
                    <w:widowControl/>
                    <w:jc w:val="center"/>
                    <w:textAlignment w:val="center"/>
                    <w:rPr>
                      <w:color w:val="auto"/>
                      <w:szCs w:val="21"/>
                      <w:highlight w:val="none"/>
                    </w:rPr>
                  </w:pPr>
                  <w:r>
                    <w:rPr>
                      <w:color w:val="auto"/>
                      <w:kern w:val="0"/>
                      <w:szCs w:val="21"/>
                      <w:highlight w:val="none"/>
                    </w:rPr>
                    <w:t>水量</w:t>
                  </w:r>
                </w:p>
              </w:tc>
              <w:tc>
                <w:tcPr>
                  <w:tcW w:w="1134"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1200</w:t>
                  </w:r>
                </w:p>
              </w:tc>
              <w:tc>
                <w:tcPr>
                  <w:tcW w:w="1133" w:type="dxa"/>
                  <w:vAlign w:val="center"/>
                </w:tcPr>
                <w:p>
                  <w:pPr>
                    <w:widowControl/>
                    <w:jc w:val="center"/>
                    <w:textAlignment w:val="center"/>
                    <w:rPr>
                      <w:color w:val="auto"/>
                      <w:szCs w:val="21"/>
                      <w:highlight w:val="none"/>
                    </w:rPr>
                  </w:pPr>
                  <w:r>
                    <w:rPr>
                      <w:color w:val="auto"/>
                      <w:szCs w:val="21"/>
                      <w:highlight w:val="none"/>
                    </w:rPr>
                    <w:t>0</w:t>
                  </w:r>
                </w:p>
              </w:tc>
              <w:tc>
                <w:tcPr>
                  <w:tcW w:w="1134"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1200</w:t>
                  </w:r>
                </w:p>
              </w:tc>
              <w:tc>
                <w:tcPr>
                  <w:tcW w:w="1271"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1200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62" w:hRule="exact"/>
              </w:trPr>
              <w:tc>
                <w:tcPr>
                  <w:tcW w:w="585" w:type="dxa"/>
                  <w:vMerge w:val="continue"/>
                  <w:tcBorders>
                    <w:right w:val="single" w:color="auto" w:sz="4" w:space="0"/>
                  </w:tcBorders>
                  <w:vAlign w:val="center"/>
                </w:tcPr>
                <w:p>
                  <w:pPr>
                    <w:jc w:val="center"/>
                    <w:rPr>
                      <w:color w:val="auto"/>
                      <w:szCs w:val="21"/>
                      <w:highlight w:val="none"/>
                    </w:rPr>
                  </w:pPr>
                </w:p>
              </w:tc>
              <w:tc>
                <w:tcPr>
                  <w:tcW w:w="1320" w:type="dxa"/>
                  <w:vMerge w:val="continue"/>
                  <w:tcBorders>
                    <w:left w:val="single" w:color="auto" w:sz="4" w:space="0"/>
                  </w:tcBorders>
                  <w:vAlign w:val="center"/>
                </w:tcPr>
                <w:p>
                  <w:pPr>
                    <w:jc w:val="center"/>
                    <w:rPr>
                      <w:color w:val="auto"/>
                      <w:szCs w:val="21"/>
                      <w:highlight w:val="none"/>
                    </w:rPr>
                  </w:pPr>
                </w:p>
              </w:tc>
              <w:tc>
                <w:tcPr>
                  <w:tcW w:w="1373" w:type="dxa"/>
                  <w:vAlign w:val="center"/>
                </w:tcPr>
                <w:p>
                  <w:pPr>
                    <w:widowControl/>
                    <w:jc w:val="center"/>
                    <w:textAlignment w:val="center"/>
                    <w:rPr>
                      <w:color w:val="auto"/>
                      <w:szCs w:val="21"/>
                      <w:highlight w:val="none"/>
                    </w:rPr>
                  </w:pPr>
                  <w:r>
                    <w:rPr>
                      <w:color w:val="auto"/>
                      <w:kern w:val="0"/>
                      <w:szCs w:val="21"/>
                      <w:highlight w:val="none"/>
                    </w:rPr>
                    <w:t>COD</w:t>
                  </w:r>
                </w:p>
              </w:tc>
              <w:tc>
                <w:tcPr>
                  <w:tcW w:w="1134"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0.48</w:t>
                  </w:r>
                </w:p>
              </w:tc>
              <w:tc>
                <w:tcPr>
                  <w:tcW w:w="1133" w:type="dxa"/>
                  <w:vAlign w:val="center"/>
                </w:tcPr>
                <w:p>
                  <w:pPr>
                    <w:widowControl/>
                    <w:jc w:val="center"/>
                    <w:textAlignment w:val="center"/>
                    <w:rPr>
                      <w:color w:val="auto"/>
                      <w:szCs w:val="21"/>
                      <w:highlight w:val="none"/>
                    </w:rPr>
                  </w:pPr>
                  <w:r>
                    <w:rPr>
                      <w:color w:val="auto"/>
                      <w:szCs w:val="21"/>
                      <w:highlight w:val="none"/>
                    </w:rPr>
                    <w:t>0</w:t>
                  </w:r>
                </w:p>
              </w:tc>
              <w:tc>
                <w:tcPr>
                  <w:tcW w:w="1134" w:type="dxa"/>
                  <w:vAlign w:val="center"/>
                </w:tcPr>
                <w:p>
                  <w:pPr>
                    <w:widowControl/>
                    <w:jc w:val="center"/>
                    <w:textAlignment w:val="center"/>
                    <w:rPr>
                      <w:color w:val="auto"/>
                      <w:szCs w:val="21"/>
                      <w:highlight w:val="none"/>
                    </w:rPr>
                  </w:pPr>
                  <w:r>
                    <w:rPr>
                      <w:rFonts w:hint="eastAsia"/>
                      <w:color w:val="auto"/>
                      <w:szCs w:val="21"/>
                      <w:highlight w:val="none"/>
                      <w:lang w:val="en-US" w:eastAsia="zh-CN"/>
                    </w:rPr>
                    <w:t>0.48</w:t>
                  </w:r>
                </w:p>
              </w:tc>
              <w:tc>
                <w:tcPr>
                  <w:tcW w:w="1271"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0.048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62" w:hRule="exact"/>
              </w:trPr>
              <w:tc>
                <w:tcPr>
                  <w:tcW w:w="585" w:type="dxa"/>
                  <w:vMerge w:val="continue"/>
                  <w:tcBorders>
                    <w:right w:val="single" w:color="auto" w:sz="4" w:space="0"/>
                  </w:tcBorders>
                  <w:vAlign w:val="center"/>
                </w:tcPr>
                <w:p>
                  <w:pPr>
                    <w:jc w:val="center"/>
                    <w:rPr>
                      <w:color w:val="auto"/>
                      <w:szCs w:val="21"/>
                      <w:highlight w:val="none"/>
                    </w:rPr>
                  </w:pPr>
                </w:p>
              </w:tc>
              <w:tc>
                <w:tcPr>
                  <w:tcW w:w="1320" w:type="dxa"/>
                  <w:vMerge w:val="continue"/>
                  <w:tcBorders>
                    <w:left w:val="single" w:color="auto" w:sz="4" w:space="0"/>
                  </w:tcBorders>
                  <w:vAlign w:val="center"/>
                </w:tcPr>
                <w:p>
                  <w:pPr>
                    <w:jc w:val="center"/>
                    <w:rPr>
                      <w:color w:val="auto"/>
                      <w:szCs w:val="21"/>
                      <w:highlight w:val="none"/>
                    </w:rPr>
                  </w:pPr>
                </w:p>
              </w:tc>
              <w:tc>
                <w:tcPr>
                  <w:tcW w:w="1373" w:type="dxa"/>
                  <w:vAlign w:val="center"/>
                </w:tcPr>
                <w:p>
                  <w:pPr>
                    <w:widowControl/>
                    <w:jc w:val="center"/>
                    <w:textAlignment w:val="center"/>
                    <w:rPr>
                      <w:color w:val="auto"/>
                      <w:szCs w:val="21"/>
                      <w:highlight w:val="none"/>
                    </w:rPr>
                  </w:pPr>
                  <w:r>
                    <w:rPr>
                      <w:color w:val="auto"/>
                      <w:kern w:val="0"/>
                      <w:szCs w:val="21"/>
                      <w:highlight w:val="none"/>
                    </w:rPr>
                    <w:t>SS</w:t>
                  </w:r>
                </w:p>
              </w:tc>
              <w:tc>
                <w:tcPr>
                  <w:tcW w:w="1134"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0.36</w:t>
                  </w:r>
                </w:p>
              </w:tc>
              <w:tc>
                <w:tcPr>
                  <w:tcW w:w="1133" w:type="dxa"/>
                  <w:vAlign w:val="center"/>
                </w:tcPr>
                <w:p>
                  <w:pPr>
                    <w:widowControl/>
                    <w:jc w:val="center"/>
                    <w:textAlignment w:val="center"/>
                    <w:rPr>
                      <w:color w:val="auto"/>
                      <w:szCs w:val="21"/>
                      <w:highlight w:val="none"/>
                    </w:rPr>
                  </w:pPr>
                  <w:r>
                    <w:rPr>
                      <w:color w:val="auto"/>
                      <w:szCs w:val="21"/>
                      <w:highlight w:val="none"/>
                    </w:rPr>
                    <w:t>0</w:t>
                  </w:r>
                </w:p>
              </w:tc>
              <w:tc>
                <w:tcPr>
                  <w:tcW w:w="1134" w:type="dxa"/>
                  <w:vAlign w:val="center"/>
                </w:tcPr>
                <w:p>
                  <w:pPr>
                    <w:widowControl/>
                    <w:jc w:val="center"/>
                    <w:textAlignment w:val="center"/>
                    <w:rPr>
                      <w:color w:val="auto"/>
                      <w:szCs w:val="21"/>
                      <w:highlight w:val="none"/>
                    </w:rPr>
                  </w:pPr>
                  <w:r>
                    <w:rPr>
                      <w:rFonts w:hint="eastAsia"/>
                      <w:color w:val="auto"/>
                      <w:szCs w:val="21"/>
                      <w:highlight w:val="none"/>
                      <w:lang w:val="en-US" w:eastAsia="zh-CN"/>
                    </w:rPr>
                    <w:t>0.36</w:t>
                  </w:r>
                </w:p>
              </w:tc>
              <w:tc>
                <w:tcPr>
                  <w:tcW w:w="1271"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0.012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48" w:hRule="exact"/>
              </w:trPr>
              <w:tc>
                <w:tcPr>
                  <w:tcW w:w="585" w:type="dxa"/>
                  <w:vMerge w:val="continue"/>
                  <w:tcBorders>
                    <w:right w:val="single" w:color="auto" w:sz="4" w:space="0"/>
                  </w:tcBorders>
                  <w:vAlign w:val="center"/>
                </w:tcPr>
                <w:p>
                  <w:pPr>
                    <w:jc w:val="center"/>
                    <w:rPr>
                      <w:color w:val="auto"/>
                      <w:szCs w:val="21"/>
                      <w:highlight w:val="none"/>
                    </w:rPr>
                  </w:pPr>
                </w:p>
              </w:tc>
              <w:tc>
                <w:tcPr>
                  <w:tcW w:w="1320" w:type="dxa"/>
                  <w:vMerge w:val="continue"/>
                  <w:tcBorders>
                    <w:left w:val="single" w:color="auto" w:sz="4" w:space="0"/>
                  </w:tcBorders>
                  <w:vAlign w:val="center"/>
                </w:tcPr>
                <w:p>
                  <w:pPr>
                    <w:jc w:val="center"/>
                    <w:rPr>
                      <w:color w:val="auto"/>
                      <w:szCs w:val="21"/>
                      <w:highlight w:val="none"/>
                    </w:rPr>
                  </w:pPr>
                </w:p>
              </w:tc>
              <w:tc>
                <w:tcPr>
                  <w:tcW w:w="1373" w:type="dxa"/>
                  <w:vAlign w:val="center"/>
                </w:tcPr>
                <w:p>
                  <w:pPr>
                    <w:widowControl/>
                    <w:jc w:val="center"/>
                    <w:textAlignment w:val="center"/>
                    <w:rPr>
                      <w:color w:val="auto"/>
                      <w:szCs w:val="21"/>
                      <w:highlight w:val="none"/>
                    </w:rPr>
                  </w:pPr>
                  <w:r>
                    <w:rPr>
                      <w:color w:val="auto"/>
                      <w:kern w:val="0"/>
                      <w:szCs w:val="21"/>
                      <w:highlight w:val="none"/>
                    </w:rPr>
                    <w:t>氨氮</w:t>
                  </w:r>
                </w:p>
              </w:tc>
              <w:tc>
                <w:tcPr>
                  <w:tcW w:w="1134"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0.036</w:t>
                  </w:r>
                </w:p>
              </w:tc>
              <w:tc>
                <w:tcPr>
                  <w:tcW w:w="1133" w:type="dxa"/>
                  <w:vAlign w:val="center"/>
                </w:tcPr>
                <w:p>
                  <w:pPr>
                    <w:widowControl/>
                    <w:jc w:val="center"/>
                    <w:textAlignment w:val="center"/>
                    <w:rPr>
                      <w:color w:val="auto"/>
                      <w:szCs w:val="21"/>
                      <w:highlight w:val="none"/>
                    </w:rPr>
                  </w:pPr>
                  <w:r>
                    <w:rPr>
                      <w:color w:val="auto"/>
                      <w:szCs w:val="21"/>
                      <w:highlight w:val="none"/>
                    </w:rPr>
                    <w:t>0</w:t>
                  </w:r>
                </w:p>
              </w:tc>
              <w:tc>
                <w:tcPr>
                  <w:tcW w:w="1134" w:type="dxa"/>
                  <w:vAlign w:val="center"/>
                </w:tcPr>
                <w:p>
                  <w:pPr>
                    <w:widowControl/>
                    <w:jc w:val="center"/>
                    <w:textAlignment w:val="center"/>
                    <w:rPr>
                      <w:color w:val="auto"/>
                      <w:szCs w:val="21"/>
                      <w:highlight w:val="none"/>
                    </w:rPr>
                  </w:pPr>
                  <w:r>
                    <w:rPr>
                      <w:rFonts w:hint="eastAsia"/>
                      <w:color w:val="auto"/>
                      <w:szCs w:val="21"/>
                      <w:highlight w:val="none"/>
                      <w:lang w:val="en-US" w:eastAsia="zh-CN"/>
                    </w:rPr>
                    <w:t>0.036</w:t>
                  </w:r>
                </w:p>
              </w:tc>
              <w:tc>
                <w:tcPr>
                  <w:tcW w:w="1271"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0.0036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48" w:hRule="exact"/>
              </w:trPr>
              <w:tc>
                <w:tcPr>
                  <w:tcW w:w="585" w:type="dxa"/>
                  <w:vMerge w:val="continue"/>
                  <w:tcBorders>
                    <w:right w:val="single" w:color="auto" w:sz="4" w:space="0"/>
                  </w:tcBorders>
                  <w:vAlign w:val="center"/>
                </w:tcPr>
                <w:p>
                  <w:pPr>
                    <w:jc w:val="center"/>
                    <w:rPr>
                      <w:color w:val="auto"/>
                      <w:szCs w:val="21"/>
                      <w:highlight w:val="none"/>
                    </w:rPr>
                  </w:pPr>
                </w:p>
              </w:tc>
              <w:tc>
                <w:tcPr>
                  <w:tcW w:w="1320" w:type="dxa"/>
                  <w:vMerge w:val="continue"/>
                  <w:tcBorders>
                    <w:left w:val="single" w:color="auto" w:sz="4" w:space="0"/>
                  </w:tcBorders>
                  <w:vAlign w:val="center"/>
                </w:tcPr>
                <w:p>
                  <w:pPr>
                    <w:jc w:val="center"/>
                    <w:rPr>
                      <w:color w:val="auto"/>
                      <w:szCs w:val="21"/>
                      <w:highlight w:val="none"/>
                    </w:rPr>
                  </w:pPr>
                </w:p>
              </w:tc>
              <w:tc>
                <w:tcPr>
                  <w:tcW w:w="1373" w:type="dxa"/>
                  <w:vAlign w:val="center"/>
                </w:tcPr>
                <w:p>
                  <w:pPr>
                    <w:widowControl/>
                    <w:jc w:val="center"/>
                    <w:textAlignment w:val="center"/>
                    <w:rPr>
                      <w:color w:val="auto"/>
                      <w:szCs w:val="21"/>
                      <w:highlight w:val="none"/>
                    </w:rPr>
                  </w:pPr>
                  <w:r>
                    <w:rPr>
                      <w:color w:val="auto"/>
                      <w:kern w:val="0"/>
                      <w:szCs w:val="21"/>
                      <w:highlight w:val="none"/>
                    </w:rPr>
                    <w:t>TP</w:t>
                  </w:r>
                </w:p>
              </w:tc>
              <w:tc>
                <w:tcPr>
                  <w:tcW w:w="1134"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0.006</w:t>
                  </w:r>
                </w:p>
              </w:tc>
              <w:tc>
                <w:tcPr>
                  <w:tcW w:w="1133" w:type="dxa"/>
                  <w:vAlign w:val="center"/>
                </w:tcPr>
                <w:p>
                  <w:pPr>
                    <w:widowControl/>
                    <w:jc w:val="center"/>
                    <w:textAlignment w:val="center"/>
                    <w:rPr>
                      <w:color w:val="auto"/>
                      <w:szCs w:val="21"/>
                      <w:highlight w:val="none"/>
                    </w:rPr>
                  </w:pPr>
                  <w:r>
                    <w:rPr>
                      <w:color w:val="auto"/>
                      <w:szCs w:val="21"/>
                      <w:highlight w:val="none"/>
                    </w:rPr>
                    <w:t>0</w:t>
                  </w:r>
                </w:p>
              </w:tc>
              <w:tc>
                <w:tcPr>
                  <w:tcW w:w="1134" w:type="dxa"/>
                  <w:vAlign w:val="center"/>
                </w:tcPr>
                <w:p>
                  <w:pPr>
                    <w:widowControl/>
                    <w:jc w:val="center"/>
                    <w:textAlignment w:val="center"/>
                    <w:rPr>
                      <w:color w:val="auto"/>
                      <w:szCs w:val="21"/>
                      <w:highlight w:val="none"/>
                    </w:rPr>
                  </w:pPr>
                  <w:r>
                    <w:rPr>
                      <w:rFonts w:hint="eastAsia"/>
                      <w:color w:val="auto"/>
                      <w:szCs w:val="21"/>
                      <w:highlight w:val="none"/>
                      <w:lang w:val="en-US" w:eastAsia="zh-CN"/>
                    </w:rPr>
                    <w:t>0.006</w:t>
                  </w:r>
                </w:p>
              </w:tc>
              <w:tc>
                <w:tcPr>
                  <w:tcW w:w="1271"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0.00036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48" w:hRule="exact"/>
              </w:trPr>
              <w:tc>
                <w:tcPr>
                  <w:tcW w:w="585" w:type="dxa"/>
                  <w:vMerge w:val="continue"/>
                  <w:tcBorders>
                    <w:right w:val="single" w:color="auto" w:sz="4" w:space="0"/>
                  </w:tcBorders>
                  <w:vAlign w:val="center"/>
                </w:tcPr>
                <w:p>
                  <w:pPr>
                    <w:jc w:val="center"/>
                    <w:rPr>
                      <w:color w:val="auto"/>
                      <w:szCs w:val="21"/>
                      <w:highlight w:val="none"/>
                    </w:rPr>
                  </w:pPr>
                </w:p>
              </w:tc>
              <w:tc>
                <w:tcPr>
                  <w:tcW w:w="1320" w:type="dxa"/>
                  <w:vMerge w:val="continue"/>
                  <w:tcBorders>
                    <w:left w:val="single" w:color="auto" w:sz="4" w:space="0"/>
                  </w:tcBorders>
                  <w:vAlign w:val="center"/>
                </w:tcPr>
                <w:p>
                  <w:pPr>
                    <w:jc w:val="center"/>
                    <w:rPr>
                      <w:color w:val="auto"/>
                      <w:szCs w:val="21"/>
                      <w:highlight w:val="none"/>
                    </w:rPr>
                  </w:pPr>
                </w:p>
              </w:tc>
              <w:tc>
                <w:tcPr>
                  <w:tcW w:w="1373" w:type="dxa"/>
                  <w:vAlign w:val="center"/>
                </w:tcPr>
                <w:p>
                  <w:pPr>
                    <w:widowControl/>
                    <w:jc w:val="center"/>
                    <w:textAlignment w:val="center"/>
                    <w:rPr>
                      <w:color w:val="auto"/>
                      <w:kern w:val="0"/>
                      <w:szCs w:val="21"/>
                      <w:highlight w:val="none"/>
                    </w:rPr>
                  </w:pPr>
                  <w:r>
                    <w:rPr>
                      <w:color w:val="auto"/>
                      <w:kern w:val="0"/>
                      <w:szCs w:val="21"/>
                      <w:highlight w:val="none"/>
                    </w:rPr>
                    <w:t>TN</w:t>
                  </w:r>
                </w:p>
              </w:tc>
              <w:tc>
                <w:tcPr>
                  <w:tcW w:w="1134"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0.054</w:t>
                  </w:r>
                </w:p>
              </w:tc>
              <w:tc>
                <w:tcPr>
                  <w:tcW w:w="1133" w:type="dxa"/>
                  <w:vAlign w:val="center"/>
                </w:tcPr>
                <w:p>
                  <w:pPr>
                    <w:widowControl/>
                    <w:jc w:val="center"/>
                    <w:textAlignment w:val="center"/>
                    <w:rPr>
                      <w:color w:val="auto"/>
                      <w:szCs w:val="21"/>
                      <w:highlight w:val="none"/>
                    </w:rPr>
                  </w:pPr>
                  <w:r>
                    <w:rPr>
                      <w:color w:val="auto"/>
                      <w:szCs w:val="21"/>
                      <w:highlight w:val="none"/>
                    </w:rPr>
                    <w:t>0</w:t>
                  </w:r>
                </w:p>
              </w:tc>
              <w:tc>
                <w:tcPr>
                  <w:tcW w:w="1134" w:type="dxa"/>
                  <w:vAlign w:val="center"/>
                </w:tcPr>
                <w:p>
                  <w:pPr>
                    <w:widowControl/>
                    <w:jc w:val="center"/>
                    <w:textAlignment w:val="center"/>
                    <w:rPr>
                      <w:color w:val="auto"/>
                      <w:szCs w:val="21"/>
                      <w:highlight w:val="none"/>
                    </w:rPr>
                  </w:pPr>
                  <w:r>
                    <w:rPr>
                      <w:rFonts w:hint="eastAsia"/>
                      <w:color w:val="auto"/>
                      <w:szCs w:val="21"/>
                      <w:highlight w:val="none"/>
                      <w:lang w:val="en-US" w:eastAsia="zh-CN"/>
                    </w:rPr>
                    <w:t>0.054</w:t>
                  </w:r>
                </w:p>
              </w:tc>
              <w:tc>
                <w:tcPr>
                  <w:tcW w:w="1271" w:type="dxa"/>
                  <w:vAlign w:val="center"/>
                </w:tcPr>
                <w:p>
                  <w:pPr>
                    <w:widowControl/>
                    <w:jc w:val="center"/>
                    <w:textAlignment w:val="center"/>
                    <w:rPr>
                      <w:rFonts w:hint="default" w:eastAsia="宋体"/>
                      <w:color w:val="auto"/>
                      <w:szCs w:val="21"/>
                      <w:highlight w:val="none"/>
                      <w:lang w:val="en-US" w:eastAsia="zh-CN"/>
                    </w:rPr>
                  </w:pPr>
                  <w:r>
                    <w:rPr>
                      <w:rFonts w:hint="eastAsia"/>
                      <w:color w:val="auto"/>
                      <w:szCs w:val="21"/>
                      <w:highlight w:val="none"/>
                      <w:lang w:val="en-US" w:eastAsia="zh-CN"/>
                    </w:rPr>
                    <w:t>0.012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77" w:hRule="exact"/>
              </w:trPr>
              <w:tc>
                <w:tcPr>
                  <w:tcW w:w="1905" w:type="dxa"/>
                  <w:gridSpan w:val="2"/>
                  <w:vMerge w:val="restart"/>
                  <w:vAlign w:val="center"/>
                </w:tcPr>
                <w:p>
                  <w:pPr>
                    <w:widowControl/>
                    <w:jc w:val="center"/>
                    <w:textAlignment w:val="center"/>
                    <w:rPr>
                      <w:color w:val="auto"/>
                      <w:kern w:val="0"/>
                      <w:szCs w:val="21"/>
                      <w:highlight w:val="none"/>
                    </w:rPr>
                  </w:pPr>
                  <w:r>
                    <w:rPr>
                      <w:color w:val="auto"/>
                      <w:kern w:val="0"/>
                      <w:szCs w:val="21"/>
                      <w:highlight w:val="none"/>
                    </w:rPr>
                    <w:t>固废</w:t>
                  </w:r>
                </w:p>
              </w:tc>
              <w:tc>
                <w:tcPr>
                  <w:tcW w:w="1373" w:type="dxa"/>
                  <w:vAlign w:val="center"/>
                </w:tcPr>
                <w:p>
                  <w:pPr>
                    <w:widowControl/>
                    <w:adjustRightInd w:val="0"/>
                    <w:snapToGrid w:val="0"/>
                    <w:jc w:val="center"/>
                    <w:textAlignment w:val="center"/>
                    <w:rPr>
                      <w:color w:val="auto"/>
                      <w:szCs w:val="21"/>
                      <w:highlight w:val="none"/>
                    </w:rPr>
                  </w:pPr>
                  <w:r>
                    <w:rPr>
                      <w:kern w:val="0"/>
                      <w:szCs w:val="21"/>
                      <w:lang w:bidi="ar"/>
                    </w:rPr>
                    <w:t>生活垃圾</w:t>
                  </w:r>
                </w:p>
              </w:tc>
              <w:tc>
                <w:tcPr>
                  <w:tcW w:w="1134" w:type="dxa"/>
                  <w:vAlign w:val="center"/>
                </w:tcPr>
                <w:p>
                  <w:pPr>
                    <w:widowControl/>
                    <w:jc w:val="center"/>
                    <w:textAlignment w:val="center"/>
                    <w:rPr>
                      <w:color w:val="auto"/>
                      <w:szCs w:val="21"/>
                      <w:highlight w:val="none"/>
                    </w:rPr>
                  </w:pPr>
                  <w:r>
                    <w:rPr>
                      <w:rFonts w:hint="eastAsia"/>
                      <w:color w:val="000000"/>
                      <w:szCs w:val="21"/>
                      <w:lang w:val="en-US" w:eastAsia="zh-CN"/>
                    </w:rPr>
                    <w:t>15</w:t>
                  </w:r>
                </w:p>
              </w:tc>
              <w:tc>
                <w:tcPr>
                  <w:tcW w:w="1133" w:type="dxa"/>
                  <w:vAlign w:val="center"/>
                </w:tcPr>
                <w:p>
                  <w:pPr>
                    <w:widowControl/>
                    <w:jc w:val="center"/>
                    <w:textAlignment w:val="center"/>
                    <w:rPr>
                      <w:color w:val="auto"/>
                      <w:szCs w:val="21"/>
                      <w:highlight w:val="none"/>
                    </w:rPr>
                  </w:pPr>
                  <w:r>
                    <w:rPr>
                      <w:rFonts w:hint="eastAsia"/>
                      <w:color w:val="000000"/>
                      <w:szCs w:val="21"/>
                      <w:lang w:val="en-US" w:eastAsia="zh-CN"/>
                    </w:rPr>
                    <w:t>15</w:t>
                  </w:r>
                </w:p>
              </w:tc>
              <w:tc>
                <w:tcPr>
                  <w:tcW w:w="2405" w:type="dxa"/>
                  <w:gridSpan w:val="2"/>
                  <w:vAlign w:val="center"/>
                </w:tcPr>
                <w:p>
                  <w:pPr>
                    <w:widowControl/>
                    <w:jc w:val="center"/>
                    <w:textAlignment w:val="center"/>
                    <w:rPr>
                      <w:rFonts w:hint="eastAsia"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77" w:hRule="exact"/>
              </w:trPr>
              <w:tc>
                <w:tcPr>
                  <w:tcW w:w="1905" w:type="dxa"/>
                  <w:gridSpan w:val="2"/>
                  <w:vMerge w:val="continue"/>
                  <w:vAlign w:val="center"/>
                </w:tcPr>
                <w:p>
                  <w:pPr>
                    <w:widowControl/>
                    <w:jc w:val="center"/>
                    <w:textAlignment w:val="center"/>
                    <w:rPr>
                      <w:color w:val="auto"/>
                      <w:kern w:val="0"/>
                      <w:szCs w:val="21"/>
                      <w:highlight w:val="none"/>
                    </w:rPr>
                  </w:pPr>
                </w:p>
              </w:tc>
              <w:tc>
                <w:tcPr>
                  <w:tcW w:w="1373" w:type="dxa"/>
                  <w:vAlign w:val="center"/>
                </w:tcPr>
                <w:p>
                  <w:pPr>
                    <w:widowControl/>
                    <w:adjustRightInd w:val="0"/>
                    <w:snapToGrid w:val="0"/>
                    <w:jc w:val="center"/>
                    <w:textAlignment w:val="center"/>
                    <w:rPr>
                      <w:color w:val="auto"/>
                      <w:kern w:val="0"/>
                      <w:szCs w:val="21"/>
                      <w:highlight w:val="none"/>
                    </w:rPr>
                  </w:pPr>
                  <w:r>
                    <w:rPr>
                      <w:rFonts w:hint="eastAsia"/>
                      <w:szCs w:val="21"/>
                      <w:lang w:eastAsia="zh-CN"/>
                    </w:rPr>
                    <w:t>玻璃碎屑</w:t>
                  </w:r>
                </w:p>
              </w:tc>
              <w:tc>
                <w:tcPr>
                  <w:tcW w:w="1134" w:type="dxa"/>
                  <w:vAlign w:val="center"/>
                </w:tcPr>
                <w:p>
                  <w:pPr>
                    <w:widowControl/>
                    <w:adjustRightInd w:val="0"/>
                    <w:snapToGrid w:val="0"/>
                    <w:jc w:val="center"/>
                    <w:textAlignment w:val="center"/>
                    <w:rPr>
                      <w:color w:val="auto"/>
                      <w:kern w:val="0"/>
                      <w:szCs w:val="21"/>
                      <w:highlight w:val="none"/>
                    </w:rPr>
                  </w:pPr>
                  <w:r>
                    <w:rPr>
                      <w:rFonts w:hint="eastAsia"/>
                      <w:bCs/>
                      <w:szCs w:val="21"/>
                      <w:lang w:val="en-US" w:eastAsia="zh-CN"/>
                    </w:rPr>
                    <w:t>40</w:t>
                  </w:r>
                </w:p>
              </w:tc>
              <w:tc>
                <w:tcPr>
                  <w:tcW w:w="1133" w:type="dxa"/>
                  <w:vAlign w:val="center"/>
                </w:tcPr>
                <w:p>
                  <w:pPr>
                    <w:widowControl/>
                    <w:adjustRightInd w:val="0"/>
                    <w:snapToGrid w:val="0"/>
                    <w:jc w:val="center"/>
                    <w:textAlignment w:val="center"/>
                    <w:rPr>
                      <w:color w:val="auto"/>
                      <w:kern w:val="0"/>
                      <w:szCs w:val="21"/>
                      <w:highlight w:val="none"/>
                    </w:rPr>
                  </w:pPr>
                  <w:r>
                    <w:rPr>
                      <w:rFonts w:hint="eastAsia"/>
                      <w:bCs/>
                      <w:szCs w:val="21"/>
                      <w:lang w:val="en-US" w:eastAsia="zh-CN"/>
                    </w:rPr>
                    <w:t>40</w:t>
                  </w:r>
                </w:p>
              </w:tc>
              <w:tc>
                <w:tcPr>
                  <w:tcW w:w="2405" w:type="dxa"/>
                  <w:gridSpan w:val="2"/>
                  <w:vAlign w:val="center"/>
                </w:tcPr>
                <w:p>
                  <w:pPr>
                    <w:widowControl/>
                    <w:jc w:val="center"/>
                    <w:textAlignment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77" w:hRule="exact"/>
              </w:trPr>
              <w:tc>
                <w:tcPr>
                  <w:tcW w:w="1905" w:type="dxa"/>
                  <w:gridSpan w:val="2"/>
                  <w:vMerge w:val="continue"/>
                  <w:vAlign w:val="center"/>
                </w:tcPr>
                <w:p>
                  <w:pPr>
                    <w:widowControl/>
                    <w:jc w:val="center"/>
                    <w:textAlignment w:val="center"/>
                    <w:rPr>
                      <w:color w:val="auto"/>
                      <w:kern w:val="0"/>
                      <w:szCs w:val="21"/>
                      <w:highlight w:val="none"/>
                    </w:rPr>
                  </w:pPr>
                </w:p>
              </w:tc>
              <w:tc>
                <w:tcPr>
                  <w:tcW w:w="1373" w:type="dxa"/>
                  <w:vAlign w:val="center"/>
                </w:tcPr>
                <w:p>
                  <w:pPr>
                    <w:widowControl/>
                    <w:adjustRightInd w:val="0"/>
                    <w:snapToGrid w:val="0"/>
                    <w:jc w:val="center"/>
                    <w:textAlignment w:val="center"/>
                    <w:rPr>
                      <w:color w:val="auto"/>
                      <w:kern w:val="0"/>
                      <w:szCs w:val="21"/>
                      <w:highlight w:val="none"/>
                    </w:rPr>
                  </w:pPr>
                  <w:r>
                    <w:rPr>
                      <w:rFonts w:hint="eastAsia"/>
                      <w:szCs w:val="21"/>
                      <w:lang w:eastAsia="zh-CN"/>
                    </w:rPr>
                    <w:t>粉尘</w:t>
                  </w:r>
                </w:p>
              </w:tc>
              <w:tc>
                <w:tcPr>
                  <w:tcW w:w="1134" w:type="dxa"/>
                  <w:vAlign w:val="center"/>
                </w:tcPr>
                <w:p>
                  <w:pPr>
                    <w:widowControl/>
                    <w:adjustRightInd w:val="0"/>
                    <w:snapToGrid w:val="0"/>
                    <w:jc w:val="center"/>
                    <w:textAlignment w:val="center"/>
                    <w:rPr>
                      <w:color w:val="auto"/>
                      <w:kern w:val="0"/>
                      <w:szCs w:val="21"/>
                      <w:highlight w:val="none"/>
                    </w:rPr>
                  </w:pPr>
                  <w:r>
                    <w:rPr>
                      <w:rFonts w:hint="eastAsia"/>
                      <w:bCs/>
                      <w:szCs w:val="21"/>
                      <w:lang w:val="en-US" w:eastAsia="zh-CN"/>
                    </w:rPr>
                    <w:t>1.51</w:t>
                  </w:r>
                </w:p>
              </w:tc>
              <w:tc>
                <w:tcPr>
                  <w:tcW w:w="1133" w:type="dxa"/>
                  <w:vAlign w:val="center"/>
                </w:tcPr>
                <w:p>
                  <w:pPr>
                    <w:widowControl/>
                    <w:adjustRightInd w:val="0"/>
                    <w:snapToGrid w:val="0"/>
                    <w:jc w:val="center"/>
                    <w:textAlignment w:val="center"/>
                    <w:rPr>
                      <w:color w:val="auto"/>
                      <w:kern w:val="0"/>
                      <w:szCs w:val="21"/>
                      <w:highlight w:val="none"/>
                    </w:rPr>
                  </w:pPr>
                  <w:r>
                    <w:rPr>
                      <w:rFonts w:hint="eastAsia"/>
                      <w:bCs/>
                      <w:szCs w:val="21"/>
                      <w:lang w:val="en-US" w:eastAsia="zh-CN"/>
                    </w:rPr>
                    <w:t>1.51</w:t>
                  </w:r>
                </w:p>
              </w:tc>
              <w:tc>
                <w:tcPr>
                  <w:tcW w:w="2405" w:type="dxa"/>
                  <w:gridSpan w:val="2"/>
                  <w:vAlign w:val="center"/>
                </w:tcPr>
                <w:p>
                  <w:pPr>
                    <w:widowControl/>
                    <w:jc w:val="center"/>
                    <w:textAlignment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77" w:hRule="exact"/>
              </w:trPr>
              <w:tc>
                <w:tcPr>
                  <w:tcW w:w="1905" w:type="dxa"/>
                  <w:gridSpan w:val="2"/>
                  <w:vMerge w:val="continue"/>
                  <w:vAlign w:val="center"/>
                </w:tcPr>
                <w:p>
                  <w:pPr>
                    <w:widowControl/>
                    <w:jc w:val="center"/>
                    <w:textAlignment w:val="center"/>
                    <w:rPr>
                      <w:color w:val="auto"/>
                      <w:kern w:val="0"/>
                      <w:szCs w:val="21"/>
                      <w:highlight w:val="none"/>
                    </w:rPr>
                  </w:pPr>
                </w:p>
              </w:tc>
              <w:tc>
                <w:tcPr>
                  <w:tcW w:w="1373" w:type="dxa"/>
                  <w:vAlign w:val="center"/>
                </w:tcPr>
                <w:p>
                  <w:pPr>
                    <w:widowControl/>
                    <w:adjustRightInd w:val="0"/>
                    <w:snapToGrid w:val="0"/>
                    <w:jc w:val="center"/>
                    <w:textAlignment w:val="center"/>
                    <w:rPr>
                      <w:color w:val="auto"/>
                      <w:kern w:val="0"/>
                      <w:szCs w:val="21"/>
                      <w:highlight w:val="none"/>
                    </w:rPr>
                  </w:pPr>
                  <w:r>
                    <w:rPr>
                      <w:rFonts w:hint="eastAsia"/>
                      <w:szCs w:val="21"/>
                      <w:lang w:eastAsia="zh-CN"/>
                    </w:rPr>
                    <w:t>废活性炭</w:t>
                  </w:r>
                </w:p>
              </w:tc>
              <w:tc>
                <w:tcPr>
                  <w:tcW w:w="1134" w:type="dxa"/>
                  <w:vAlign w:val="center"/>
                </w:tcPr>
                <w:p>
                  <w:pPr>
                    <w:widowControl/>
                    <w:adjustRightInd w:val="0"/>
                    <w:snapToGrid w:val="0"/>
                    <w:jc w:val="center"/>
                    <w:textAlignment w:val="center"/>
                    <w:rPr>
                      <w:rFonts w:hint="default"/>
                      <w:color w:val="auto"/>
                      <w:kern w:val="0"/>
                      <w:szCs w:val="21"/>
                      <w:highlight w:val="none"/>
                      <w:lang w:val="en-US"/>
                    </w:rPr>
                  </w:pPr>
                  <w:r>
                    <w:rPr>
                      <w:rFonts w:hint="eastAsia"/>
                      <w:bCs/>
                      <w:szCs w:val="21"/>
                      <w:lang w:val="en-US" w:eastAsia="zh-CN"/>
                    </w:rPr>
                    <w:t>3.67</w:t>
                  </w:r>
                </w:p>
              </w:tc>
              <w:tc>
                <w:tcPr>
                  <w:tcW w:w="1133" w:type="dxa"/>
                  <w:vAlign w:val="center"/>
                </w:tcPr>
                <w:p>
                  <w:pPr>
                    <w:widowControl/>
                    <w:adjustRightInd w:val="0"/>
                    <w:snapToGrid w:val="0"/>
                    <w:jc w:val="center"/>
                    <w:textAlignment w:val="center"/>
                    <w:rPr>
                      <w:rFonts w:hint="default"/>
                      <w:color w:val="auto"/>
                      <w:kern w:val="0"/>
                      <w:szCs w:val="21"/>
                      <w:highlight w:val="none"/>
                      <w:lang w:val="en-US"/>
                    </w:rPr>
                  </w:pPr>
                  <w:r>
                    <w:rPr>
                      <w:rFonts w:hint="eastAsia"/>
                      <w:bCs/>
                      <w:szCs w:val="21"/>
                      <w:lang w:val="en-US" w:eastAsia="zh-CN"/>
                    </w:rPr>
                    <w:t>3.67</w:t>
                  </w:r>
                </w:p>
              </w:tc>
              <w:tc>
                <w:tcPr>
                  <w:tcW w:w="2405" w:type="dxa"/>
                  <w:gridSpan w:val="2"/>
                  <w:vAlign w:val="center"/>
                </w:tcPr>
                <w:p>
                  <w:pPr>
                    <w:widowControl/>
                    <w:jc w:val="center"/>
                    <w:textAlignment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58" w:hRule="exact"/>
              </w:trPr>
              <w:tc>
                <w:tcPr>
                  <w:tcW w:w="1905" w:type="dxa"/>
                  <w:gridSpan w:val="2"/>
                  <w:vMerge w:val="continue"/>
                  <w:vAlign w:val="center"/>
                </w:tcPr>
                <w:p>
                  <w:pPr>
                    <w:jc w:val="center"/>
                    <w:rPr>
                      <w:color w:val="auto"/>
                      <w:szCs w:val="21"/>
                      <w:highlight w:val="none"/>
                    </w:rPr>
                  </w:pPr>
                </w:p>
              </w:tc>
              <w:tc>
                <w:tcPr>
                  <w:tcW w:w="1373" w:type="dxa"/>
                  <w:vAlign w:val="center"/>
                </w:tcPr>
                <w:p>
                  <w:pPr>
                    <w:widowControl/>
                    <w:adjustRightInd w:val="0"/>
                    <w:snapToGrid w:val="0"/>
                    <w:jc w:val="center"/>
                    <w:textAlignment w:val="center"/>
                    <w:rPr>
                      <w:color w:val="auto"/>
                      <w:szCs w:val="21"/>
                      <w:highlight w:val="none"/>
                    </w:rPr>
                  </w:pPr>
                  <w:r>
                    <w:rPr>
                      <w:rFonts w:hint="eastAsia"/>
                      <w:szCs w:val="21"/>
                      <w:lang w:eastAsia="zh-CN"/>
                    </w:rPr>
                    <w:t>不合格品</w:t>
                  </w:r>
                </w:p>
              </w:tc>
              <w:tc>
                <w:tcPr>
                  <w:tcW w:w="1134" w:type="dxa"/>
                  <w:vAlign w:val="center"/>
                </w:tcPr>
                <w:p>
                  <w:pPr>
                    <w:widowControl/>
                    <w:adjustRightInd w:val="0"/>
                    <w:snapToGrid w:val="0"/>
                    <w:jc w:val="center"/>
                    <w:textAlignment w:val="center"/>
                    <w:rPr>
                      <w:color w:val="auto"/>
                      <w:szCs w:val="21"/>
                      <w:highlight w:val="none"/>
                    </w:rPr>
                  </w:pPr>
                  <w:r>
                    <w:rPr>
                      <w:rFonts w:hint="eastAsia"/>
                      <w:bCs/>
                      <w:szCs w:val="21"/>
                      <w:lang w:val="en-US" w:eastAsia="zh-CN"/>
                    </w:rPr>
                    <w:t>662</w:t>
                  </w:r>
                </w:p>
              </w:tc>
              <w:tc>
                <w:tcPr>
                  <w:tcW w:w="1133" w:type="dxa"/>
                  <w:vAlign w:val="center"/>
                </w:tcPr>
                <w:p>
                  <w:pPr>
                    <w:widowControl/>
                    <w:adjustRightInd w:val="0"/>
                    <w:snapToGrid w:val="0"/>
                    <w:jc w:val="center"/>
                    <w:textAlignment w:val="center"/>
                    <w:rPr>
                      <w:color w:val="auto"/>
                      <w:szCs w:val="21"/>
                      <w:highlight w:val="none"/>
                    </w:rPr>
                  </w:pPr>
                  <w:r>
                    <w:rPr>
                      <w:rFonts w:hint="eastAsia"/>
                      <w:bCs/>
                      <w:szCs w:val="21"/>
                      <w:lang w:val="en-US" w:eastAsia="zh-CN"/>
                    </w:rPr>
                    <w:t>662</w:t>
                  </w:r>
                </w:p>
              </w:tc>
              <w:tc>
                <w:tcPr>
                  <w:tcW w:w="2405" w:type="dxa"/>
                  <w:gridSpan w:val="2"/>
                  <w:vAlign w:val="center"/>
                </w:tcPr>
                <w:p>
                  <w:pPr>
                    <w:widowControl/>
                    <w:jc w:val="center"/>
                    <w:textAlignment w:val="center"/>
                    <w:rPr>
                      <w:rFonts w:hint="eastAsia" w:eastAsia="宋体"/>
                      <w:color w:val="auto"/>
                      <w:szCs w:val="21"/>
                      <w:highlight w:val="none"/>
                      <w:lang w:val="en-US" w:eastAsia="zh-CN"/>
                    </w:rPr>
                  </w:pPr>
                  <w:r>
                    <w:rPr>
                      <w:rFonts w:hint="eastAsia"/>
                      <w:color w:val="auto"/>
                      <w:szCs w:val="21"/>
                      <w:highlight w:val="none"/>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358" w:hRule="exact"/>
              </w:trPr>
              <w:tc>
                <w:tcPr>
                  <w:tcW w:w="1905" w:type="dxa"/>
                  <w:gridSpan w:val="2"/>
                  <w:vMerge w:val="continue"/>
                  <w:vAlign w:val="center"/>
                </w:tcPr>
                <w:p>
                  <w:pPr>
                    <w:jc w:val="center"/>
                    <w:rPr>
                      <w:color w:val="auto"/>
                      <w:szCs w:val="21"/>
                      <w:highlight w:val="none"/>
                    </w:rPr>
                  </w:pPr>
                </w:p>
              </w:tc>
              <w:tc>
                <w:tcPr>
                  <w:tcW w:w="1373" w:type="dxa"/>
                  <w:vAlign w:val="center"/>
                </w:tcPr>
                <w:p>
                  <w:pPr>
                    <w:widowControl/>
                    <w:adjustRightInd w:val="0"/>
                    <w:snapToGrid w:val="0"/>
                    <w:jc w:val="center"/>
                    <w:textAlignment w:val="center"/>
                    <w:rPr>
                      <w:color w:val="auto"/>
                      <w:szCs w:val="21"/>
                      <w:highlight w:val="none"/>
                    </w:rPr>
                  </w:pPr>
                  <w:r>
                    <w:rPr>
                      <w:rFonts w:hint="eastAsia"/>
                      <w:kern w:val="0"/>
                      <w:szCs w:val="21"/>
                      <w:lang w:eastAsia="zh-CN" w:bidi="ar"/>
                    </w:rPr>
                    <w:t>污泥</w:t>
                  </w:r>
                </w:p>
              </w:tc>
              <w:tc>
                <w:tcPr>
                  <w:tcW w:w="1134" w:type="dxa"/>
                  <w:vAlign w:val="center"/>
                </w:tcPr>
                <w:p>
                  <w:pPr>
                    <w:widowControl/>
                    <w:adjustRightInd w:val="0"/>
                    <w:snapToGrid w:val="0"/>
                    <w:jc w:val="center"/>
                    <w:textAlignment w:val="center"/>
                    <w:rPr>
                      <w:color w:val="auto"/>
                      <w:szCs w:val="21"/>
                      <w:highlight w:val="none"/>
                    </w:rPr>
                  </w:pPr>
                  <w:r>
                    <w:rPr>
                      <w:rFonts w:hint="eastAsia"/>
                      <w:kern w:val="0"/>
                      <w:szCs w:val="21"/>
                      <w:lang w:val="en-US" w:eastAsia="zh-CN" w:bidi="ar"/>
                    </w:rPr>
                    <w:t>13</w:t>
                  </w:r>
                </w:p>
              </w:tc>
              <w:tc>
                <w:tcPr>
                  <w:tcW w:w="1133" w:type="dxa"/>
                  <w:vAlign w:val="center"/>
                </w:tcPr>
                <w:p>
                  <w:pPr>
                    <w:widowControl/>
                    <w:adjustRightInd w:val="0"/>
                    <w:snapToGrid w:val="0"/>
                    <w:jc w:val="center"/>
                    <w:textAlignment w:val="center"/>
                    <w:rPr>
                      <w:color w:val="auto"/>
                      <w:szCs w:val="21"/>
                      <w:highlight w:val="none"/>
                    </w:rPr>
                  </w:pPr>
                  <w:r>
                    <w:rPr>
                      <w:rFonts w:hint="eastAsia"/>
                      <w:kern w:val="0"/>
                      <w:szCs w:val="21"/>
                      <w:lang w:val="en-US" w:eastAsia="zh-CN" w:bidi="ar"/>
                    </w:rPr>
                    <w:t>13</w:t>
                  </w:r>
                </w:p>
              </w:tc>
              <w:tc>
                <w:tcPr>
                  <w:tcW w:w="2405" w:type="dxa"/>
                  <w:gridSpan w:val="2"/>
                  <w:vAlign w:val="center"/>
                </w:tcPr>
                <w:p>
                  <w:pPr>
                    <w:widowControl/>
                    <w:jc w:val="center"/>
                    <w:textAlignment w:val="center"/>
                    <w:rPr>
                      <w:rFonts w:hint="eastAsia" w:eastAsia="宋体"/>
                      <w:color w:val="auto"/>
                      <w:szCs w:val="21"/>
                      <w:highlight w:val="none"/>
                      <w:lang w:val="en-US" w:eastAsia="zh-CN"/>
                    </w:rPr>
                  </w:pPr>
                  <w:r>
                    <w:rPr>
                      <w:rFonts w:hint="eastAsia"/>
                      <w:color w:val="auto"/>
                      <w:szCs w:val="21"/>
                      <w:highlight w:val="none"/>
                      <w:lang w:val="en-US" w:eastAsia="zh-CN"/>
                    </w:rPr>
                    <w:t>0</w:t>
                  </w:r>
                </w:p>
              </w:tc>
            </w:tr>
          </w:tbl>
          <w:p>
            <w:pPr>
              <w:adjustRightInd w:val="0"/>
              <w:snapToGrid w:val="0"/>
              <w:spacing w:line="360" w:lineRule="auto"/>
              <w:ind w:firstLine="482" w:firstLineChars="200"/>
              <w:rPr>
                <w:rFonts w:cs="宋体"/>
                <w:b/>
                <w:color w:val="auto"/>
                <w:sz w:val="24"/>
                <w:highlight w:val="none"/>
              </w:rPr>
            </w:pPr>
            <w:r>
              <w:rPr>
                <w:rFonts w:hint="eastAsia" w:cs="宋体"/>
                <w:b/>
                <w:color w:val="auto"/>
                <w:sz w:val="24"/>
                <w:highlight w:val="none"/>
              </w:rPr>
              <w:t>本项目建成后，污染物排放总量建议控制指标：</w:t>
            </w:r>
          </w:p>
          <w:p>
            <w:pPr>
              <w:numPr>
                <w:ilvl w:val="0"/>
                <w:numId w:val="5"/>
              </w:numPr>
              <w:adjustRightInd w:val="0"/>
              <w:snapToGrid w:val="0"/>
              <w:spacing w:line="360" w:lineRule="auto"/>
              <w:ind w:firstLine="456" w:firstLineChars="190"/>
              <w:rPr>
                <w:rFonts w:hint="eastAsia" w:cs="宋体"/>
                <w:color w:val="auto"/>
                <w:sz w:val="24"/>
                <w:highlight w:val="none"/>
              </w:rPr>
            </w:pPr>
            <w:r>
              <w:rPr>
                <w:rFonts w:hint="eastAsia" w:cs="宋体"/>
                <w:color w:val="auto"/>
                <w:sz w:val="24"/>
                <w:highlight w:val="none"/>
              </w:rPr>
              <w:t>大气污染物</w:t>
            </w:r>
          </w:p>
          <w:p>
            <w:pPr>
              <w:adjustRightInd w:val="0"/>
              <w:snapToGrid w:val="0"/>
              <w:spacing w:line="360" w:lineRule="auto"/>
              <w:ind w:firstLine="480"/>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本项目有组织排放量：VOCs0.242t/a，无组织排放量：颗粒物（粉尘）0.257t/a，VOCs0.378t/a。</w:t>
            </w:r>
          </w:p>
          <w:p>
            <w:pPr>
              <w:adjustRightInd w:val="0"/>
              <w:snapToGrid w:val="0"/>
              <w:spacing w:line="360" w:lineRule="auto"/>
              <w:ind w:firstLine="480" w:firstLineChars="200"/>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改建后全厂有组织排放量：烟尘2.699t/a，SO</w:t>
            </w:r>
            <w:r>
              <w:rPr>
                <w:rFonts w:hint="eastAsia" w:ascii="Times New Roman" w:hAnsi="Times New Roman" w:cs="Times New Roman"/>
                <w:color w:val="auto"/>
                <w:sz w:val="24"/>
                <w:highlight w:val="none"/>
                <w:vertAlign w:val="subscript"/>
                <w:lang w:val="en-US" w:eastAsia="zh-CN"/>
              </w:rPr>
              <w:t>2</w:t>
            </w:r>
            <w:r>
              <w:rPr>
                <w:rFonts w:hint="eastAsia" w:ascii="Times New Roman" w:hAnsi="Times New Roman" w:cs="Times New Roman"/>
                <w:color w:val="auto"/>
                <w:sz w:val="24"/>
                <w:highlight w:val="none"/>
                <w:vertAlign w:val="baseline"/>
                <w:lang w:val="en-US" w:eastAsia="zh-CN"/>
              </w:rPr>
              <w:t>17.765</w:t>
            </w:r>
            <w:r>
              <w:rPr>
                <w:rFonts w:hint="eastAsia" w:ascii="Times New Roman" w:hAnsi="Times New Roman" w:cs="Times New Roman"/>
                <w:color w:val="auto"/>
                <w:sz w:val="24"/>
                <w:highlight w:val="none"/>
                <w:lang w:val="en-US" w:eastAsia="zh-CN"/>
              </w:rPr>
              <w:t>t/a，颗粒物（粉尘）13.66t/a，VOCs0.242t/a；无组织排放量：颗粒物（粉尘）1.143t/a、VOCs0.378t/a。</w:t>
            </w:r>
          </w:p>
          <w:p>
            <w:pPr>
              <w:pStyle w:val="2"/>
              <w:numPr>
                <w:ilvl w:val="0"/>
                <w:numId w:val="0"/>
              </w:numPr>
              <w:ind w:right="113" w:rightChars="0" w:firstLine="360"/>
              <w:rPr>
                <w:color w:val="auto"/>
                <w:sz w:val="24"/>
                <w:highlight w:val="none"/>
              </w:rPr>
            </w:pPr>
            <w:r>
              <w:rPr>
                <w:rFonts w:hint="eastAsia"/>
                <w:color w:val="auto"/>
                <w:sz w:val="24"/>
                <w:highlight w:val="none"/>
              </w:rPr>
              <w:t>（2）废水及水污染物</w:t>
            </w:r>
          </w:p>
          <w:p>
            <w:pPr>
              <w:adjustRightInd w:val="0"/>
              <w:snapToGrid w:val="0"/>
              <w:spacing w:line="360" w:lineRule="auto"/>
              <w:ind w:firstLine="480"/>
              <w:rPr>
                <w:color w:val="auto"/>
                <w:sz w:val="24"/>
                <w:highlight w:val="none"/>
              </w:rPr>
            </w:pPr>
            <w:r>
              <w:rPr>
                <w:rFonts w:hint="eastAsia"/>
                <w:color w:val="auto"/>
                <w:sz w:val="24"/>
                <w:highlight w:val="none"/>
              </w:rPr>
              <w:t>本</w:t>
            </w:r>
            <w:r>
              <w:rPr>
                <w:color w:val="auto"/>
                <w:sz w:val="24"/>
                <w:highlight w:val="none"/>
              </w:rPr>
              <w:t>项目</w:t>
            </w:r>
            <w:r>
              <w:rPr>
                <w:rFonts w:hint="eastAsia"/>
                <w:color w:val="auto"/>
                <w:sz w:val="24"/>
                <w:highlight w:val="none"/>
                <w:lang w:eastAsia="zh-CN"/>
              </w:rPr>
              <w:t>职工生活污水接入宜兴市城市污水处理厂集中处理，尾水排入武宜运河。接管量：废水量</w:t>
            </w:r>
            <w:r>
              <w:rPr>
                <w:rFonts w:hint="eastAsia"/>
                <w:color w:val="auto"/>
                <w:sz w:val="24"/>
                <w:highlight w:val="none"/>
                <w:lang w:val="en-US" w:eastAsia="zh-CN"/>
              </w:rPr>
              <w:t>1200</w:t>
            </w:r>
            <w:r>
              <w:rPr>
                <w:color w:val="auto"/>
                <w:sz w:val="24"/>
                <w:highlight w:val="none"/>
              </w:rPr>
              <w:t xml:space="preserve">t/a，COD </w:t>
            </w:r>
            <w:r>
              <w:rPr>
                <w:rFonts w:hint="eastAsia"/>
                <w:color w:val="auto"/>
                <w:sz w:val="24"/>
                <w:highlight w:val="none"/>
                <w:lang w:val="en-US" w:eastAsia="zh-CN"/>
              </w:rPr>
              <w:t>0.48</w:t>
            </w:r>
            <w:r>
              <w:rPr>
                <w:color w:val="auto"/>
                <w:sz w:val="24"/>
                <w:highlight w:val="none"/>
              </w:rPr>
              <w:t xml:space="preserve">t/a、SS </w:t>
            </w:r>
            <w:r>
              <w:rPr>
                <w:rFonts w:hint="eastAsia"/>
                <w:color w:val="auto"/>
                <w:sz w:val="24"/>
                <w:highlight w:val="none"/>
                <w:lang w:val="en-US" w:eastAsia="zh-CN"/>
              </w:rPr>
              <w:t>0.36</w:t>
            </w:r>
            <w:r>
              <w:rPr>
                <w:color w:val="auto"/>
                <w:sz w:val="24"/>
                <w:highlight w:val="none"/>
              </w:rPr>
              <w:t>t/a、NH</w:t>
            </w:r>
            <w:r>
              <w:rPr>
                <w:color w:val="auto"/>
                <w:sz w:val="24"/>
                <w:highlight w:val="none"/>
                <w:vertAlign w:val="subscript"/>
              </w:rPr>
              <w:t>3</w:t>
            </w:r>
            <w:r>
              <w:rPr>
                <w:color w:val="auto"/>
                <w:sz w:val="24"/>
                <w:highlight w:val="none"/>
              </w:rPr>
              <w:t xml:space="preserve">-N </w:t>
            </w:r>
            <w:r>
              <w:rPr>
                <w:rFonts w:hint="eastAsia"/>
                <w:color w:val="auto"/>
                <w:sz w:val="24"/>
                <w:highlight w:val="none"/>
                <w:lang w:val="en-US" w:eastAsia="zh-CN"/>
              </w:rPr>
              <w:t>0.036t</w:t>
            </w:r>
            <w:r>
              <w:rPr>
                <w:color w:val="auto"/>
                <w:sz w:val="24"/>
                <w:highlight w:val="none"/>
              </w:rPr>
              <w:t xml:space="preserve">/a、TP </w:t>
            </w:r>
            <w:r>
              <w:rPr>
                <w:rFonts w:hint="eastAsia"/>
                <w:color w:val="auto"/>
                <w:sz w:val="24"/>
                <w:highlight w:val="none"/>
                <w:lang w:val="en-US" w:eastAsia="zh-CN"/>
              </w:rPr>
              <w:t>0.006</w:t>
            </w:r>
            <w:r>
              <w:rPr>
                <w:color w:val="auto"/>
                <w:sz w:val="24"/>
                <w:highlight w:val="none"/>
              </w:rPr>
              <w:t>t/a、TN</w:t>
            </w:r>
            <w:r>
              <w:rPr>
                <w:rFonts w:hint="eastAsia"/>
                <w:color w:val="auto"/>
                <w:sz w:val="24"/>
                <w:highlight w:val="none"/>
                <w:lang w:val="en-US" w:eastAsia="zh-CN"/>
              </w:rPr>
              <w:t>0.054</w:t>
            </w:r>
            <w:r>
              <w:rPr>
                <w:color w:val="auto"/>
                <w:sz w:val="24"/>
                <w:highlight w:val="none"/>
              </w:rPr>
              <w:t xml:space="preserve"> t/a；排入环境的量分别为</w:t>
            </w:r>
            <w:r>
              <w:rPr>
                <w:rFonts w:hint="eastAsia"/>
                <w:color w:val="auto"/>
                <w:sz w:val="24"/>
                <w:highlight w:val="none"/>
                <w:lang w:eastAsia="zh-CN"/>
              </w:rPr>
              <w:t>废水量</w:t>
            </w:r>
            <w:r>
              <w:rPr>
                <w:rFonts w:hint="eastAsia"/>
                <w:color w:val="auto"/>
                <w:sz w:val="24"/>
                <w:highlight w:val="none"/>
                <w:lang w:val="en-US" w:eastAsia="zh-CN"/>
              </w:rPr>
              <w:t>1200</w:t>
            </w:r>
            <w:r>
              <w:rPr>
                <w:color w:val="auto"/>
                <w:sz w:val="24"/>
                <w:highlight w:val="none"/>
              </w:rPr>
              <w:t xml:space="preserve">t/a，COD </w:t>
            </w:r>
            <w:r>
              <w:rPr>
                <w:rFonts w:hint="eastAsia"/>
                <w:color w:val="auto"/>
                <w:sz w:val="24"/>
                <w:highlight w:val="none"/>
                <w:lang w:val="en-US" w:eastAsia="zh-CN"/>
              </w:rPr>
              <w:t>0.048</w:t>
            </w:r>
            <w:r>
              <w:rPr>
                <w:color w:val="auto"/>
                <w:sz w:val="24"/>
                <w:highlight w:val="none"/>
              </w:rPr>
              <w:t>t/a、SS</w:t>
            </w:r>
            <w:r>
              <w:rPr>
                <w:rFonts w:hint="eastAsia"/>
                <w:color w:val="auto"/>
                <w:sz w:val="24"/>
                <w:highlight w:val="none"/>
                <w:lang w:val="en-US" w:eastAsia="zh-CN"/>
              </w:rPr>
              <w:t>0.012</w:t>
            </w:r>
            <w:r>
              <w:rPr>
                <w:color w:val="auto"/>
                <w:sz w:val="24"/>
                <w:highlight w:val="none"/>
              </w:rPr>
              <w:t xml:space="preserve">t/a、NH3-N </w:t>
            </w:r>
            <w:r>
              <w:rPr>
                <w:rFonts w:hint="eastAsia"/>
                <w:color w:val="auto"/>
                <w:sz w:val="24"/>
                <w:highlight w:val="none"/>
                <w:lang w:val="en-US" w:eastAsia="zh-CN"/>
              </w:rPr>
              <w:t>0.0036</w:t>
            </w:r>
            <w:r>
              <w:rPr>
                <w:color w:val="auto"/>
                <w:sz w:val="24"/>
                <w:highlight w:val="none"/>
              </w:rPr>
              <w:t xml:space="preserve">t/a、TP </w:t>
            </w:r>
            <w:r>
              <w:rPr>
                <w:rFonts w:hint="eastAsia"/>
                <w:color w:val="auto"/>
                <w:sz w:val="24"/>
                <w:highlight w:val="none"/>
                <w:lang w:val="en-US" w:eastAsia="zh-CN"/>
              </w:rPr>
              <w:t>0.00036</w:t>
            </w:r>
            <w:r>
              <w:rPr>
                <w:color w:val="auto"/>
                <w:sz w:val="24"/>
                <w:highlight w:val="none"/>
              </w:rPr>
              <w:t>t/a、TN</w:t>
            </w:r>
            <w:r>
              <w:rPr>
                <w:rFonts w:hint="eastAsia"/>
                <w:color w:val="auto"/>
                <w:sz w:val="24"/>
                <w:highlight w:val="none"/>
                <w:lang w:val="en-US" w:eastAsia="zh-CN"/>
              </w:rPr>
              <w:t>0.012</w:t>
            </w:r>
            <w:r>
              <w:rPr>
                <w:color w:val="auto"/>
                <w:sz w:val="24"/>
                <w:highlight w:val="none"/>
              </w:rPr>
              <w:t xml:space="preserve"> t/a。</w:t>
            </w:r>
          </w:p>
          <w:p>
            <w:pPr>
              <w:adjustRightInd w:val="0"/>
              <w:snapToGrid w:val="0"/>
              <w:spacing w:line="360" w:lineRule="auto"/>
              <w:ind w:firstLine="480"/>
              <w:rPr>
                <w:rFonts w:hint="default"/>
                <w:lang w:val="en-US" w:eastAsia="zh-CN"/>
              </w:rPr>
            </w:pPr>
            <w:r>
              <w:rPr>
                <w:rFonts w:hint="eastAsia"/>
                <w:color w:val="auto"/>
                <w:sz w:val="24"/>
                <w:highlight w:val="none"/>
                <w:lang w:val="en-US" w:eastAsia="zh-CN"/>
              </w:rPr>
              <w:t>改建后全厂废水接管考核量：废水24350t/a、</w:t>
            </w:r>
            <w:r>
              <w:rPr>
                <w:color w:val="auto"/>
                <w:sz w:val="24"/>
                <w:highlight w:val="none"/>
              </w:rPr>
              <w:t xml:space="preserve">COD </w:t>
            </w:r>
            <w:r>
              <w:rPr>
                <w:rFonts w:hint="eastAsia"/>
                <w:color w:val="auto"/>
                <w:sz w:val="24"/>
                <w:highlight w:val="none"/>
                <w:lang w:val="en-US" w:eastAsia="zh-CN"/>
              </w:rPr>
              <w:t>6.06</w:t>
            </w:r>
            <w:r>
              <w:rPr>
                <w:color w:val="auto"/>
                <w:sz w:val="24"/>
                <w:highlight w:val="none"/>
              </w:rPr>
              <w:t xml:space="preserve">t/a、SS </w:t>
            </w:r>
            <w:r>
              <w:rPr>
                <w:rFonts w:hint="eastAsia"/>
                <w:color w:val="auto"/>
                <w:sz w:val="24"/>
                <w:highlight w:val="none"/>
                <w:lang w:val="en-US" w:eastAsia="zh-CN"/>
              </w:rPr>
              <w:t>4.617</w:t>
            </w:r>
            <w:r>
              <w:rPr>
                <w:color w:val="auto"/>
                <w:sz w:val="24"/>
                <w:highlight w:val="none"/>
              </w:rPr>
              <w:t>t/a、NH</w:t>
            </w:r>
            <w:r>
              <w:rPr>
                <w:color w:val="auto"/>
                <w:sz w:val="24"/>
                <w:highlight w:val="none"/>
                <w:vertAlign w:val="subscript"/>
              </w:rPr>
              <w:t>3</w:t>
            </w:r>
            <w:r>
              <w:rPr>
                <w:color w:val="auto"/>
                <w:sz w:val="24"/>
                <w:highlight w:val="none"/>
              </w:rPr>
              <w:t xml:space="preserve">-N </w:t>
            </w:r>
            <w:r>
              <w:rPr>
                <w:rFonts w:hint="eastAsia"/>
                <w:color w:val="auto"/>
                <w:sz w:val="24"/>
                <w:highlight w:val="none"/>
                <w:lang w:val="en-US" w:eastAsia="zh-CN"/>
              </w:rPr>
              <w:t>0.366t</w:t>
            </w:r>
            <w:r>
              <w:rPr>
                <w:color w:val="auto"/>
                <w:sz w:val="24"/>
                <w:highlight w:val="none"/>
              </w:rPr>
              <w:t>/a、TP</w:t>
            </w:r>
            <w:r>
              <w:rPr>
                <w:rFonts w:hint="eastAsia"/>
                <w:color w:val="auto"/>
                <w:sz w:val="24"/>
                <w:highlight w:val="none"/>
                <w:lang w:val="en-US" w:eastAsia="zh-CN"/>
              </w:rPr>
              <w:t>0.055</w:t>
            </w:r>
            <w:r>
              <w:rPr>
                <w:color w:val="auto"/>
                <w:sz w:val="24"/>
                <w:highlight w:val="none"/>
              </w:rPr>
              <w:t>t/a、TN</w:t>
            </w:r>
            <w:r>
              <w:rPr>
                <w:rFonts w:hint="eastAsia"/>
                <w:color w:val="auto"/>
                <w:sz w:val="24"/>
                <w:highlight w:val="none"/>
                <w:lang w:val="en-US" w:eastAsia="zh-CN"/>
              </w:rPr>
              <w:t>0.648</w:t>
            </w:r>
            <w:r>
              <w:rPr>
                <w:color w:val="auto"/>
                <w:sz w:val="24"/>
                <w:highlight w:val="none"/>
              </w:rPr>
              <w:t>t/a；</w:t>
            </w:r>
            <w:r>
              <w:rPr>
                <w:rFonts w:hint="eastAsia"/>
                <w:color w:val="auto"/>
                <w:sz w:val="24"/>
                <w:highlight w:val="none"/>
                <w:lang w:eastAsia="zh-CN"/>
              </w:rPr>
              <w:t>最终排放量：</w:t>
            </w:r>
            <w:r>
              <w:rPr>
                <w:rFonts w:hint="eastAsia"/>
                <w:color w:val="auto"/>
                <w:sz w:val="24"/>
                <w:highlight w:val="none"/>
                <w:lang w:val="en-US" w:eastAsia="zh-CN"/>
              </w:rPr>
              <w:t>废水24350t/a、</w:t>
            </w:r>
            <w:r>
              <w:rPr>
                <w:color w:val="auto"/>
                <w:sz w:val="24"/>
                <w:highlight w:val="none"/>
              </w:rPr>
              <w:t xml:space="preserve">COD </w:t>
            </w:r>
            <w:r>
              <w:rPr>
                <w:rFonts w:hint="eastAsia"/>
                <w:color w:val="auto"/>
                <w:sz w:val="24"/>
                <w:highlight w:val="none"/>
                <w:lang w:val="en-US" w:eastAsia="zh-CN"/>
              </w:rPr>
              <w:t>1.208</w:t>
            </w:r>
            <w:r>
              <w:rPr>
                <w:color w:val="auto"/>
                <w:sz w:val="24"/>
                <w:highlight w:val="none"/>
              </w:rPr>
              <w:t>t/a、SS</w:t>
            </w:r>
            <w:r>
              <w:rPr>
                <w:rFonts w:hint="eastAsia"/>
                <w:color w:val="auto"/>
                <w:sz w:val="24"/>
                <w:highlight w:val="none"/>
                <w:lang w:val="en-US" w:eastAsia="zh-CN"/>
              </w:rPr>
              <w:t>0.244</w:t>
            </w:r>
            <w:r>
              <w:rPr>
                <w:color w:val="auto"/>
                <w:sz w:val="24"/>
                <w:highlight w:val="none"/>
              </w:rPr>
              <w:t xml:space="preserve">t/a、NH3-N </w:t>
            </w:r>
            <w:r>
              <w:rPr>
                <w:rFonts w:hint="eastAsia"/>
                <w:color w:val="auto"/>
                <w:sz w:val="24"/>
                <w:highlight w:val="none"/>
                <w:lang w:val="en-US" w:eastAsia="zh-CN"/>
              </w:rPr>
              <w:t>0.0696</w:t>
            </w:r>
            <w:r>
              <w:rPr>
                <w:color w:val="auto"/>
                <w:sz w:val="24"/>
                <w:highlight w:val="none"/>
              </w:rPr>
              <w:t xml:space="preserve">t/a、TP </w:t>
            </w:r>
            <w:r>
              <w:rPr>
                <w:rFonts w:hint="eastAsia"/>
                <w:color w:val="auto"/>
                <w:sz w:val="24"/>
                <w:highlight w:val="none"/>
                <w:lang w:val="en-US" w:eastAsia="zh-CN"/>
              </w:rPr>
              <w:t>0.00636</w:t>
            </w:r>
            <w:r>
              <w:rPr>
                <w:color w:val="auto"/>
                <w:sz w:val="24"/>
                <w:highlight w:val="none"/>
              </w:rPr>
              <w:t>t/a、TN</w:t>
            </w:r>
            <w:r>
              <w:rPr>
                <w:rFonts w:hint="eastAsia"/>
                <w:color w:val="auto"/>
                <w:sz w:val="24"/>
                <w:highlight w:val="none"/>
                <w:lang w:val="en-US" w:eastAsia="zh-CN"/>
              </w:rPr>
              <w:t>0.144</w:t>
            </w:r>
            <w:r>
              <w:rPr>
                <w:color w:val="auto"/>
                <w:sz w:val="24"/>
                <w:highlight w:val="none"/>
              </w:rPr>
              <w:t xml:space="preserve"> t/a。</w:t>
            </w:r>
          </w:p>
          <w:p>
            <w:pPr>
              <w:widowControl/>
              <w:adjustRightInd w:val="0"/>
              <w:snapToGrid w:val="0"/>
              <w:spacing w:line="360" w:lineRule="auto"/>
              <w:ind w:firstLine="480" w:firstLineChars="200"/>
              <w:rPr>
                <w:bCs/>
                <w:snapToGrid w:val="0"/>
                <w:color w:val="auto"/>
                <w:kern w:val="0"/>
                <w:sz w:val="24"/>
                <w:highlight w:val="none"/>
              </w:rPr>
            </w:pPr>
            <w:r>
              <w:rPr>
                <w:rFonts w:hint="eastAsia"/>
                <w:bCs/>
                <w:snapToGrid w:val="0"/>
                <w:color w:val="auto"/>
                <w:kern w:val="0"/>
                <w:sz w:val="24"/>
                <w:highlight w:val="none"/>
              </w:rPr>
              <w:t>（3）固废</w:t>
            </w:r>
          </w:p>
          <w:p>
            <w:pPr>
              <w:widowControl/>
              <w:adjustRightInd w:val="0"/>
              <w:snapToGrid w:val="0"/>
              <w:spacing w:line="360" w:lineRule="auto"/>
              <w:ind w:firstLine="480" w:firstLineChars="200"/>
              <w:rPr>
                <w:bCs/>
                <w:snapToGrid w:val="0"/>
                <w:color w:val="auto"/>
                <w:kern w:val="0"/>
                <w:sz w:val="24"/>
                <w:highlight w:val="none"/>
              </w:rPr>
            </w:pPr>
            <w:r>
              <w:rPr>
                <w:rFonts w:hint="eastAsia"/>
                <w:bCs/>
                <w:snapToGrid w:val="0"/>
                <w:color w:val="auto"/>
                <w:kern w:val="0"/>
                <w:sz w:val="24"/>
                <w:highlight w:val="none"/>
              </w:rPr>
              <w:t>本</w:t>
            </w:r>
            <w:r>
              <w:rPr>
                <w:bCs/>
                <w:snapToGrid w:val="0"/>
                <w:color w:val="auto"/>
                <w:kern w:val="0"/>
                <w:sz w:val="24"/>
                <w:highlight w:val="none"/>
              </w:rPr>
              <w:t>项目</w:t>
            </w:r>
            <w:r>
              <w:rPr>
                <w:rFonts w:hint="eastAsia"/>
                <w:bCs/>
                <w:snapToGrid w:val="0"/>
                <w:color w:val="auto"/>
                <w:kern w:val="0"/>
                <w:sz w:val="24"/>
                <w:highlight w:val="none"/>
              </w:rPr>
              <w:t>固体</w:t>
            </w:r>
            <w:r>
              <w:rPr>
                <w:bCs/>
                <w:snapToGrid w:val="0"/>
                <w:color w:val="auto"/>
                <w:kern w:val="0"/>
                <w:sz w:val="24"/>
                <w:highlight w:val="none"/>
              </w:rPr>
              <w:t>废物实现</w:t>
            </w:r>
            <w:r>
              <w:rPr>
                <w:rFonts w:hint="eastAsia"/>
                <w:bCs/>
                <w:snapToGrid w:val="0"/>
                <w:color w:val="auto"/>
                <w:kern w:val="0"/>
                <w:sz w:val="24"/>
                <w:highlight w:val="none"/>
              </w:rPr>
              <w:t>“</w:t>
            </w:r>
            <w:r>
              <w:rPr>
                <w:bCs/>
                <w:snapToGrid w:val="0"/>
                <w:color w:val="auto"/>
                <w:kern w:val="0"/>
                <w:sz w:val="24"/>
                <w:highlight w:val="none"/>
              </w:rPr>
              <w:t>零</w:t>
            </w:r>
            <w:r>
              <w:rPr>
                <w:rFonts w:hint="eastAsia"/>
                <w:bCs/>
                <w:snapToGrid w:val="0"/>
                <w:color w:val="auto"/>
                <w:kern w:val="0"/>
                <w:sz w:val="24"/>
                <w:highlight w:val="none"/>
              </w:rPr>
              <w:t>”</w:t>
            </w:r>
            <w:r>
              <w:rPr>
                <w:bCs/>
                <w:snapToGrid w:val="0"/>
                <w:color w:val="auto"/>
                <w:kern w:val="0"/>
                <w:sz w:val="24"/>
                <w:highlight w:val="none"/>
              </w:rPr>
              <w:t>排放，符合总量控制要求。</w:t>
            </w:r>
          </w:p>
          <w:p>
            <w:pPr>
              <w:pStyle w:val="70"/>
              <w:widowControl/>
              <w:adjustRightInd w:val="0"/>
              <w:snapToGrid w:val="0"/>
              <w:spacing w:line="360" w:lineRule="auto"/>
              <w:ind w:left="0" w:leftChars="0" w:firstLine="0" w:firstLineChars="0"/>
              <w:rPr>
                <w:rFonts w:ascii="宋体" w:hAnsi="宋体" w:cs="宋体"/>
                <w:kern w:val="0"/>
                <w:szCs w:val="21"/>
              </w:rPr>
            </w:pPr>
          </w:p>
          <w:p>
            <w:pPr>
              <w:pStyle w:val="70"/>
              <w:widowControl/>
              <w:adjustRightInd w:val="0"/>
              <w:snapToGrid w:val="0"/>
              <w:spacing w:line="360" w:lineRule="auto"/>
              <w:ind w:left="0" w:leftChars="0" w:firstLine="0" w:firstLineChars="0"/>
              <w:rPr>
                <w:rFonts w:ascii="宋体" w:hAnsi="宋体" w:cs="宋体"/>
                <w:kern w:val="0"/>
                <w:szCs w:val="21"/>
              </w:rPr>
            </w:pPr>
          </w:p>
          <w:p>
            <w:pPr>
              <w:pStyle w:val="70"/>
              <w:widowControl/>
              <w:adjustRightInd w:val="0"/>
              <w:snapToGrid w:val="0"/>
              <w:spacing w:line="360" w:lineRule="auto"/>
              <w:ind w:left="0" w:leftChars="0" w:firstLine="0" w:firstLineChars="0"/>
              <w:rPr>
                <w:rFonts w:ascii="宋体" w:hAnsi="宋体" w:cs="宋体"/>
                <w:kern w:val="0"/>
                <w:szCs w:val="21"/>
              </w:rPr>
            </w:pPr>
          </w:p>
          <w:p>
            <w:pPr>
              <w:pStyle w:val="70"/>
              <w:widowControl/>
              <w:adjustRightInd w:val="0"/>
              <w:snapToGrid w:val="0"/>
              <w:spacing w:line="360" w:lineRule="auto"/>
              <w:ind w:left="0" w:leftChars="0" w:firstLine="0" w:firstLineChars="0"/>
              <w:rPr>
                <w:rFonts w:ascii="宋体" w:hAnsi="宋体" w:cs="宋体"/>
                <w:kern w:val="0"/>
                <w:szCs w:val="21"/>
              </w:rPr>
            </w:pPr>
          </w:p>
          <w:p>
            <w:pPr>
              <w:pStyle w:val="70"/>
              <w:widowControl/>
              <w:adjustRightInd w:val="0"/>
              <w:snapToGrid w:val="0"/>
              <w:spacing w:line="360" w:lineRule="auto"/>
              <w:ind w:left="0" w:leftChars="0" w:firstLine="0" w:firstLineChars="0"/>
              <w:rPr>
                <w:rFonts w:ascii="宋体" w:hAnsi="宋体" w:cs="宋体"/>
                <w:kern w:val="0"/>
                <w:szCs w:val="21"/>
              </w:rPr>
            </w:pPr>
          </w:p>
          <w:p>
            <w:pPr>
              <w:pStyle w:val="70"/>
              <w:widowControl/>
              <w:adjustRightInd w:val="0"/>
              <w:snapToGrid w:val="0"/>
              <w:spacing w:line="360" w:lineRule="auto"/>
              <w:ind w:left="0" w:leftChars="0" w:firstLine="0" w:firstLineChars="0"/>
              <w:rPr>
                <w:rFonts w:ascii="宋体" w:hAnsi="宋体" w:cs="宋体"/>
                <w:kern w:val="0"/>
                <w:szCs w:val="21"/>
              </w:rPr>
            </w:pPr>
          </w:p>
          <w:p>
            <w:pPr>
              <w:pStyle w:val="70"/>
              <w:widowControl/>
              <w:adjustRightInd w:val="0"/>
              <w:snapToGrid w:val="0"/>
              <w:spacing w:line="360" w:lineRule="auto"/>
              <w:ind w:left="0" w:leftChars="0" w:firstLine="0" w:firstLineChars="0"/>
              <w:rPr>
                <w:rFonts w:ascii="宋体" w:hAnsi="宋体" w:cs="宋体"/>
                <w:kern w:val="0"/>
                <w:szCs w:val="21"/>
              </w:rPr>
            </w:pPr>
          </w:p>
        </w:tc>
      </w:tr>
    </w:tbl>
    <w:p>
      <w:pPr>
        <w:pStyle w:val="32"/>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68"/>
        <w:gridCol w:w="87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746" w:type="dxa"/>
            <w:tcMar>
              <w:left w:w="28" w:type="dxa"/>
              <w:right w:w="28" w:type="dxa"/>
            </w:tcMar>
            <w:vAlign w:val="center"/>
          </w:tcPr>
          <w:p>
            <w:pPr>
              <w:pStyle w:val="32"/>
              <w:adjustRightInd w:val="0"/>
              <w:snapToGrid w:val="0"/>
              <w:spacing w:before="0" w:beforeAutospacing="0" w:after="0" w:afterAutospacing="0"/>
              <w:jc w:val="center"/>
              <w:rPr>
                <w:rFonts w:cs="宋体"/>
                <w:b/>
                <w:kern w:val="2"/>
                <w:szCs w:val="24"/>
              </w:rPr>
            </w:pPr>
            <w:r>
              <w:rPr>
                <w:rFonts w:hint="eastAsia" w:cs="宋体"/>
                <w:b/>
                <w:kern w:val="2"/>
                <w:szCs w:val="24"/>
              </w:rPr>
              <w:t>施工</w:t>
            </w:r>
          </w:p>
          <w:p>
            <w:pPr>
              <w:pStyle w:val="32"/>
              <w:adjustRightInd w:val="0"/>
              <w:snapToGrid w:val="0"/>
              <w:spacing w:before="0" w:beforeAutospacing="0" w:after="0" w:afterAutospacing="0"/>
              <w:jc w:val="center"/>
              <w:rPr>
                <w:rFonts w:cs="宋体"/>
                <w:b/>
                <w:kern w:val="2"/>
                <w:szCs w:val="24"/>
              </w:rPr>
            </w:pPr>
            <w:r>
              <w:rPr>
                <w:rFonts w:hint="eastAsia" w:cs="宋体"/>
                <w:b/>
                <w:kern w:val="2"/>
                <w:szCs w:val="24"/>
              </w:rPr>
              <w:t>期环</w:t>
            </w:r>
          </w:p>
          <w:p>
            <w:pPr>
              <w:pStyle w:val="32"/>
              <w:adjustRightInd w:val="0"/>
              <w:snapToGrid w:val="0"/>
              <w:spacing w:before="0" w:beforeAutospacing="0" w:after="0" w:afterAutospacing="0"/>
              <w:jc w:val="center"/>
              <w:rPr>
                <w:rFonts w:cs="宋体"/>
                <w:b/>
                <w:kern w:val="2"/>
                <w:szCs w:val="24"/>
              </w:rPr>
            </w:pPr>
            <w:r>
              <w:rPr>
                <w:rFonts w:hint="eastAsia" w:cs="宋体"/>
                <w:b/>
                <w:kern w:val="2"/>
                <w:szCs w:val="24"/>
              </w:rPr>
              <w:t>境保</w:t>
            </w:r>
          </w:p>
          <w:p>
            <w:pPr>
              <w:pStyle w:val="32"/>
              <w:adjustRightInd w:val="0"/>
              <w:snapToGrid w:val="0"/>
              <w:spacing w:before="0" w:beforeAutospacing="0" w:after="0" w:afterAutospacing="0"/>
              <w:jc w:val="center"/>
              <w:rPr>
                <w:rFonts w:cs="宋体"/>
                <w:b/>
                <w:kern w:val="2"/>
                <w:szCs w:val="24"/>
              </w:rPr>
            </w:pPr>
            <w:r>
              <w:rPr>
                <w:rFonts w:hint="eastAsia" w:cs="宋体"/>
                <w:b/>
                <w:kern w:val="2"/>
                <w:szCs w:val="24"/>
              </w:rPr>
              <w:t>护措</w:t>
            </w:r>
          </w:p>
          <w:p>
            <w:pPr>
              <w:pStyle w:val="32"/>
              <w:adjustRightInd w:val="0"/>
              <w:snapToGrid w:val="0"/>
              <w:spacing w:before="0" w:beforeAutospacing="0" w:after="0" w:afterAutospacing="0"/>
              <w:jc w:val="center"/>
              <w:rPr>
                <w:rFonts w:cs="宋体"/>
                <w:b/>
                <w:bCs/>
                <w:kern w:val="2"/>
                <w:szCs w:val="24"/>
              </w:rPr>
            </w:pPr>
            <w:r>
              <w:rPr>
                <w:rFonts w:hint="eastAsia" w:cs="宋体"/>
                <w:b/>
                <w:kern w:val="2"/>
                <w:szCs w:val="24"/>
              </w:rPr>
              <w:t>施</w:t>
            </w:r>
          </w:p>
        </w:tc>
        <w:tc>
          <w:tcPr>
            <w:tcW w:w="8162" w:type="dxa"/>
            <w:vAlign w:val="center"/>
          </w:tcPr>
          <w:p>
            <w:pPr>
              <w:adjustRightInd w:val="0"/>
              <w:spacing w:line="360" w:lineRule="auto"/>
              <w:ind w:firstLine="480"/>
              <w:jc w:val="left"/>
              <w:rPr>
                <w:rFonts w:ascii="宋体" w:hAnsi="宋体" w:cs="宋体"/>
                <w:bCs/>
                <w:spacing w:val="-10"/>
                <w:szCs w:val="21"/>
              </w:rPr>
            </w:pPr>
            <w:r>
              <w:rPr>
                <w:sz w:val="24"/>
                <w:szCs w:val="22"/>
              </w:rPr>
              <w:t>本项目</w:t>
            </w:r>
            <w:r>
              <w:rPr>
                <w:rFonts w:hint="eastAsia"/>
                <w:sz w:val="24"/>
                <w:szCs w:val="22"/>
                <w:lang w:eastAsia="zh-CN"/>
              </w:rPr>
              <w:t>为改建项目，位于宜兴市高塍镇桃园工业区鑫运来路</w:t>
            </w:r>
            <w:r>
              <w:rPr>
                <w:rFonts w:hint="eastAsia"/>
                <w:sz w:val="24"/>
                <w:szCs w:val="22"/>
                <w:lang w:val="en-US" w:eastAsia="zh-CN"/>
              </w:rPr>
              <w:t>1号，利用本公司</w:t>
            </w:r>
            <w:r>
              <w:rPr>
                <w:sz w:val="24"/>
                <w:szCs w:val="22"/>
              </w:rPr>
              <w:t>原有车间进行生产，不新征土地和扩建厂房，只需对车间进行简单</w:t>
            </w:r>
            <w:r>
              <w:rPr>
                <w:rFonts w:hint="eastAsia"/>
                <w:sz w:val="24"/>
                <w:szCs w:val="22"/>
                <w:lang w:eastAsia="zh-CN"/>
              </w:rPr>
              <w:t>布置</w:t>
            </w:r>
            <w:r>
              <w:rPr>
                <w:rFonts w:ascii="Times New Roman" w:hAnsi="Times New Roman" w:cs="Times New Roman"/>
                <w:sz w:val="24"/>
                <w:szCs w:val="22"/>
              </w:rPr>
              <w:t>，同时进行配套设施的运输安装即可，</w:t>
            </w:r>
            <w:r>
              <w:rPr>
                <w:rFonts w:hint="eastAsia" w:ascii="Times New Roman" w:hAnsi="Times New Roman" w:cs="Times New Roman"/>
                <w:sz w:val="24"/>
                <w:szCs w:val="22"/>
              </w:rPr>
              <w:t>不新建建筑</w:t>
            </w:r>
            <w:r>
              <w:rPr>
                <w:rFonts w:hint="eastAsia" w:ascii="Times New Roman" w:hAnsi="Times New Roman" w:cs="Times New Roman"/>
                <w:sz w:val="24"/>
                <w:szCs w:val="22"/>
                <w:lang w:eastAsia="zh-CN"/>
              </w:rPr>
              <w:t>，</w:t>
            </w:r>
            <w:r>
              <w:rPr>
                <w:rFonts w:ascii="Times New Roman" w:hAnsi="Times New Roman" w:cs="Times New Roman"/>
                <w:sz w:val="24"/>
                <w:szCs w:val="22"/>
              </w:rPr>
              <w:t>不涉及室外土建施工</w:t>
            </w:r>
            <w:r>
              <w:rPr>
                <w:rFonts w:hint="eastAsia" w:ascii="Times New Roman" w:hAnsi="Times New Roman" w:cs="Times New Roman"/>
                <w:sz w:val="24"/>
                <w:szCs w:val="22"/>
              </w:rPr>
              <w:t>，几乎无施工期影响，不涉及施工期环境保护措施。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6" w:type="dxa"/>
            <w:tcMar>
              <w:left w:w="28" w:type="dxa"/>
              <w:right w:w="28" w:type="dxa"/>
            </w:tcMar>
            <w:vAlign w:val="center"/>
          </w:tcPr>
          <w:p>
            <w:pPr>
              <w:adjustRightInd w:val="0"/>
              <w:snapToGrid w:val="0"/>
              <w:jc w:val="center"/>
              <w:rPr>
                <w:rFonts w:ascii="宋体" w:hAnsi="宋体" w:cs="宋体"/>
                <w:b/>
                <w:bCs/>
                <w:sz w:val="24"/>
              </w:rPr>
            </w:pPr>
            <w:r>
              <w:rPr>
                <w:rFonts w:hint="eastAsia" w:ascii="宋体" w:hAnsi="宋体" w:cs="宋体"/>
                <w:b/>
                <w:bCs/>
                <w:sz w:val="24"/>
              </w:rPr>
              <w:t>运营</w:t>
            </w:r>
          </w:p>
          <w:p>
            <w:pPr>
              <w:adjustRightInd w:val="0"/>
              <w:snapToGrid w:val="0"/>
              <w:jc w:val="center"/>
              <w:rPr>
                <w:rFonts w:ascii="宋体" w:hAnsi="宋体" w:cs="宋体"/>
                <w:b/>
                <w:bCs/>
                <w:sz w:val="24"/>
              </w:rPr>
            </w:pPr>
            <w:r>
              <w:rPr>
                <w:rFonts w:hint="eastAsia" w:ascii="宋体" w:hAnsi="宋体" w:cs="宋体"/>
                <w:b/>
                <w:bCs/>
                <w:sz w:val="24"/>
              </w:rPr>
              <w:t>期环</w:t>
            </w:r>
          </w:p>
          <w:p>
            <w:pPr>
              <w:adjustRightInd w:val="0"/>
              <w:snapToGrid w:val="0"/>
              <w:jc w:val="center"/>
              <w:rPr>
                <w:rFonts w:ascii="宋体" w:hAnsi="宋体" w:cs="宋体"/>
                <w:b/>
                <w:bCs/>
                <w:sz w:val="24"/>
              </w:rPr>
            </w:pPr>
            <w:r>
              <w:rPr>
                <w:rFonts w:hint="eastAsia" w:ascii="宋体" w:hAnsi="宋体" w:cs="宋体"/>
                <w:b/>
                <w:bCs/>
                <w:sz w:val="24"/>
              </w:rPr>
              <w:t>境影</w:t>
            </w:r>
          </w:p>
          <w:p>
            <w:pPr>
              <w:adjustRightInd w:val="0"/>
              <w:snapToGrid w:val="0"/>
              <w:jc w:val="center"/>
              <w:rPr>
                <w:rFonts w:ascii="宋体" w:hAnsi="宋体" w:cs="宋体"/>
                <w:b/>
                <w:bCs/>
                <w:sz w:val="24"/>
              </w:rPr>
            </w:pPr>
            <w:r>
              <w:rPr>
                <w:rFonts w:hint="eastAsia" w:ascii="宋体" w:hAnsi="宋体" w:cs="宋体"/>
                <w:b/>
                <w:bCs/>
                <w:sz w:val="24"/>
              </w:rPr>
              <w:t>响和</w:t>
            </w:r>
          </w:p>
          <w:p>
            <w:pPr>
              <w:adjustRightInd w:val="0"/>
              <w:snapToGrid w:val="0"/>
              <w:jc w:val="center"/>
              <w:rPr>
                <w:rFonts w:ascii="宋体" w:hAnsi="宋体" w:cs="宋体"/>
                <w:b/>
                <w:bCs/>
                <w:sz w:val="24"/>
              </w:rPr>
            </w:pPr>
            <w:r>
              <w:rPr>
                <w:rFonts w:hint="eastAsia" w:ascii="宋体" w:hAnsi="宋体" w:cs="宋体"/>
                <w:b/>
                <w:bCs/>
                <w:sz w:val="24"/>
              </w:rPr>
              <w:t>保护</w:t>
            </w:r>
          </w:p>
          <w:p>
            <w:pPr>
              <w:adjustRightInd w:val="0"/>
              <w:snapToGrid w:val="0"/>
              <w:jc w:val="center"/>
              <w:rPr>
                <w:rFonts w:ascii="宋体" w:hAnsi="宋体" w:cs="宋体"/>
                <w:b/>
                <w:bCs/>
                <w:sz w:val="24"/>
              </w:rPr>
            </w:pPr>
            <w:r>
              <w:rPr>
                <w:rFonts w:hint="eastAsia" w:ascii="宋体" w:hAnsi="宋体" w:cs="宋体"/>
                <w:b/>
                <w:bCs/>
                <w:sz w:val="24"/>
              </w:rPr>
              <w:t>措施</w:t>
            </w:r>
          </w:p>
        </w:tc>
        <w:tc>
          <w:tcPr>
            <w:tcW w:w="8162" w:type="dxa"/>
            <w:vAlign w:val="center"/>
          </w:tcPr>
          <w:p>
            <w:pPr>
              <w:spacing w:line="360" w:lineRule="auto"/>
              <w:ind w:left="425" w:hanging="425"/>
              <w:jc w:val="left"/>
              <w:rPr>
                <w:b/>
                <w:sz w:val="24"/>
              </w:rPr>
            </w:pPr>
            <w:r>
              <w:rPr>
                <w:rFonts w:hint="eastAsia"/>
                <w:b/>
                <w:bCs/>
                <w:sz w:val="24"/>
              </w:rPr>
              <w:t>1、</w:t>
            </w:r>
            <w:r>
              <w:rPr>
                <w:rFonts w:hint="eastAsia"/>
                <w:b/>
                <w:sz w:val="24"/>
              </w:rPr>
              <w:t>废气</w:t>
            </w:r>
          </w:p>
          <w:p>
            <w:pPr>
              <w:spacing w:line="360" w:lineRule="auto"/>
              <w:ind w:firstLine="482" w:firstLineChars="200"/>
              <w:rPr>
                <w:b/>
                <w:sz w:val="24"/>
              </w:rPr>
            </w:pPr>
            <w:r>
              <w:rPr>
                <w:rFonts w:hint="eastAsia"/>
                <w:b/>
                <w:sz w:val="24"/>
              </w:rPr>
              <w:t>1.1产污环节和</w:t>
            </w:r>
            <w:r>
              <w:rPr>
                <w:b/>
                <w:sz w:val="24"/>
              </w:rPr>
              <w:t>污</w:t>
            </w:r>
            <w:r>
              <w:rPr>
                <w:rFonts w:hint="eastAsia"/>
                <w:b/>
                <w:sz w:val="24"/>
              </w:rPr>
              <w:t>染物源强</w:t>
            </w:r>
          </w:p>
          <w:p>
            <w:pPr>
              <w:spacing w:line="360" w:lineRule="auto"/>
              <w:ind w:firstLine="480" w:firstLineChars="200"/>
              <w:rPr>
                <w:sz w:val="24"/>
              </w:rPr>
            </w:pPr>
            <w:r>
              <w:rPr>
                <w:rFonts w:hint="eastAsia"/>
                <w:sz w:val="24"/>
                <w:lang w:eastAsia="zh-CN"/>
              </w:rPr>
              <w:t>（</w:t>
            </w:r>
            <w:r>
              <w:rPr>
                <w:rFonts w:hint="eastAsia"/>
                <w:sz w:val="24"/>
                <w:lang w:val="en-US" w:eastAsia="zh-CN"/>
              </w:rPr>
              <w:t>1</w:t>
            </w:r>
            <w:r>
              <w:rPr>
                <w:rFonts w:hint="eastAsia"/>
                <w:sz w:val="24"/>
                <w:lang w:eastAsia="zh-CN"/>
              </w:rPr>
              <w:t>）</w:t>
            </w:r>
            <w:r>
              <w:rPr>
                <w:sz w:val="24"/>
              </w:rPr>
              <w:t>本项目产生的废气主要为</w:t>
            </w:r>
            <w:r>
              <w:rPr>
                <w:rFonts w:hint="eastAsia"/>
                <w:sz w:val="24"/>
                <w:lang w:eastAsia="zh-CN"/>
              </w:rPr>
              <w:t>激光打孔粉尘，丝网印刷、烘干及钢化产生的</w:t>
            </w:r>
            <w:r>
              <w:rPr>
                <w:rFonts w:hint="eastAsia"/>
                <w:lang w:val="en-US" w:eastAsia="zh-CN"/>
              </w:rPr>
              <w:t>VOC</w:t>
            </w:r>
            <w:r>
              <w:rPr>
                <w:rFonts w:hint="eastAsia"/>
                <w:vertAlign w:val="subscript"/>
                <w:lang w:val="en-US" w:eastAsia="zh-CN"/>
              </w:rPr>
              <w:t>S</w:t>
            </w:r>
            <w:r>
              <w:rPr>
                <w:sz w:val="24"/>
              </w:rPr>
              <w:t>。</w:t>
            </w:r>
          </w:p>
          <w:p>
            <w:pPr>
              <w:spacing w:line="360" w:lineRule="auto"/>
              <w:ind w:firstLine="480" w:firstLineChars="200"/>
              <w:rPr>
                <w:rFonts w:hint="eastAsia"/>
                <w:vertAlign w:val="subscript"/>
                <w:lang w:val="en-US" w:eastAsia="zh-CN"/>
              </w:rPr>
            </w:pPr>
            <w:r>
              <w:rPr>
                <w:sz w:val="24"/>
              </w:rPr>
              <w:t>①</w:t>
            </w:r>
            <w:r>
              <w:rPr>
                <w:rFonts w:hint="eastAsia"/>
                <w:lang w:val="en-US" w:eastAsia="zh-CN"/>
              </w:rPr>
              <w:t>VOC</w:t>
            </w:r>
            <w:r>
              <w:rPr>
                <w:rFonts w:hint="eastAsia"/>
                <w:vertAlign w:val="subscript"/>
                <w:lang w:val="en-US" w:eastAsia="zh-CN"/>
              </w:rPr>
              <w:t>S</w:t>
            </w:r>
          </w:p>
          <w:p>
            <w:pPr>
              <w:spacing w:line="360" w:lineRule="auto"/>
              <w:ind w:firstLine="480" w:firstLineChars="200"/>
              <w:rPr>
                <w:rFonts w:hint="eastAsia"/>
                <w:sz w:val="24"/>
              </w:rPr>
            </w:pPr>
            <w:r>
              <w:rPr>
                <w:rFonts w:hint="eastAsia"/>
                <w:sz w:val="24"/>
              </w:rPr>
              <w:t>本项目在丝网印刷、烘干工序釉料中的有机粘剂结中少量残留单体会挥发，污染因子以VOCs计。本</w:t>
            </w:r>
            <w:r>
              <w:rPr>
                <w:rFonts w:hint="eastAsia" w:ascii="Times New Roman" w:hAnsi="Times New Roman" w:cs="Times New Roman"/>
                <w:sz w:val="24"/>
              </w:rPr>
              <w:t>项目使用釉料</w:t>
            </w:r>
            <w:r>
              <w:rPr>
                <w:rFonts w:hint="eastAsia" w:ascii="Times New Roman" w:hAnsi="Times New Roman" w:cs="Times New Roman"/>
                <w:sz w:val="24"/>
                <w:lang w:val="en-US" w:eastAsia="zh-CN"/>
              </w:rPr>
              <w:t>61</w:t>
            </w:r>
            <w:r>
              <w:rPr>
                <w:rFonts w:hint="eastAsia" w:ascii="Times New Roman" w:hAnsi="Times New Roman" w:cs="Times New Roman"/>
                <w:sz w:val="24"/>
              </w:rPr>
              <w:t>t/a，</w:t>
            </w:r>
            <w:r>
              <w:rPr>
                <w:rFonts w:hint="eastAsia"/>
                <w:sz w:val="24"/>
              </w:rPr>
              <w:t>釉料的主要成分为有机粘结剂(醇、醚可溶性高分子聚合物)、无机粘结料(硅、铝、钠、钾等氧化物)、钛化合物，其中有机粘结剂(醇、醚可溶性高分子聚合物)占20%，烘干温度(180℃)小于醇、醚可溶性高分子聚合物的分解温度(200℃)，故烘干时有机粘结剂不会分解，只有少量残留单体挥发。根据文献《胶粘剂中总有机挥发份含量的测定》(黑龙江省质量监督检测研究院，黑龙江哈尔滨150050)，醇、醚可溶性高分子聚合物中总有机挥发物占11%，经计算，丝网印刷、烘干工序VOCs的产生</w:t>
            </w:r>
            <w:r>
              <w:rPr>
                <w:rFonts w:hint="eastAsia" w:ascii="Times New Roman" w:hAnsi="Times New Roman" w:cs="Times New Roman"/>
                <w:sz w:val="24"/>
              </w:rPr>
              <w:t>量为</w:t>
            </w:r>
            <w:r>
              <w:rPr>
                <w:rFonts w:hint="eastAsia" w:ascii="Times New Roman" w:hAnsi="Times New Roman" w:cs="Times New Roman"/>
                <w:sz w:val="24"/>
                <w:lang w:val="en-US" w:eastAsia="zh-CN"/>
              </w:rPr>
              <w:t>1.342t/a</w:t>
            </w:r>
            <w:r>
              <w:rPr>
                <w:rFonts w:hint="eastAsia" w:ascii="Times New Roman" w:hAnsi="Times New Roman" w:cs="Times New Roman"/>
                <w:sz w:val="24"/>
              </w:rPr>
              <w:t>。</w:t>
            </w:r>
          </w:p>
          <w:p>
            <w:pPr>
              <w:spacing w:line="360" w:lineRule="auto"/>
              <w:ind w:firstLine="480" w:firstLineChars="200"/>
              <w:rPr>
                <w:rFonts w:hint="eastAsia"/>
                <w:sz w:val="24"/>
              </w:rPr>
            </w:pPr>
            <w:r>
              <w:rPr>
                <w:rFonts w:hint="eastAsia"/>
                <w:sz w:val="24"/>
              </w:rPr>
              <w:t>丝网印刷设置在一个80平方米的密闭小间内进行，企业拟对该密闭小间安</w:t>
            </w:r>
          </w:p>
          <w:p>
            <w:pPr>
              <w:spacing w:line="360" w:lineRule="auto"/>
              <w:rPr>
                <w:rFonts w:hint="eastAsia"/>
                <w:sz w:val="24"/>
              </w:rPr>
            </w:pPr>
            <w:r>
              <w:rPr>
                <w:rFonts w:hint="eastAsia"/>
                <w:sz w:val="24"/>
              </w:rPr>
              <w:t>装集气管道(捕集率90%)及烘干机进出口安装集气罩(捕集率90%)进行废气收集后通入一套活性炭二级吸附装置(总吸附率80%)处理后通过15米排气筒(</w:t>
            </w:r>
            <w:r>
              <w:rPr>
                <w:rFonts w:hint="eastAsia"/>
                <w:sz w:val="24"/>
                <w:lang w:eastAsia="zh-CN"/>
              </w:rPr>
              <w:t>DA001</w:t>
            </w:r>
            <w:r>
              <w:rPr>
                <w:rFonts w:hint="eastAsia"/>
                <w:sz w:val="24"/>
              </w:rPr>
              <w:t>)排放。风</w:t>
            </w:r>
            <w:r>
              <w:rPr>
                <w:rFonts w:hint="eastAsia" w:ascii="Times New Roman" w:hAnsi="Times New Roman" w:cs="Times New Roman"/>
                <w:sz w:val="24"/>
              </w:rPr>
              <w:t>机风量5000Nm</w:t>
            </w:r>
            <w:r>
              <w:rPr>
                <w:rFonts w:hint="eastAsia" w:ascii="Times New Roman" w:hAnsi="Times New Roman" w:cs="Times New Roman"/>
                <w:sz w:val="24"/>
                <w:vertAlign w:val="superscript"/>
                <w:lang w:val="en-US" w:eastAsia="zh-CN"/>
              </w:rPr>
              <w:t>3</w:t>
            </w:r>
            <w:r>
              <w:rPr>
                <w:rFonts w:hint="eastAsia" w:ascii="Times New Roman" w:hAnsi="Times New Roman" w:cs="Times New Roman"/>
                <w:sz w:val="24"/>
              </w:rPr>
              <w:t>/h，年运行7200h，废气量为3600万Nm</w:t>
            </w:r>
            <w:r>
              <w:rPr>
                <w:rFonts w:hint="eastAsia" w:ascii="Times New Roman" w:hAnsi="Times New Roman" w:cs="Times New Roman"/>
                <w:sz w:val="24"/>
                <w:vertAlign w:val="superscript"/>
              </w:rPr>
              <w:t>3</w:t>
            </w:r>
            <w:r>
              <w:rPr>
                <w:rFonts w:hint="eastAsia" w:ascii="Times New Roman" w:hAnsi="Times New Roman" w:cs="Times New Roman"/>
                <w:sz w:val="24"/>
              </w:rPr>
              <w:t>。</w:t>
            </w:r>
          </w:p>
          <w:p>
            <w:pPr>
              <w:spacing w:line="360" w:lineRule="auto"/>
              <w:ind w:firstLine="480" w:firstLineChars="200"/>
              <w:rPr>
                <w:rFonts w:hint="eastAsia" w:ascii="Times New Roman" w:hAnsi="Times New Roman" w:cs="Times New Roman"/>
                <w:sz w:val="24"/>
              </w:rPr>
            </w:pPr>
            <w:r>
              <w:rPr>
                <w:rFonts w:hint="eastAsia"/>
                <w:sz w:val="24"/>
              </w:rPr>
              <w:t>钢化工序釉料中的有机粘结剂200℃以上开始分解成短链烃类物质(VOCs)，VOCs在钢化炉中燃烧，燃烧产物为二氧化碳和水。类比同行业，钢化炉中尚有2%的VOCs不能完全燃烧，经计算，本项目钢化炉中</w:t>
            </w:r>
            <w:r>
              <w:rPr>
                <w:rFonts w:hint="eastAsia" w:ascii="Times New Roman" w:hAnsi="Times New Roman" w:cs="Times New Roman"/>
                <w:sz w:val="24"/>
              </w:rPr>
              <w:t>有机废</w:t>
            </w:r>
            <w:r>
              <w:rPr>
                <w:rFonts w:hint="eastAsia"/>
                <w:sz w:val="24"/>
              </w:rPr>
              <w:t>气产生</w:t>
            </w:r>
            <w:r>
              <w:rPr>
                <w:rFonts w:hint="eastAsia" w:ascii="Times New Roman" w:hAnsi="Times New Roman" w:cs="Times New Roman"/>
                <w:sz w:val="24"/>
              </w:rPr>
              <w:t>量为</w:t>
            </w:r>
            <w:r>
              <w:rPr>
                <w:rFonts w:hint="eastAsia" w:ascii="Times New Roman" w:hAnsi="Times New Roman" w:cs="Times New Roman"/>
                <w:sz w:val="24"/>
                <w:lang w:val="en-US" w:eastAsia="zh-CN"/>
              </w:rPr>
              <w:t>0.244</w:t>
            </w:r>
            <w:r>
              <w:rPr>
                <w:rFonts w:hint="eastAsia" w:ascii="Times New Roman" w:hAnsi="Times New Roman" w:cs="Times New Roman"/>
                <w:sz w:val="24"/>
              </w:rPr>
              <w:t>t/a。</w:t>
            </w:r>
          </w:p>
          <w:p>
            <w:pPr>
              <w:spacing w:line="360"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eastAsia="zh-CN"/>
              </w:rPr>
              <w:t>②</w:t>
            </w:r>
            <w:r>
              <w:rPr>
                <w:rFonts w:hint="eastAsia" w:ascii="Times New Roman" w:hAnsi="Times New Roman" w:cs="Times New Roman"/>
                <w:sz w:val="24"/>
                <w:lang w:val="en-US" w:eastAsia="zh-CN"/>
              </w:rPr>
              <w:t>粉尘</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本项目激光打孔工序产生粉尘，类比同行业，1平方米玻璃产生粉尘0.2g，</w:t>
            </w:r>
            <w:r>
              <w:rPr>
                <w:rFonts w:hint="eastAsia" w:cs="Times New Roman"/>
                <w:sz w:val="24"/>
                <w:lang w:val="en-US" w:eastAsia="zh-CN"/>
              </w:rPr>
              <w:t>885</w:t>
            </w:r>
            <w:r>
              <w:rPr>
                <w:rFonts w:hint="eastAsia" w:ascii="Times New Roman" w:hAnsi="Times New Roman" w:cs="Times New Roman"/>
                <w:sz w:val="24"/>
              </w:rPr>
              <w:t>万平方米玻璃产生粉尘</w:t>
            </w:r>
            <w:r>
              <w:rPr>
                <w:rFonts w:hint="eastAsia" w:cs="Times New Roman"/>
                <w:sz w:val="24"/>
                <w:lang w:val="en-US" w:eastAsia="zh-CN"/>
              </w:rPr>
              <w:t>1.77</w:t>
            </w:r>
            <w:r>
              <w:rPr>
                <w:rFonts w:hint="eastAsia" w:ascii="Times New Roman" w:hAnsi="Times New Roman" w:cs="Times New Roman"/>
                <w:sz w:val="24"/>
              </w:rPr>
              <w:t>吨。粉尘由激光打孔机配套烟尘净化器(捕集率90%，收尘率95%)收尘处理后无组织排放，粉</w:t>
            </w:r>
            <w:r>
              <w:rPr>
                <w:rFonts w:hint="eastAsia" w:ascii="Times New Roman" w:hAnsi="Times New Roman" w:cs="Times New Roman"/>
                <w:sz w:val="24"/>
                <w:lang w:eastAsia="zh-CN"/>
              </w:rPr>
              <w:t>尘</w:t>
            </w:r>
            <w:r>
              <w:rPr>
                <w:rFonts w:hint="eastAsia" w:ascii="Times New Roman" w:hAnsi="Times New Roman" w:cs="Times New Roman"/>
                <w:sz w:val="24"/>
              </w:rPr>
              <w:t>无组织排放量</w:t>
            </w:r>
            <w:r>
              <w:rPr>
                <w:rFonts w:hint="eastAsia" w:cs="Times New Roman"/>
                <w:sz w:val="24"/>
                <w:lang w:val="en-US" w:eastAsia="zh-CN"/>
              </w:rPr>
              <w:t>0.257</w:t>
            </w:r>
            <w:r>
              <w:rPr>
                <w:rFonts w:hint="eastAsia" w:ascii="Times New Roman" w:hAnsi="Times New Roman" w:cs="Times New Roman"/>
                <w:sz w:val="24"/>
              </w:rPr>
              <w:t>t/a.。</w:t>
            </w:r>
          </w:p>
          <w:p>
            <w:pPr>
              <w:spacing w:line="360" w:lineRule="auto"/>
              <w:ind w:firstLine="480" w:firstLineChars="200"/>
              <w:rPr>
                <w:rFonts w:hint="eastAsia" w:ascii="Times New Roman" w:hAnsi="Times New Roman" w:cs="Times New Roman"/>
                <w:sz w:val="24"/>
                <w:lang w:eastAsia="zh-CN"/>
              </w:rPr>
            </w:pPr>
            <w:r>
              <w:rPr>
                <w:rFonts w:hint="default" w:ascii="Times New Roman" w:hAnsi="Times New Roman" w:cs="Times New Roman"/>
                <w:sz w:val="24"/>
                <w:lang w:eastAsia="zh-CN"/>
              </w:rPr>
              <w:t>③</w:t>
            </w:r>
            <w:r>
              <w:rPr>
                <w:rFonts w:hint="eastAsia" w:ascii="Times New Roman" w:hAnsi="Times New Roman" w:cs="Times New Roman"/>
                <w:sz w:val="24"/>
                <w:lang w:eastAsia="zh-CN"/>
              </w:rPr>
              <w:t>小结</w:t>
            </w:r>
          </w:p>
          <w:p>
            <w:pPr>
              <w:spacing w:line="360" w:lineRule="auto"/>
              <w:ind w:firstLine="480" w:firstLineChars="200"/>
              <w:rPr>
                <w:rFonts w:hint="eastAsia"/>
                <w:sz w:val="24"/>
              </w:rPr>
            </w:pPr>
            <w:r>
              <w:rPr>
                <w:rFonts w:hint="eastAsia"/>
                <w:sz w:val="24"/>
              </w:rPr>
              <w:t>根据上述分析，本项目废气污染防治情况见图4-1，主要废气污染源源强核算结果及相关参数见表4-</w:t>
            </w:r>
            <w:r>
              <w:rPr>
                <w:rFonts w:hint="eastAsia"/>
                <w:sz w:val="24"/>
                <w:lang w:val="en-US" w:eastAsia="zh-CN"/>
              </w:rPr>
              <w:t>2</w:t>
            </w:r>
            <w:r>
              <w:rPr>
                <w:rFonts w:hint="eastAsia"/>
                <w:sz w:val="24"/>
              </w:rPr>
              <w:t>。本项目废气污染物排放情况见表4-</w:t>
            </w:r>
            <w:r>
              <w:rPr>
                <w:rFonts w:hint="eastAsia"/>
                <w:sz w:val="24"/>
                <w:lang w:val="en-US" w:eastAsia="zh-CN"/>
              </w:rPr>
              <w:t>3、4-5</w:t>
            </w:r>
            <w:r>
              <w:rPr>
                <w:rFonts w:hint="eastAsia"/>
                <w:sz w:val="24"/>
              </w:rPr>
              <w:t>，排放口基本情况见表4-</w:t>
            </w:r>
            <w:r>
              <w:rPr>
                <w:rFonts w:hint="eastAsia"/>
                <w:sz w:val="24"/>
                <w:lang w:val="en-US" w:eastAsia="zh-CN"/>
              </w:rPr>
              <w:t>4、4-6</w:t>
            </w:r>
            <w:r>
              <w:rPr>
                <w:rFonts w:hint="eastAsia"/>
                <w:sz w:val="24"/>
              </w:rPr>
              <w:t>。</w:t>
            </w:r>
          </w:p>
          <w:p>
            <w:pPr>
              <w:spacing w:line="360" w:lineRule="auto"/>
              <w:jc w:val="center"/>
              <w:rPr>
                <w:rFonts w:hint="eastAsia"/>
                <w:b/>
                <w:szCs w:val="21"/>
              </w:rPr>
            </w:pPr>
            <w:r>
              <w:rPr>
                <w:sz w:val="24"/>
              </w:rPr>
              <mc:AlternateContent>
                <mc:Choice Requires="wpg">
                  <w:drawing>
                    <wp:anchor distT="0" distB="0" distL="114300" distR="114300" simplePos="0" relativeHeight="251661312" behindDoc="0" locked="0" layoutInCell="1" allowOverlap="1">
                      <wp:simplePos x="0" y="0"/>
                      <wp:positionH relativeFrom="column">
                        <wp:posOffset>-10160</wp:posOffset>
                      </wp:positionH>
                      <wp:positionV relativeFrom="paragraph">
                        <wp:posOffset>43815</wp:posOffset>
                      </wp:positionV>
                      <wp:extent cx="5425440" cy="1412875"/>
                      <wp:effectExtent l="0" t="0" r="0" b="0"/>
                      <wp:wrapNone/>
                      <wp:docPr id="89" name="组合 89"/>
                      <wp:cNvGraphicFramePr/>
                      <a:graphic xmlns:a="http://schemas.openxmlformats.org/drawingml/2006/main">
                        <a:graphicData uri="http://schemas.microsoft.com/office/word/2010/wordprocessingGroup">
                          <wpg:wgp>
                            <wpg:cNvGrpSpPr/>
                            <wpg:grpSpPr>
                              <a:xfrm>
                                <a:off x="0" y="0"/>
                                <a:ext cx="5425440" cy="1412875"/>
                                <a:chOff x="4098" y="629134"/>
                                <a:chExt cx="8544" cy="2225"/>
                              </a:xfrm>
                            </wpg:grpSpPr>
                            <wpg:grpSp>
                              <wpg:cNvPr id="46" name="组合 46"/>
                              <wpg:cNvGrpSpPr/>
                              <wpg:grpSpPr>
                                <a:xfrm>
                                  <a:off x="4101" y="629134"/>
                                  <a:ext cx="8541" cy="1125"/>
                                  <a:chOff x="2462" y="552959"/>
                                  <a:chExt cx="8541" cy="1125"/>
                                </a:xfrm>
                              </wpg:grpSpPr>
                              <wps:wsp>
                                <wps:cNvPr id="54" name="直线 161"/>
                                <wps:cNvCnPr>
                                  <a:cxnSpLocks noChangeShapeType="1"/>
                                </wps:cNvCnPr>
                                <wps:spPr bwMode="auto">
                                  <a:xfrm>
                                    <a:off x="3767" y="553420"/>
                                    <a:ext cx="442" cy="0"/>
                                  </a:xfrm>
                                  <a:prstGeom prst="line">
                                    <a:avLst/>
                                  </a:prstGeom>
                                  <a:noFill/>
                                  <a:ln w="9525">
                                    <a:solidFill>
                                      <a:srgbClr val="000000"/>
                                    </a:solidFill>
                                    <a:round/>
                                    <a:tailEnd type="triangle" w="med" len="med"/>
                                  </a:ln>
                                </wps:spPr>
                                <wps:bodyPr/>
                              </wps:wsp>
                              <wps:wsp>
                                <wps:cNvPr id="55" name="文本框 2"/>
                                <wps:cNvSpPr txBox="1"/>
                                <wps:spPr>
                                  <a:xfrm>
                                    <a:off x="2462" y="552974"/>
                                    <a:ext cx="1319" cy="1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丝网印刷、烘干工序（VOCs）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162"/>
                                <wps:cNvSpPr>
                                  <a:spLocks noChangeArrowheads="1"/>
                                </wps:cNvSpPr>
                                <wps:spPr bwMode="auto">
                                  <a:xfrm>
                                    <a:off x="4210" y="553187"/>
                                    <a:ext cx="2186" cy="484"/>
                                  </a:xfrm>
                                  <a:prstGeom prst="rect">
                                    <a:avLst/>
                                  </a:prstGeom>
                                  <a:solidFill>
                                    <a:srgbClr val="FFFFFF"/>
                                  </a:solidFill>
                                  <a:ln w="9525">
                                    <a:solidFill>
                                      <a:srgbClr val="000000"/>
                                    </a:solidFill>
                                    <a:miter lim="800000"/>
                                  </a:ln>
                                </wps:spPr>
                                <wps:txbx>
                                  <w:txbxContent>
                                    <w:p>
                                      <w:pPr>
                                        <w:jc w:val="center"/>
                                        <w:rPr>
                                          <w:rFonts w:hint="default"/>
                                          <w:lang w:val="en-US"/>
                                        </w:rPr>
                                      </w:pPr>
                                      <w:r>
                                        <w:rPr>
                                          <w:rFonts w:hint="eastAsia"/>
                                          <w:lang w:val="en-US" w:eastAsia="zh-CN"/>
                                        </w:rPr>
                                        <w:t>集气罩收集90%</w:t>
                                      </w:r>
                                    </w:p>
                                  </w:txbxContent>
                                </wps:txbx>
                                <wps:bodyPr rot="0" vert="horz" wrap="square" lIns="91440" tIns="45720" rIns="91440" bIns="45720" anchor="t" anchorCtr="0" upright="1">
                                  <a:noAutofit/>
                                </wps:bodyPr>
                              </wps:wsp>
                              <wps:wsp>
                                <wps:cNvPr id="57" name="直线 161"/>
                                <wps:cNvCnPr>
                                  <a:cxnSpLocks noChangeShapeType="1"/>
                                </wps:cNvCnPr>
                                <wps:spPr bwMode="auto">
                                  <a:xfrm>
                                    <a:off x="6483" y="553458"/>
                                    <a:ext cx="442" cy="0"/>
                                  </a:xfrm>
                                  <a:prstGeom prst="line">
                                    <a:avLst/>
                                  </a:prstGeom>
                                  <a:noFill/>
                                  <a:ln w="9525">
                                    <a:solidFill>
                                      <a:srgbClr val="000000"/>
                                    </a:solidFill>
                                    <a:round/>
                                    <a:tailEnd type="triangle" w="med" len="med"/>
                                  </a:ln>
                                </wps:spPr>
                                <wps:bodyPr/>
                              </wps:wsp>
                              <wps:wsp>
                                <wps:cNvPr id="58" name="矩形 162"/>
                                <wps:cNvSpPr>
                                  <a:spLocks noChangeArrowheads="1"/>
                                </wps:cNvSpPr>
                                <wps:spPr bwMode="auto">
                                  <a:xfrm>
                                    <a:off x="7079" y="553065"/>
                                    <a:ext cx="2187" cy="779"/>
                                  </a:xfrm>
                                  <a:prstGeom prst="rect">
                                    <a:avLst/>
                                  </a:prstGeom>
                                  <a:solidFill>
                                    <a:srgbClr val="FFFFFF"/>
                                  </a:solidFill>
                                  <a:ln w="9525">
                                    <a:solidFill>
                                      <a:srgbClr val="000000"/>
                                    </a:solidFill>
                                    <a:miter lim="800000"/>
                                  </a:ln>
                                </wps:spPr>
                                <wps:txbx>
                                  <w:txbxContent>
                                    <w:p>
                                      <w:pPr>
                                        <w:rPr>
                                          <w:rFonts w:hint="eastAsia" w:eastAsia="宋体"/>
                                          <w:lang w:eastAsia="zh-CN"/>
                                        </w:rPr>
                                      </w:pPr>
                                      <w:r>
                                        <w:rPr>
                                          <w:rFonts w:hint="eastAsia" w:ascii="Times New Roman" w:hAnsi="Times New Roman"/>
                                          <w:sz w:val="21"/>
                                          <w:szCs w:val="21"/>
                                        </w:rPr>
                                        <w:t>二级活性炭吸附装置（VOCs80%</w:t>
                                      </w:r>
                                      <w:r>
                                        <w:rPr>
                                          <w:rFonts w:hint="eastAsia" w:ascii="Times New Roman" w:hAnsi="Times New Roman"/>
                                          <w:sz w:val="21"/>
                                          <w:szCs w:val="21"/>
                                          <w:lang w:eastAsia="zh-CN"/>
                                        </w:rPr>
                                        <w:t>）</w:t>
                                      </w:r>
                                    </w:p>
                                  </w:txbxContent>
                                </wps:txbx>
                                <wps:bodyPr rot="0" vert="horz" wrap="square" lIns="91440" tIns="45720" rIns="91440" bIns="45720" anchor="t" anchorCtr="0" upright="1">
                                  <a:noAutofit/>
                                </wps:bodyPr>
                              </wps:wsp>
                              <wps:wsp>
                                <wps:cNvPr id="61" name="直线 161"/>
                                <wps:cNvCnPr>
                                  <a:cxnSpLocks noChangeShapeType="1"/>
                                </wps:cNvCnPr>
                                <wps:spPr bwMode="auto">
                                  <a:xfrm>
                                    <a:off x="9426" y="553470"/>
                                    <a:ext cx="442" cy="0"/>
                                  </a:xfrm>
                                  <a:prstGeom prst="line">
                                    <a:avLst/>
                                  </a:prstGeom>
                                  <a:noFill/>
                                  <a:ln w="9525">
                                    <a:solidFill>
                                      <a:srgbClr val="000000"/>
                                    </a:solidFill>
                                    <a:round/>
                                    <a:tailEnd type="triangle" w="med" len="med"/>
                                  </a:ln>
                                </wps:spPr>
                                <wps:bodyPr/>
                              </wps:wsp>
                              <wps:wsp>
                                <wps:cNvPr id="62" name="矩形 162"/>
                                <wps:cNvSpPr>
                                  <a:spLocks noChangeArrowheads="1"/>
                                </wps:cNvSpPr>
                                <wps:spPr bwMode="auto">
                                  <a:xfrm>
                                    <a:off x="9707" y="552959"/>
                                    <a:ext cx="1296" cy="1070"/>
                                  </a:xfrm>
                                  <a:prstGeom prst="rect">
                                    <a:avLst/>
                                  </a:prstGeom>
                                  <a:noFill/>
                                  <a:ln w="9525">
                                    <a:noFill/>
                                    <a:miter lim="800000"/>
                                  </a:ln>
                                </wps:spPr>
                                <wps:txbx>
                                  <w:txbxContent>
                                    <w:p>
                                      <w:pPr>
                                        <w:jc w:val="center"/>
                                        <w:rPr>
                                          <w:rFonts w:hint="default" w:eastAsia="宋体"/>
                                          <w:lang w:val="en-US" w:eastAsia="zh-CN"/>
                                        </w:rPr>
                                      </w:pPr>
                                      <w:r>
                                        <w:rPr>
                                          <w:rFonts w:hint="eastAsia"/>
                                          <w:lang w:val="en-US" w:eastAsia="zh-CN"/>
                                        </w:rPr>
                                        <w:t>15m高排气筒排放（DA001）</w:t>
                                      </w:r>
                                    </w:p>
                                  </w:txbxContent>
                                </wps:txbx>
                                <wps:bodyPr rot="0" vert="horz" wrap="square" lIns="91440" tIns="45720" rIns="91440" bIns="45720" anchor="t" anchorCtr="0" upright="1">
                                  <a:noAutofit/>
                                </wps:bodyPr>
                              </wps:wsp>
                            </wpg:grpSp>
                            <wpg:grpSp>
                              <wpg:cNvPr id="65" name="组合 65"/>
                              <wpg:cNvGrpSpPr/>
                              <wpg:grpSpPr>
                                <a:xfrm>
                                  <a:off x="4098" y="630365"/>
                                  <a:ext cx="8014" cy="994"/>
                                  <a:chOff x="1560" y="556215"/>
                                  <a:chExt cx="8014" cy="994"/>
                                </a:xfrm>
                              </wpg:grpSpPr>
                              <wps:wsp>
                                <wps:cNvPr id="82" name="文本框 64"/>
                                <wps:cNvSpPr txBox="1"/>
                                <wps:spPr>
                                  <a:xfrm>
                                    <a:off x="1560" y="556215"/>
                                    <a:ext cx="1379" cy="9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激光打孔粉尘（颗粒物）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3" name="直线 161"/>
                                <wps:cNvCnPr>
                                  <a:cxnSpLocks noChangeShapeType="1"/>
                                </wps:cNvCnPr>
                                <wps:spPr bwMode="auto">
                                  <a:xfrm>
                                    <a:off x="2978" y="556573"/>
                                    <a:ext cx="442" cy="0"/>
                                  </a:xfrm>
                                  <a:prstGeom prst="line">
                                    <a:avLst/>
                                  </a:prstGeom>
                                  <a:noFill/>
                                  <a:ln w="9525">
                                    <a:solidFill>
                                      <a:srgbClr val="000000"/>
                                    </a:solidFill>
                                    <a:round/>
                                    <a:tailEnd type="triangle" w="med" len="med"/>
                                  </a:ln>
                                </wps:spPr>
                                <wps:bodyPr/>
                              </wps:wsp>
                              <wps:wsp>
                                <wps:cNvPr id="84" name="矩形 162"/>
                                <wps:cNvSpPr>
                                  <a:spLocks noChangeArrowheads="1"/>
                                </wps:cNvSpPr>
                                <wps:spPr bwMode="auto">
                                  <a:xfrm>
                                    <a:off x="3519" y="556364"/>
                                    <a:ext cx="1966" cy="470"/>
                                  </a:xfrm>
                                  <a:prstGeom prst="rect">
                                    <a:avLst/>
                                  </a:prstGeom>
                                  <a:solidFill>
                                    <a:srgbClr val="FFFFFF"/>
                                  </a:solidFill>
                                  <a:ln w="9525">
                                    <a:solidFill>
                                      <a:srgbClr val="000000"/>
                                    </a:solidFill>
                                    <a:miter lim="800000"/>
                                  </a:ln>
                                </wps:spPr>
                                <wps:txbx>
                                  <w:txbxContent>
                                    <w:p>
                                      <w:pPr>
                                        <w:jc w:val="center"/>
                                        <w:rPr>
                                          <w:rFonts w:hint="default" w:eastAsia="宋体"/>
                                          <w:lang w:val="en-US" w:eastAsia="zh-CN"/>
                                        </w:rPr>
                                      </w:pPr>
                                      <w:r>
                                        <w:rPr>
                                          <w:rFonts w:hint="eastAsia"/>
                                          <w:lang w:eastAsia="zh-CN"/>
                                        </w:rPr>
                                        <w:t>捕集率</w:t>
                                      </w:r>
                                      <w:r>
                                        <w:rPr>
                                          <w:rFonts w:hint="eastAsia"/>
                                          <w:lang w:val="en-US" w:eastAsia="zh-CN"/>
                                        </w:rPr>
                                        <w:t>90%</w:t>
                                      </w:r>
                                    </w:p>
                                  </w:txbxContent>
                                </wps:txbx>
                                <wps:bodyPr rot="0" vert="horz" wrap="square" lIns="91440" tIns="45720" rIns="91440" bIns="45720" anchor="t" anchorCtr="0" upright="1">
                                  <a:noAutofit/>
                                </wps:bodyPr>
                              </wps:wsp>
                              <wps:wsp>
                                <wps:cNvPr id="85" name="直线 161"/>
                                <wps:cNvCnPr>
                                  <a:cxnSpLocks noChangeShapeType="1"/>
                                </wps:cNvCnPr>
                                <wps:spPr bwMode="auto">
                                  <a:xfrm>
                                    <a:off x="5569" y="556584"/>
                                    <a:ext cx="442" cy="0"/>
                                  </a:xfrm>
                                  <a:prstGeom prst="line">
                                    <a:avLst/>
                                  </a:prstGeom>
                                  <a:noFill/>
                                  <a:ln w="9525">
                                    <a:solidFill>
                                      <a:srgbClr val="000000"/>
                                    </a:solidFill>
                                    <a:round/>
                                    <a:tailEnd type="triangle" w="med" len="med"/>
                                  </a:ln>
                                </wps:spPr>
                                <wps:bodyPr/>
                              </wps:wsp>
                              <wps:wsp>
                                <wps:cNvPr id="86" name="文本框 69"/>
                                <wps:cNvSpPr txBox="1"/>
                                <wps:spPr>
                                  <a:xfrm>
                                    <a:off x="8591" y="556361"/>
                                    <a:ext cx="983" cy="4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车间</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0.8pt;margin-top:3.45pt;height:111.25pt;width:427.2pt;z-index:251661312;mso-width-relative:page;mso-height-relative:page;" coordorigin="4098,629134" coordsize="8544,2225" o:gfxdata="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">
                      <o:lock v:ext="edit" aspectratio="f"/>
                      <v:group id="_x0000_s1026" o:spid="_x0000_s1026" o:spt="203" style="position:absolute;left:4101;top:629134;height:1125;width:8541;" coordorigin="2462,552959" coordsize="8541,1125"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line id="直线 161" o:spid="_x0000_s1026" o:spt="20" style="position:absolute;left:3767;top:553420;height:0;width:442;" filled="f" stroked="t" coordsize="21600,21600" o:gfxdata="UEsDBAoAAAAAAIdO4kAAAAAAAAAAAAAAAAAEAAAAZHJzL1BLAwQUAAAACACHTuJAgPhDaL8AAADb&#10;AAAADwAAAGRycy9kb3ducmV2LnhtbEWPT2vCQBTE7wW/w/KE3uom0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4Q2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2" o:spid="_x0000_s1026" o:spt="202" type="#_x0000_t202" style="position:absolute;left:2462;top:552974;height:1110;width:1319;"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lang w:val="en-US" w:eastAsia="zh-CN"/>
                                  </w:rPr>
                                </w:pPr>
                                <w:r>
                                  <w:rPr>
                                    <w:rFonts w:hint="eastAsia"/>
                                    <w:lang w:val="en-US" w:eastAsia="zh-CN"/>
                                  </w:rPr>
                                  <w:t>丝网印刷、烘干工序（VOCs）</w:t>
                                </w:r>
                              </w:p>
                            </w:txbxContent>
                          </v:textbox>
                        </v:shape>
                        <v:rect id="矩形 162" o:spid="_x0000_s1026" o:spt="1" style="position:absolute;left:4210;top:553187;height:484;width:2186;" fillcolor="#FFFFFF" filled="t" stroked="t" coordsize="21600,21600" o:gfxdata="UEsDBAoAAAAAAIdO4kAAAAAAAAAAAAAAAAAEAAAAZHJzL1BLAwQUAAAACACHTuJA81OavrwAAADb&#10;AAAADwAAAGRycy9kb3ducmV2LnhtbEWPQYvCMBSE78L+h/AW9qaJLop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Tmr6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rFonts w:hint="default"/>
                                    <w:lang w:val="en-US"/>
                                  </w:rPr>
                                </w:pPr>
                                <w:r>
                                  <w:rPr>
                                    <w:rFonts w:hint="eastAsia"/>
                                    <w:lang w:val="en-US" w:eastAsia="zh-CN"/>
                                  </w:rPr>
                                  <w:t>集气罩收集90%</w:t>
                                </w:r>
                              </w:p>
                            </w:txbxContent>
                          </v:textbox>
                        </v:rect>
                        <v:line id="直线 161" o:spid="_x0000_s1026" o:spt="20" style="position:absolute;left:6483;top:553458;height:0;width:442;" filled="f" stroked="t" coordsize="21600,21600" o:gfxdata="UEsDBAoAAAAAAIdO4kAAAAAAAAAAAAAAAAAEAAAAZHJzL1BLAwQUAAAACACHTuJAcCrdH78AAADb&#10;AAAADwAAAGRycy9kb3ducmV2LnhtbEWPT2vCQBTE7wW/w/KE3uomQmu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q3R+/&#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162" o:spid="_x0000_s1026" o:spt="1" style="position:absolute;left:7079;top:553065;height:779;width:2187;" fillcolor="#FFFFFF" filled="t" stroked="t" coordsize="21600,21600" o:gfxdata="UEsDBAoAAAAAAIdO4kAAAAAAAAAAAAAAAAAEAAAAZHJzL1BLAwQUAAAACACHTuJA7YCrV7oAAADb&#10;AAAADwAAAGRycy9kb3ducmV2LnhtbEVPu27CMBTdkfoP1q3UDWyoim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gKtX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rPr>
                                    <w:rFonts w:hint="eastAsia" w:eastAsia="宋体"/>
                                    <w:lang w:eastAsia="zh-CN"/>
                                  </w:rPr>
                                </w:pPr>
                                <w:r>
                                  <w:rPr>
                                    <w:rFonts w:hint="eastAsia" w:ascii="Times New Roman" w:hAnsi="Times New Roman"/>
                                    <w:sz w:val="21"/>
                                    <w:szCs w:val="21"/>
                                  </w:rPr>
                                  <w:t>二级活性炭吸附装置（VOCs80%</w:t>
                                </w:r>
                                <w:r>
                                  <w:rPr>
                                    <w:rFonts w:hint="eastAsia" w:ascii="Times New Roman" w:hAnsi="Times New Roman"/>
                                    <w:sz w:val="21"/>
                                    <w:szCs w:val="21"/>
                                    <w:lang w:eastAsia="zh-CN"/>
                                  </w:rPr>
                                  <w:t>）</w:t>
                                </w:r>
                              </w:p>
                            </w:txbxContent>
                          </v:textbox>
                        </v:rect>
                        <v:line id="直线 161" o:spid="_x0000_s1026" o:spt="20" style="position:absolute;left:9426;top:553470;height:0;width:442;" filled="f" stroked="t" coordsize="21600,21600" o:gfxdata="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ypN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162" o:spid="_x0000_s1026" o:spt="1" style="position:absolute;left:9707;top:552959;height:1070;width:1296;" filled="f" stroked="f" coordsize="21600,21600" o:gfxdata="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n7IG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jc w:val="center"/>
                                  <w:rPr>
                                    <w:rFonts w:hint="default" w:eastAsia="宋体"/>
                                    <w:lang w:val="en-US" w:eastAsia="zh-CN"/>
                                  </w:rPr>
                                </w:pPr>
                                <w:r>
                                  <w:rPr>
                                    <w:rFonts w:hint="eastAsia"/>
                                    <w:lang w:val="en-US" w:eastAsia="zh-CN"/>
                                  </w:rPr>
                                  <w:t>15m高排气筒排放（DA001）</w:t>
                                </w:r>
                              </w:p>
                            </w:txbxContent>
                          </v:textbox>
                        </v:rect>
                      </v:group>
                      <v:group id="_x0000_s1026" o:spid="_x0000_s1026" o:spt="203" style="position:absolute;left:4098;top:630365;height:994;width:8014;" coordorigin="1560,556215" coordsize="8014,994"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文本框 64" o:spid="_x0000_s1026" o:spt="202" type="#_x0000_t202" style="position:absolute;left:1560;top:556215;height:994;width:1379;" filled="f" stroked="f" coordsize="21600,21600" o:gfxdata="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sOf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lang w:val="en-US" w:eastAsia="zh-CN"/>
                                  </w:rPr>
                                </w:pPr>
                                <w:r>
                                  <w:rPr>
                                    <w:rFonts w:hint="eastAsia"/>
                                    <w:lang w:val="en-US" w:eastAsia="zh-CN"/>
                                  </w:rPr>
                                  <w:t>激光打孔粉尘（颗粒物）</w:t>
                                </w:r>
                              </w:p>
                            </w:txbxContent>
                          </v:textbox>
                        </v:shape>
                        <v:line id="直线 161" o:spid="_x0000_s1026" o:spt="20" style="position:absolute;left:2978;top:556573;height:0;width:442;" filled="f" stroked="t" coordsize="21600,21600" o:gfxdata="UEsDBAoAAAAAAIdO4kAAAAAAAAAAAAAAAAAEAAAAZHJzL1BLAwQUAAAACACHTuJAcXH3W78AAADb&#10;AAAADwAAAGRycy9kb3ducmV2LnhtbEWPQWvCQBSE70L/w/IKvekmLUh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x91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162" o:spid="_x0000_s1026" o:spt="1" style="position:absolute;left:3519;top:556364;height:470;width:1966;" fillcolor="#FFFFFF" filled="t" stroked="t" coordsize="21600,21600" o:gfxdata="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q2NF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hint="default" w:eastAsia="宋体"/>
                                    <w:lang w:val="en-US" w:eastAsia="zh-CN"/>
                                  </w:rPr>
                                </w:pPr>
                                <w:r>
                                  <w:rPr>
                                    <w:rFonts w:hint="eastAsia"/>
                                    <w:lang w:eastAsia="zh-CN"/>
                                  </w:rPr>
                                  <w:t>捕集率</w:t>
                                </w:r>
                                <w:r>
                                  <w:rPr>
                                    <w:rFonts w:hint="eastAsia"/>
                                    <w:lang w:val="en-US" w:eastAsia="zh-CN"/>
                                  </w:rPr>
                                  <w:t>90%</w:t>
                                </w:r>
                              </w:p>
                            </w:txbxContent>
                          </v:textbox>
                        </v:rect>
                        <v:line id="直线 161" o:spid="_x0000_s1026" o:spt="20" style="position:absolute;left:5569;top:556584;height:0;width:442;" filled="f" stroked="t" coordsize="21600,21600" o:gfxdata="UEsDBAoAAAAAAIdO4kAAAAAAAAAAAAAAAAAEAAAAZHJzL1BLAwQUAAAACACHTuJAkdTKtL8AAADb&#10;AAAADwAAAGRycy9kb3ducmV2LnhtbEWPQWvCQBSE70L/w/IKvekmhUp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Uyr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文本框 69" o:spid="_x0000_s1026" o:spt="202" type="#_x0000_t202" style="position:absolute;left:8591;top:556361;height:439;width:983;" filled="f" stroked="f" coordsize="21600,21600" o:gfxdata="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vh6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lang w:val="en-US" w:eastAsia="zh-CN"/>
                                  </w:rPr>
                                </w:pPr>
                                <w:r>
                                  <w:rPr>
                                    <w:rFonts w:hint="eastAsia"/>
                                    <w:lang w:val="en-US" w:eastAsia="zh-CN"/>
                                  </w:rPr>
                                  <w:t>车间</w:t>
                                </w:r>
                              </w:p>
                            </w:txbxContent>
                          </v:textbox>
                        </v:shape>
                      </v:group>
                    </v:group>
                  </w:pict>
                </mc:Fallback>
              </mc:AlternateContent>
            </w:r>
          </w:p>
          <w:p>
            <w:pPr>
              <w:spacing w:line="360" w:lineRule="auto"/>
              <w:jc w:val="center"/>
              <w:rPr>
                <w:rFonts w:hint="eastAsia"/>
                <w:b/>
                <w:szCs w:val="21"/>
              </w:rPr>
            </w:pPr>
          </w:p>
          <w:p>
            <w:pPr>
              <w:spacing w:line="360" w:lineRule="auto"/>
              <w:jc w:val="center"/>
              <w:rPr>
                <w:rFonts w:hint="eastAsia"/>
                <w:b/>
                <w:szCs w:val="21"/>
              </w:rPr>
            </w:pPr>
          </w:p>
          <w:p>
            <w:pPr>
              <w:spacing w:line="360" w:lineRule="auto"/>
              <w:jc w:val="center"/>
              <w:rPr>
                <w:rFonts w:hint="eastAsia"/>
                <w:b/>
                <w:szCs w:val="21"/>
              </w:rPr>
            </w:pPr>
            <w:r>
              <w:rPr>
                <w:sz w:val="21"/>
              </w:rPr>
              <mc:AlternateContent>
                <mc:Choice Requires="wpg">
                  <w:drawing>
                    <wp:anchor distT="0" distB="0" distL="114300" distR="114300" simplePos="0" relativeHeight="251662336" behindDoc="0" locked="0" layoutInCell="1" allowOverlap="1">
                      <wp:simplePos x="0" y="0"/>
                      <wp:positionH relativeFrom="column">
                        <wp:posOffset>2840990</wp:posOffset>
                      </wp:positionH>
                      <wp:positionV relativeFrom="paragraph">
                        <wp:posOffset>206375</wp:posOffset>
                      </wp:positionV>
                      <wp:extent cx="1582420" cy="298450"/>
                      <wp:effectExtent l="4445" t="4445" r="13335" b="20955"/>
                      <wp:wrapNone/>
                      <wp:docPr id="90" name="组合 90"/>
                      <wp:cNvGraphicFramePr/>
                      <a:graphic xmlns:a="http://schemas.openxmlformats.org/drawingml/2006/main">
                        <a:graphicData uri="http://schemas.microsoft.com/office/word/2010/wordprocessingGroup">
                          <wpg:wgp>
                            <wpg:cNvGrpSpPr/>
                            <wpg:grpSpPr>
                              <a:xfrm>
                                <a:off x="0" y="0"/>
                                <a:ext cx="1582420" cy="298450"/>
                                <a:chOff x="8588" y="629958"/>
                                <a:chExt cx="2492" cy="470"/>
                              </a:xfrm>
                            </wpg:grpSpPr>
                            <wps:wsp>
                              <wps:cNvPr id="87" name="直线 161"/>
                              <wps:cNvCnPr>
                                <a:cxnSpLocks noChangeShapeType="1"/>
                              </wps:cNvCnPr>
                              <wps:spPr bwMode="auto">
                                <a:xfrm>
                                  <a:off x="10638" y="630213"/>
                                  <a:ext cx="442" cy="0"/>
                                </a:xfrm>
                                <a:prstGeom prst="line">
                                  <a:avLst/>
                                </a:prstGeom>
                                <a:noFill/>
                                <a:ln w="9525">
                                  <a:solidFill>
                                    <a:srgbClr val="000000"/>
                                  </a:solidFill>
                                  <a:round/>
                                  <a:tailEnd type="triangle" w="med" len="med"/>
                                </a:ln>
                              </wps:spPr>
                              <wps:bodyPr/>
                            </wps:wsp>
                            <wps:wsp>
                              <wps:cNvPr id="88" name="矩形 162"/>
                              <wps:cNvSpPr>
                                <a:spLocks noChangeArrowheads="1"/>
                              </wps:cNvSpPr>
                              <wps:spPr bwMode="auto">
                                <a:xfrm>
                                  <a:off x="8588" y="629958"/>
                                  <a:ext cx="1966" cy="470"/>
                                </a:xfrm>
                                <a:prstGeom prst="rect">
                                  <a:avLst/>
                                </a:prstGeom>
                                <a:solidFill>
                                  <a:srgbClr val="FFFFFF"/>
                                </a:solidFill>
                                <a:ln w="9525">
                                  <a:solidFill>
                                    <a:srgbClr val="000000"/>
                                  </a:solidFill>
                                  <a:miter lim="800000"/>
                                </a:ln>
                              </wps:spPr>
                              <wps:txbx>
                                <w:txbxContent>
                                  <w:p>
                                    <w:pPr>
                                      <w:jc w:val="center"/>
                                      <w:rPr>
                                        <w:rFonts w:hint="default" w:eastAsia="宋体"/>
                                        <w:lang w:val="en-US" w:eastAsia="zh-CN"/>
                                      </w:rPr>
                                    </w:pPr>
                                    <w:r>
                                      <w:rPr>
                                        <w:rFonts w:hint="eastAsia"/>
                                        <w:lang w:eastAsia="zh-CN"/>
                                      </w:rPr>
                                      <w:t>烟尘净化器</w:t>
                                    </w:r>
                                    <w:r>
                                      <w:rPr>
                                        <w:rFonts w:hint="eastAsia"/>
                                        <w:lang w:val="en-US" w:eastAsia="zh-CN"/>
                                      </w:rPr>
                                      <w:t>95%</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23.7pt;margin-top:16.25pt;height:23.5pt;width:124.6pt;z-index:251662336;mso-width-relative:page;mso-height-relative:page;" coordorigin="8588,629958" coordsize="2492,470" o:gfxdata="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K8DM2naAAAACQEAAA8AAAAAAAAA&#10;AQAgAAAAIgAAAGRycy9kb3ducmV2LnhtbFBLAQIUABQAAAAIAIdO4kDJL54FLAMAAKsHAAAOAAAA&#10;AAAAAAEAIAAAACkBAABkcnMvZTJvRG9jLnhtbFBLBQYAAAAABgAGAFkBAADHBgAAAAA=&#10;">
                      <o:lock v:ext="edit" aspectratio="f"/>
                      <v:line id="直线 161" o:spid="_x0000_s1026" o:spt="20" style="position:absolute;left:10638;top:630213;height:0;width:442;" filled="f" stroked="t" coordsize="21600,21600" o:gfxdata="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K8V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162" o:spid="_x0000_s1026" o:spt="1" style="position:absolute;left:8588;top:629958;height:470;width:1966;" fillcolor="#FFFFFF" filled="t" stroked="t" coordsize="21600,21600" o:gfxdata="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HEL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pPr>
                                <w:jc w:val="center"/>
                                <w:rPr>
                                  <w:rFonts w:hint="default" w:eastAsia="宋体"/>
                                  <w:lang w:val="en-US" w:eastAsia="zh-CN"/>
                                </w:rPr>
                              </w:pPr>
                              <w:r>
                                <w:rPr>
                                  <w:rFonts w:hint="eastAsia"/>
                                  <w:lang w:eastAsia="zh-CN"/>
                                </w:rPr>
                                <w:t>烟尘净化器</w:t>
                              </w:r>
                              <w:r>
                                <w:rPr>
                                  <w:rFonts w:hint="eastAsia"/>
                                  <w:lang w:val="en-US" w:eastAsia="zh-CN"/>
                                </w:rPr>
                                <w:t>95%</w:t>
                              </w:r>
                            </w:p>
                          </w:txbxContent>
                        </v:textbox>
                      </v:rect>
                    </v:group>
                  </w:pict>
                </mc:Fallback>
              </mc:AlternateContent>
            </w:r>
          </w:p>
          <w:p>
            <w:pPr>
              <w:spacing w:line="360" w:lineRule="auto"/>
              <w:jc w:val="center"/>
              <w:rPr>
                <w:rFonts w:hint="eastAsia"/>
                <w:b/>
                <w:szCs w:val="21"/>
              </w:rPr>
            </w:pPr>
          </w:p>
          <w:p>
            <w:pPr>
              <w:spacing w:line="360" w:lineRule="auto"/>
              <w:jc w:val="both"/>
              <w:rPr>
                <w:rFonts w:hint="eastAsia"/>
                <w:b/>
                <w:szCs w:val="21"/>
              </w:rPr>
            </w:pPr>
          </w:p>
          <w:p>
            <w:pPr>
              <w:spacing w:line="360" w:lineRule="auto"/>
              <w:jc w:val="center"/>
              <w:rPr>
                <w:rFonts w:hint="eastAsia"/>
                <w:sz w:val="24"/>
                <w:szCs w:val="24"/>
              </w:rPr>
            </w:pPr>
            <w:r>
              <w:rPr>
                <w:rFonts w:hint="eastAsia"/>
                <w:b/>
                <w:sz w:val="24"/>
                <w:szCs w:val="24"/>
              </w:rPr>
              <w:t>图4-</w:t>
            </w:r>
            <w:r>
              <w:rPr>
                <w:rFonts w:hint="eastAsia"/>
                <w:b/>
                <w:sz w:val="24"/>
                <w:szCs w:val="24"/>
                <w:lang w:val="en-US" w:eastAsia="zh-CN"/>
              </w:rPr>
              <w:t>1</w:t>
            </w:r>
            <w:r>
              <w:rPr>
                <w:rFonts w:hint="eastAsia"/>
                <w:b/>
                <w:sz w:val="24"/>
                <w:szCs w:val="24"/>
              </w:rPr>
              <w:t>废气处理流程图</w:t>
            </w:r>
          </w:p>
          <w:p>
            <w:pPr>
              <w:spacing w:line="360" w:lineRule="auto"/>
              <w:ind w:firstLine="480" w:firstLineChars="200"/>
              <w:rPr>
                <w:rFonts w:hint="eastAsia"/>
                <w:sz w:val="24"/>
              </w:rPr>
            </w:pPr>
          </w:p>
          <w:p>
            <w:pPr>
              <w:spacing w:line="360" w:lineRule="auto"/>
              <w:ind w:firstLine="480" w:firstLineChars="200"/>
            </w:pPr>
            <w:r>
              <w:rPr>
                <w:rFonts w:hint="eastAsia"/>
                <w:sz w:val="24"/>
              </w:rPr>
              <w:t>（</w:t>
            </w:r>
            <w:r>
              <w:rPr>
                <w:rFonts w:hint="eastAsia"/>
                <w:sz w:val="24"/>
                <w:lang w:val="en-US" w:eastAsia="zh-CN"/>
              </w:rPr>
              <w:t>2</w:t>
            </w:r>
            <w:r>
              <w:rPr>
                <w:rFonts w:hint="eastAsia"/>
                <w:sz w:val="24"/>
              </w:rPr>
              <w:t>）废气</w:t>
            </w:r>
            <w:r>
              <w:rPr>
                <w:sz w:val="24"/>
              </w:rPr>
              <w:t>源强参数</w:t>
            </w:r>
          </w:p>
          <w:p>
            <w:pPr>
              <w:jc w:val="center"/>
              <w:rPr>
                <w:rFonts w:hint="eastAsia"/>
                <w:b/>
                <w:sz w:val="24"/>
                <w:szCs w:val="24"/>
              </w:rPr>
            </w:pPr>
            <w:r>
              <w:rPr>
                <w:b/>
                <w:sz w:val="24"/>
              </w:rPr>
              <w:t>表</w:t>
            </w:r>
            <w:r>
              <w:rPr>
                <w:rFonts w:hint="eastAsia"/>
                <w:b/>
                <w:sz w:val="24"/>
              </w:rPr>
              <w:t>4</w:t>
            </w:r>
            <w:r>
              <w:rPr>
                <w:b/>
                <w:sz w:val="24"/>
              </w:rPr>
              <w:t>-</w:t>
            </w:r>
            <w:r>
              <w:rPr>
                <w:rFonts w:hint="eastAsia"/>
                <w:b/>
                <w:sz w:val="24"/>
                <w:lang w:val="en-US" w:eastAsia="zh-CN"/>
              </w:rPr>
              <w:t>2</w:t>
            </w:r>
            <w:r>
              <w:rPr>
                <w:rFonts w:hint="eastAsia"/>
                <w:b/>
                <w:sz w:val="24"/>
              </w:rPr>
              <w:t xml:space="preserve">  </w:t>
            </w:r>
            <w:r>
              <w:rPr>
                <w:rFonts w:hint="eastAsia"/>
                <w:b/>
                <w:sz w:val="24"/>
                <w:szCs w:val="24"/>
              </w:rPr>
              <w:t>主要废气污染源源强核算结果及相关参数表</w:t>
            </w:r>
          </w:p>
          <w:tbl>
            <w:tblPr>
              <w:tblStyle w:val="36"/>
              <w:tblpPr w:leftFromText="180" w:rightFromText="180" w:vertAnchor="text" w:horzAnchor="page" w:tblpX="39" w:tblpY="13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530"/>
              <w:gridCol w:w="629"/>
              <w:gridCol w:w="536"/>
              <w:gridCol w:w="524"/>
              <w:gridCol w:w="677"/>
              <w:gridCol w:w="953"/>
              <w:gridCol w:w="890"/>
              <w:gridCol w:w="542"/>
              <w:gridCol w:w="437"/>
              <w:gridCol w:w="780"/>
              <w:gridCol w:w="980"/>
              <w:gridCol w:w="9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c>
                <w:tcPr>
                  <w:tcW w:w="530" w:type="dxa"/>
                  <w:vMerge w:val="restart"/>
                  <w:tcBorders>
                    <w:top w:val="single" w:color="000000" w:sz="12"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工序</w:t>
                  </w:r>
                  <w:r>
                    <w:rPr>
                      <w:rStyle w:val="87"/>
                      <w:rFonts w:hint="default" w:ascii="Times New Roman" w:hAnsi="Times New Roman" w:eastAsia="宋体" w:cs="Times New Roman"/>
                      <w:b/>
                      <w:bCs/>
                      <w:color w:val="auto"/>
                      <w:sz w:val="21"/>
                      <w:szCs w:val="21"/>
                      <w:lang w:bidi="ar"/>
                    </w:rPr>
                    <w:t>/</w:t>
                  </w:r>
                  <w:r>
                    <w:rPr>
                      <w:rFonts w:hint="default" w:ascii="Times New Roman" w:hAnsi="Times New Roman" w:eastAsia="宋体" w:cs="Times New Roman"/>
                      <w:b/>
                      <w:bCs/>
                      <w:kern w:val="0"/>
                      <w:sz w:val="21"/>
                      <w:szCs w:val="21"/>
                      <w:lang w:bidi="ar"/>
                    </w:rPr>
                    <w:t>生产线</w:t>
                  </w:r>
                </w:p>
              </w:tc>
              <w:tc>
                <w:tcPr>
                  <w:tcW w:w="629" w:type="dxa"/>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污染源</w:t>
                  </w:r>
                </w:p>
              </w:tc>
              <w:tc>
                <w:tcPr>
                  <w:tcW w:w="536" w:type="dxa"/>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污染物</w:t>
                  </w:r>
                </w:p>
              </w:tc>
              <w:tc>
                <w:tcPr>
                  <w:tcW w:w="3044" w:type="dxa"/>
                  <w:gridSpan w:val="4"/>
                  <w:tcBorders>
                    <w:top w:val="single" w:color="000000" w:sz="12"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污染物产生</w:t>
                  </w:r>
                </w:p>
              </w:tc>
              <w:tc>
                <w:tcPr>
                  <w:tcW w:w="979" w:type="dxa"/>
                  <w:gridSpan w:val="2"/>
                  <w:tcBorders>
                    <w:top w:val="single" w:color="000000" w:sz="12"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治理措施</w:t>
                  </w:r>
                </w:p>
              </w:tc>
              <w:tc>
                <w:tcPr>
                  <w:tcW w:w="2750" w:type="dxa"/>
                  <w:gridSpan w:val="3"/>
                  <w:tcBorders>
                    <w:top w:val="single" w:color="000000" w:sz="12" w:space="0"/>
                    <w:left w:val="single" w:color="000000" w:sz="4" w:space="0"/>
                    <w:bottom w:val="single" w:color="000000" w:sz="4" w:space="0"/>
                    <w:right w:val="nil"/>
                  </w:tcBorders>
                  <w:noWrap w:val="0"/>
                  <w:vAlign w:val="center"/>
                </w:tcPr>
                <w:p>
                  <w:pPr>
                    <w:widowControl/>
                    <w:spacing w:line="280" w:lineRule="exact"/>
                    <w:jc w:val="center"/>
                    <w:textAlignment w:val="center"/>
                    <w:rPr>
                      <w:rFonts w:hint="default" w:ascii="Times New Roman" w:hAnsi="Times New Roman" w:eastAsia="宋体" w:cs="Times New Roman"/>
                      <w:b/>
                      <w:bCs/>
                      <w:kern w:val="0"/>
                      <w:sz w:val="21"/>
                      <w:szCs w:val="21"/>
                      <w:lang w:bidi="ar"/>
                    </w:rPr>
                  </w:pPr>
                  <w:r>
                    <w:rPr>
                      <w:rFonts w:hint="default" w:ascii="Times New Roman" w:hAnsi="Times New Roman" w:eastAsia="宋体" w:cs="Times New Roman"/>
                      <w:b/>
                      <w:bCs/>
                      <w:kern w:val="0"/>
                      <w:sz w:val="21"/>
                      <w:szCs w:val="21"/>
                      <w:lang w:bidi="ar"/>
                    </w:rPr>
                    <w:t>污染物排放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530" w:type="dxa"/>
                  <w:vMerge w:val="continue"/>
                  <w:tcBorders>
                    <w:top w:val="single" w:color="000000" w:sz="4" w:space="0"/>
                    <w:left w:val="nil"/>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b/>
                      <w:bCs/>
                      <w:sz w:val="21"/>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b/>
                      <w:bCs/>
                      <w:sz w:val="21"/>
                      <w:szCs w:val="21"/>
                    </w:rPr>
                  </w:pPr>
                </w:p>
              </w:tc>
              <w:tc>
                <w:tcPr>
                  <w:tcW w:w="53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b/>
                      <w:bCs/>
                      <w:sz w:val="21"/>
                      <w:szCs w:val="21"/>
                    </w:rPr>
                  </w:pPr>
                </w:p>
              </w:tc>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风量</w:t>
                  </w:r>
                  <w:r>
                    <w:rPr>
                      <w:rStyle w:val="87"/>
                      <w:rFonts w:hint="default" w:ascii="Times New Roman" w:hAnsi="Times New Roman" w:eastAsia="宋体" w:cs="Times New Roman"/>
                      <w:b/>
                      <w:bCs/>
                      <w:color w:val="auto"/>
                      <w:sz w:val="21"/>
                      <w:szCs w:val="21"/>
                      <w:lang w:bidi="ar"/>
                    </w:rPr>
                    <w:t>m</w:t>
                  </w:r>
                  <w:r>
                    <w:rPr>
                      <w:rStyle w:val="135"/>
                      <w:rFonts w:hint="default" w:ascii="Times New Roman" w:hAnsi="Times New Roman" w:eastAsia="宋体" w:cs="Times New Roman"/>
                      <w:b/>
                      <w:bCs/>
                      <w:color w:val="auto"/>
                      <w:sz w:val="21"/>
                      <w:szCs w:val="21"/>
                      <w:lang w:bidi="ar"/>
                    </w:rPr>
                    <w:t>3</w:t>
                  </w:r>
                  <w:r>
                    <w:rPr>
                      <w:rStyle w:val="87"/>
                      <w:rFonts w:hint="default" w:ascii="Times New Roman" w:hAnsi="Times New Roman" w:eastAsia="宋体" w:cs="Times New Roman"/>
                      <w:b/>
                      <w:bCs/>
                      <w:color w:val="auto"/>
                      <w:sz w:val="21"/>
                      <w:szCs w:val="21"/>
                      <w:lang w:bidi="ar"/>
                    </w:rPr>
                    <w:t>/h</w:t>
                  </w:r>
                </w:p>
              </w:tc>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产生浓度</w:t>
                  </w:r>
                  <w:r>
                    <w:rPr>
                      <w:rStyle w:val="87"/>
                      <w:rFonts w:hint="default" w:ascii="Times New Roman" w:hAnsi="Times New Roman" w:eastAsia="宋体" w:cs="Times New Roman"/>
                      <w:b/>
                      <w:bCs/>
                      <w:color w:val="auto"/>
                      <w:sz w:val="21"/>
                      <w:szCs w:val="21"/>
                      <w:lang w:bidi="ar"/>
                    </w:rPr>
                    <w:t>mg/m</w:t>
                  </w:r>
                  <w:r>
                    <w:rPr>
                      <w:rStyle w:val="87"/>
                      <w:rFonts w:hint="default" w:ascii="Times New Roman" w:hAnsi="Times New Roman" w:eastAsia="宋体" w:cs="Times New Roman"/>
                      <w:b/>
                      <w:bCs/>
                      <w:color w:val="auto"/>
                      <w:sz w:val="21"/>
                      <w:szCs w:val="21"/>
                      <w:vertAlign w:val="superscript"/>
                      <w:lang w:bidi="ar"/>
                    </w:rPr>
                    <w:t>3</w:t>
                  </w:r>
                </w:p>
              </w:tc>
              <w:tc>
                <w:tcPr>
                  <w:tcW w:w="95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产生速率</w:t>
                  </w:r>
                  <w:r>
                    <w:rPr>
                      <w:rStyle w:val="87"/>
                      <w:rFonts w:hint="default" w:ascii="Times New Roman" w:hAnsi="Times New Roman" w:eastAsia="宋体" w:cs="Times New Roman"/>
                      <w:b/>
                      <w:bCs/>
                      <w:color w:val="auto"/>
                      <w:sz w:val="21"/>
                      <w:szCs w:val="21"/>
                      <w:lang w:bidi="ar"/>
                    </w:rPr>
                    <w:t>kg/h</w:t>
                  </w:r>
                </w:p>
              </w:tc>
              <w:tc>
                <w:tcPr>
                  <w:tcW w:w="8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产生量</w:t>
                  </w:r>
                  <w:r>
                    <w:rPr>
                      <w:rStyle w:val="87"/>
                      <w:rFonts w:hint="default" w:ascii="Times New Roman" w:hAnsi="Times New Roman" w:eastAsia="宋体" w:cs="Times New Roman"/>
                      <w:b/>
                      <w:bCs/>
                      <w:color w:val="auto"/>
                      <w:sz w:val="21"/>
                      <w:szCs w:val="21"/>
                      <w:lang w:bidi="ar"/>
                    </w:rPr>
                    <w:t>t/a</w:t>
                  </w:r>
                </w:p>
              </w:tc>
              <w:tc>
                <w:tcPr>
                  <w:tcW w:w="5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工艺</w:t>
                  </w:r>
                </w:p>
              </w:tc>
              <w:tc>
                <w:tcPr>
                  <w:tcW w:w="4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净化效率%</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排放浓度</w:t>
                  </w:r>
                  <w:r>
                    <w:rPr>
                      <w:rStyle w:val="87"/>
                      <w:rFonts w:hint="default" w:ascii="Times New Roman" w:hAnsi="Times New Roman" w:eastAsia="宋体" w:cs="Times New Roman"/>
                      <w:b/>
                      <w:bCs/>
                      <w:color w:val="auto"/>
                      <w:sz w:val="21"/>
                      <w:szCs w:val="21"/>
                      <w:lang w:bidi="ar"/>
                    </w:rPr>
                    <w:t>mg/m</w:t>
                  </w:r>
                  <w:r>
                    <w:rPr>
                      <w:rStyle w:val="87"/>
                      <w:rFonts w:hint="default" w:ascii="Times New Roman" w:hAnsi="Times New Roman" w:eastAsia="宋体" w:cs="Times New Roman"/>
                      <w:b/>
                      <w:bCs/>
                      <w:color w:val="auto"/>
                      <w:sz w:val="21"/>
                      <w:szCs w:val="21"/>
                      <w:vertAlign w:val="superscript"/>
                      <w:lang w:bidi="ar"/>
                    </w:rPr>
                    <w:t>3</w:t>
                  </w:r>
                </w:p>
              </w:tc>
              <w:tc>
                <w:tcPr>
                  <w:tcW w:w="9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排放速率</w:t>
                  </w:r>
                  <w:r>
                    <w:rPr>
                      <w:rStyle w:val="87"/>
                      <w:rFonts w:hint="default" w:ascii="Times New Roman" w:hAnsi="Times New Roman" w:eastAsia="宋体" w:cs="Times New Roman"/>
                      <w:b/>
                      <w:bCs/>
                      <w:color w:val="auto"/>
                      <w:sz w:val="21"/>
                      <w:szCs w:val="21"/>
                      <w:lang w:bidi="ar"/>
                    </w:rPr>
                    <w:t>kg/h</w:t>
                  </w:r>
                </w:p>
              </w:tc>
              <w:tc>
                <w:tcPr>
                  <w:tcW w:w="990" w:type="dxa"/>
                  <w:vMerge w:val="restart"/>
                  <w:tcBorders>
                    <w:top w:val="single" w:color="000000" w:sz="4" w:space="0"/>
                    <w:left w:val="single" w:color="000000" w:sz="4" w:space="0"/>
                    <w:bottom w:val="single" w:color="000000" w:sz="4" w:space="0"/>
                    <w:right w:val="nil"/>
                  </w:tcBorders>
                  <w:noWrap w:val="0"/>
                  <w:vAlign w:val="center"/>
                </w:tcPr>
                <w:p>
                  <w:pPr>
                    <w:widowControl/>
                    <w:spacing w:line="280" w:lineRule="exact"/>
                    <w:jc w:val="center"/>
                    <w:textAlignment w:val="center"/>
                    <w:rPr>
                      <w:rFonts w:hint="default" w:ascii="Times New Roman" w:hAnsi="Times New Roman" w:eastAsia="宋体" w:cs="Times New Roman"/>
                      <w:b/>
                      <w:bCs/>
                      <w:sz w:val="21"/>
                      <w:szCs w:val="21"/>
                    </w:rPr>
                  </w:pPr>
                  <w:r>
                    <w:rPr>
                      <w:rFonts w:hint="default" w:ascii="Times New Roman" w:hAnsi="Times New Roman" w:eastAsia="宋体" w:cs="Times New Roman"/>
                      <w:b/>
                      <w:bCs/>
                      <w:kern w:val="0"/>
                      <w:sz w:val="21"/>
                      <w:szCs w:val="21"/>
                      <w:lang w:bidi="ar"/>
                    </w:rPr>
                    <w:t>排放量</w:t>
                  </w:r>
                  <w:r>
                    <w:rPr>
                      <w:rStyle w:val="87"/>
                      <w:rFonts w:hint="default" w:ascii="Times New Roman" w:hAnsi="Times New Roman" w:eastAsia="宋体" w:cs="Times New Roman"/>
                      <w:b/>
                      <w:bCs/>
                      <w:color w:val="auto"/>
                      <w:sz w:val="21"/>
                      <w:szCs w:val="21"/>
                      <w:lang w:bidi="ar"/>
                    </w:rPr>
                    <w:t>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530" w:type="dxa"/>
                  <w:vMerge w:val="continue"/>
                  <w:tcBorders>
                    <w:top w:val="single" w:color="000000" w:sz="4" w:space="0"/>
                    <w:left w:val="nil"/>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6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53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95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8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5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43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9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p>
              </w:tc>
              <w:tc>
                <w:tcPr>
                  <w:tcW w:w="990" w:type="dxa"/>
                  <w:vMerge w:val="continue"/>
                  <w:tcBorders>
                    <w:top w:val="single" w:color="000000" w:sz="4" w:space="0"/>
                    <w:left w:val="single" w:color="000000" w:sz="4" w:space="0"/>
                    <w:bottom w:val="single" w:color="000000" w:sz="4" w:space="0"/>
                    <w:right w:val="nil"/>
                  </w:tcBorders>
                  <w:noWrap w:val="0"/>
                  <w:vAlign w:val="center"/>
                </w:tcPr>
                <w:p>
                  <w:pPr>
                    <w:spacing w:line="280" w:lineRule="exact"/>
                    <w:jc w:val="center"/>
                    <w:rPr>
                      <w:rFonts w:hint="default" w:ascii="Times New Roman" w:hAnsi="Times New Roman" w:eastAsia="宋体" w:cs="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trPr>
              <w:tc>
                <w:tcPr>
                  <w:tcW w:w="530" w:type="dxa"/>
                  <w:vMerge w:val="restart"/>
                  <w:tcBorders>
                    <w:top w:val="single" w:color="000000" w:sz="4" w:space="0"/>
                    <w:left w:val="nil"/>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丝网印刷、烘干工序</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DA001</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VOCs</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5000</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33.55</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0.158</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top"/>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1.208</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rPr>
                  </w:pPr>
                  <w:r>
                    <w:rPr>
                      <w:rFonts w:hint="eastAsia" w:cs="Times New Roman"/>
                      <w:kern w:val="0"/>
                      <w:sz w:val="21"/>
                      <w:szCs w:val="21"/>
                      <w:lang w:eastAsia="zh-CN"/>
                    </w:rPr>
                    <w:t>集气罩</w:t>
                  </w:r>
                  <w:r>
                    <w:rPr>
                      <w:rFonts w:hint="eastAsia" w:cs="Times New Roman"/>
                      <w:kern w:val="0"/>
                      <w:sz w:val="21"/>
                      <w:szCs w:val="21"/>
                      <w:lang w:val="en-US" w:eastAsia="zh-CN"/>
                    </w:rPr>
                    <w:t>+</w:t>
                  </w:r>
                  <w:r>
                    <w:rPr>
                      <w:rFonts w:hint="default" w:ascii="Times New Roman" w:hAnsi="Times New Roman" w:eastAsia="宋体" w:cs="Times New Roman"/>
                      <w:kern w:val="0"/>
                      <w:sz w:val="21"/>
                      <w:szCs w:val="21"/>
                      <w:lang w:eastAsia="zh-CN"/>
                    </w:rPr>
                    <w:t>活性炭二级吸附</w:t>
                  </w:r>
                  <w:r>
                    <w:rPr>
                      <w:rFonts w:hint="default" w:ascii="Times New Roman" w:hAnsi="Times New Roman" w:eastAsia="宋体" w:cs="Times New Roman"/>
                      <w:kern w:val="0"/>
                      <w:sz w:val="21"/>
                      <w:szCs w:val="21"/>
                      <w:lang w:val="en-US" w:eastAsia="zh-CN"/>
                    </w:rPr>
                    <w:t>+15米排气筒</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6.71</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0.034</w:t>
                  </w:r>
                </w:p>
              </w:tc>
              <w:tc>
                <w:tcPr>
                  <w:tcW w:w="990" w:type="dxa"/>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0.242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trPr>
              <w:tc>
                <w:tcPr>
                  <w:tcW w:w="530" w:type="dxa"/>
                  <w:vMerge w:val="continue"/>
                  <w:tcBorders>
                    <w:top w:val="single" w:color="000000" w:sz="4" w:space="0"/>
                    <w:left w:val="nil"/>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eastAsia="zh-CN"/>
                    </w:rPr>
                  </w:pP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无组织</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VOCs</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0.019</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0.134</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加强通风</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0.019</w:t>
                  </w:r>
                </w:p>
              </w:tc>
              <w:tc>
                <w:tcPr>
                  <w:tcW w:w="990" w:type="dxa"/>
                  <w:tcBorders>
                    <w:top w:val="single" w:color="000000" w:sz="4" w:space="0"/>
                    <w:left w:val="single" w:color="000000" w:sz="4" w:space="0"/>
                    <w:bottom w:val="single" w:color="000000" w:sz="4" w:space="0"/>
                    <w:right w:val="nil"/>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trPr>
              <w:tc>
                <w:tcPr>
                  <w:tcW w:w="530" w:type="dxa"/>
                  <w:tcBorders>
                    <w:top w:val="single" w:color="000000" w:sz="4" w:space="0"/>
                    <w:left w:val="nil"/>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钢化工序</w:t>
                  </w:r>
                </w:p>
              </w:tc>
              <w:tc>
                <w:tcPr>
                  <w:tcW w:w="62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无组织</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VOCs</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6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0.034</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0.244</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加强通风</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0.034</w:t>
                  </w:r>
                </w:p>
              </w:tc>
              <w:tc>
                <w:tcPr>
                  <w:tcW w:w="990" w:type="dxa"/>
                  <w:tcBorders>
                    <w:top w:val="single" w:color="000000" w:sz="4" w:space="0"/>
                    <w:left w:val="single" w:color="000000" w:sz="4" w:space="0"/>
                    <w:bottom w:val="single" w:color="000000" w:sz="4" w:space="0"/>
                    <w:right w:val="nil"/>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 w:hRule="atLeast"/>
              </w:trPr>
              <w:tc>
                <w:tcPr>
                  <w:tcW w:w="530" w:type="dxa"/>
                  <w:tcBorders>
                    <w:top w:val="single" w:color="000000" w:sz="4" w:space="0"/>
                    <w:left w:val="nil"/>
                    <w:bottom w:val="single" w:color="000000" w:sz="12"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激光打孔工序</w:t>
                  </w:r>
                </w:p>
              </w:tc>
              <w:tc>
                <w:tcPr>
                  <w:tcW w:w="629" w:type="dxa"/>
                  <w:tcBorders>
                    <w:top w:val="single" w:color="000000" w:sz="4" w:space="0"/>
                    <w:left w:val="single" w:color="000000" w:sz="4" w:space="0"/>
                    <w:bottom w:val="single" w:color="000000" w:sz="12"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无组织</w:t>
                  </w:r>
                </w:p>
              </w:tc>
              <w:tc>
                <w:tcPr>
                  <w:tcW w:w="536" w:type="dxa"/>
                  <w:tcBorders>
                    <w:top w:val="single" w:color="000000" w:sz="4" w:space="0"/>
                    <w:left w:val="single" w:color="000000" w:sz="4" w:space="0"/>
                    <w:bottom w:val="single" w:color="000000" w:sz="12"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粉尘</w:t>
                  </w:r>
                </w:p>
              </w:tc>
              <w:tc>
                <w:tcPr>
                  <w:tcW w:w="524" w:type="dxa"/>
                  <w:tcBorders>
                    <w:top w:val="single" w:color="000000" w:sz="4" w:space="0"/>
                    <w:left w:val="single" w:color="000000" w:sz="4" w:space="0"/>
                    <w:bottom w:val="single" w:color="000000" w:sz="12" w:space="0"/>
                    <w:right w:val="single" w:color="000000" w:sz="4" w:space="0"/>
                  </w:tcBorders>
                  <w:noWrap w:val="0"/>
                  <w:vAlign w:val="center"/>
                </w:tcPr>
                <w:p>
                  <w:pPr>
                    <w:spacing w:line="28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677"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设备配套吸尘装置</w:t>
                  </w:r>
                </w:p>
              </w:tc>
              <w:tc>
                <w:tcPr>
                  <w:tcW w:w="953"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0.246</w:t>
                  </w:r>
                </w:p>
              </w:tc>
              <w:tc>
                <w:tcPr>
                  <w:tcW w:w="890" w:type="dxa"/>
                  <w:tcBorders>
                    <w:top w:val="single" w:color="000000" w:sz="4" w:space="0"/>
                    <w:left w:val="single" w:color="000000" w:sz="4" w:space="0"/>
                    <w:bottom w:val="single" w:color="000000" w:sz="12"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1.77</w:t>
                  </w:r>
                </w:p>
              </w:tc>
              <w:tc>
                <w:tcPr>
                  <w:tcW w:w="542" w:type="dxa"/>
                  <w:tcBorders>
                    <w:top w:val="single" w:color="000000" w:sz="4" w:space="0"/>
                    <w:left w:val="single" w:color="000000" w:sz="4" w:space="0"/>
                    <w:bottom w:val="single" w:color="000000" w:sz="12"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加强通风</w:t>
                  </w:r>
                </w:p>
              </w:tc>
              <w:tc>
                <w:tcPr>
                  <w:tcW w:w="437" w:type="dxa"/>
                  <w:tcBorders>
                    <w:top w:val="single" w:color="000000" w:sz="4" w:space="0"/>
                    <w:left w:val="single" w:color="000000" w:sz="4" w:space="0"/>
                    <w:bottom w:val="single" w:color="000000" w:sz="12" w:space="0"/>
                    <w:right w:val="single" w:color="000000" w:sz="4" w:space="0"/>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780"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80"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0.036</w:t>
                  </w:r>
                </w:p>
              </w:tc>
              <w:tc>
                <w:tcPr>
                  <w:tcW w:w="990" w:type="dxa"/>
                  <w:tcBorders>
                    <w:top w:val="single" w:color="000000" w:sz="4" w:space="0"/>
                    <w:left w:val="single" w:color="000000" w:sz="4" w:space="0"/>
                    <w:bottom w:val="single" w:color="000000" w:sz="12" w:space="0"/>
                    <w:right w:val="nil"/>
                  </w:tcBorders>
                  <w:noWrap w:val="0"/>
                  <w:vAlign w:val="center"/>
                </w:tcPr>
                <w:p>
                  <w:pPr>
                    <w:widowControl/>
                    <w:spacing w:line="280" w:lineRule="exact"/>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0.257</w:t>
                  </w:r>
                </w:p>
              </w:tc>
            </w:tr>
          </w:tbl>
          <w:p>
            <w:pPr>
              <w:jc w:val="center"/>
              <w:rPr>
                <w:b/>
                <w:sz w:val="24"/>
              </w:rPr>
            </w:pPr>
          </w:p>
          <w:p>
            <w:pPr>
              <w:jc w:val="center"/>
              <w:rPr>
                <w:rFonts w:hint="eastAsia"/>
                <w:b/>
                <w:sz w:val="24"/>
                <w:szCs w:val="24"/>
              </w:rPr>
            </w:pPr>
            <w:r>
              <w:rPr>
                <w:rFonts w:hint="eastAsia"/>
                <w:b/>
                <w:sz w:val="24"/>
                <w:szCs w:val="24"/>
              </w:rPr>
              <w:t>表4-</w:t>
            </w:r>
            <w:r>
              <w:rPr>
                <w:rFonts w:hint="eastAsia"/>
                <w:b/>
                <w:sz w:val="24"/>
                <w:szCs w:val="24"/>
                <w:lang w:val="en-US" w:eastAsia="zh-CN"/>
              </w:rPr>
              <w:t>3</w:t>
            </w:r>
            <w:r>
              <w:rPr>
                <w:rFonts w:hint="eastAsia"/>
                <w:b/>
                <w:sz w:val="24"/>
                <w:szCs w:val="24"/>
              </w:rPr>
              <w:t>有组织废气污染物排放情况一览表</w:t>
            </w:r>
          </w:p>
          <w:tbl>
            <w:tblPr>
              <w:tblStyle w:val="36"/>
              <w:tblW w:w="5000" w:type="pct"/>
              <w:jc w:val="center"/>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37"/>
              <w:gridCol w:w="744"/>
              <w:gridCol w:w="597"/>
              <w:gridCol w:w="852"/>
              <w:gridCol w:w="903"/>
              <w:gridCol w:w="1039"/>
              <w:gridCol w:w="1267"/>
              <w:gridCol w:w="2258"/>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93" w:type="pct"/>
                  <w:vMerge w:val="restart"/>
                  <w:tcBorders>
                    <w:top w:val="single" w:color="000000" w:sz="12" w:space="0"/>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污染源</w:t>
                  </w:r>
                </w:p>
              </w:tc>
              <w:tc>
                <w:tcPr>
                  <w:tcW w:w="438" w:type="pct"/>
                  <w:vMerge w:val="restart"/>
                  <w:tcBorders>
                    <w:top w:val="single" w:color="000000" w:sz="12" w:space="0"/>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w:t>
                  </w:r>
                </w:p>
              </w:tc>
              <w:tc>
                <w:tcPr>
                  <w:tcW w:w="852" w:type="pct"/>
                  <w:gridSpan w:val="2"/>
                  <w:tcBorders>
                    <w:top w:val="single" w:color="000000" w:sz="12" w:space="0"/>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治理措施</w:t>
                  </w:r>
                </w:p>
              </w:tc>
              <w:tc>
                <w:tcPr>
                  <w:tcW w:w="1887" w:type="pct"/>
                  <w:gridSpan w:val="3"/>
                  <w:tcBorders>
                    <w:top w:val="single" w:color="000000" w:sz="12" w:space="0"/>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污染物排放</w:t>
                  </w:r>
                </w:p>
              </w:tc>
              <w:tc>
                <w:tcPr>
                  <w:tcW w:w="1328" w:type="pct"/>
                  <w:vMerge w:val="restart"/>
                  <w:tcBorders>
                    <w:top w:val="single" w:color="000000" w:sz="12" w:space="0"/>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排放标准</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493" w:type="pct"/>
                  <w:vMerge w:val="continue"/>
                  <w:tcBorders>
                    <w:tl2br w:val="nil"/>
                    <w:tr2bl w:val="nil"/>
                  </w:tcBorders>
                  <w:noWrap w:val="0"/>
                  <w:vAlign w:val="center"/>
                </w:tcPr>
                <w:p>
                  <w:pPr>
                    <w:jc w:val="center"/>
                    <w:rPr>
                      <w:rFonts w:hint="default" w:ascii="Times New Roman" w:hAnsi="Times New Roman" w:eastAsia="宋体" w:cs="Times New Roman"/>
                      <w:b/>
                      <w:bCs/>
                      <w:sz w:val="21"/>
                      <w:szCs w:val="21"/>
                    </w:rPr>
                  </w:pPr>
                </w:p>
              </w:tc>
              <w:tc>
                <w:tcPr>
                  <w:tcW w:w="438" w:type="pct"/>
                  <w:vMerge w:val="continue"/>
                  <w:tcBorders>
                    <w:tl2br w:val="nil"/>
                    <w:tr2bl w:val="nil"/>
                  </w:tcBorders>
                  <w:noWrap w:val="0"/>
                  <w:vAlign w:val="center"/>
                </w:tcPr>
                <w:p>
                  <w:pPr>
                    <w:jc w:val="center"/>
                    <w:rPr>
                      <w:rFonts w:hint="default" w:ascii="Times New Roman" w:hAnsi="Times New Roman" w:eastAsia="宋体" w:cs="Times New Roman"/>
                      <w:b/>
                      <w:bCs/>
                      <w:sz w:val="21"/>
                      <w:szCs w:val="21"/>
                    </w:rPr>
                  </w:pPr>
                </w:p>
              </w:tc>
              <w:tc>
                <w:tcPr>
                  <w:tcW w:w="351" w:type="pct"/>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工艺</w:t>
                  </w:r>
                </w:p>
              </w:tc>
              <w:tc>
                <w:tcPr>
                  <w:tcW w:w="501" w:type="pct"/>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净化</w:t>
                  </w:r>
                </w:p>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效率（%）</w:t>
                  </w:r>
                </w:p>
              </w:tc>
              <w:tc>
                <w:tcPr>
                  <w:tcW w:w="531" w:type="pct"/>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排放量（t/a）</w:t>
                  </w:r>
                </w:p>
              </w:tc>
              <w:tc>
                <w:tcPr>
                  <w:tcW w:w="611" w:type="pct"/>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w:t>
                  </w:r>
                </w:p>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速率</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rPr>
                    <w:t>kg/h</w:t>
                  </w:r>
                  <w:r>
                    <w:rPr>
                      <w:rFonts w:hint="default" w:ascii="Times New Roman" w:hAnsi="Times New Roman" w:eastAsia="宋体" w:cs="Times New Roman"/>
                      <w:b/>
                      <w:bCs/>
                      <w:sz w:val="21"/>
                      <w:szCs w:val="21"/>
                      <w:lang w:eastAsia="zh-CN"/>
                    </w:rPr>
                    <w:t>）</w:t>
                  </w:r>
                </w:p>
              </w:tc>
              <w:tc>
                <w:tcPr>
                  <w:tcW w:w="744" w:type="pct"/>
                  <w:tcBorders>
                    <w:tl2br w:val="nil"/>
                    <w:tr2bl w:val="nil"/>
                  </w:tcBorders>
                  <w:noWrap w:val="0"/>
                  <w:vAlign w:val="center"/>
                </w:tcPr>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排放</w:t>
                  </w:r>
                </w:p>
                <w:p>
                  <w:pPr>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浓度（mg/m3）</w:t>
                  </w:r>
                </w:p>
              </w:tc>
              <w:tc>
                <w:tcPr>
                  <w:tcW w:w="1328" w:type="pct"/>
                  <w:vMerge w:val="continue"/>
                  <w:tcBorders>
                    <w:tl2br w:val="nil"/>
                    <w:tr2bl w:val="nil"/>
                  </w:tcBorders>
                  <w:noWrap w:val="0"/>
                  <w:vAlign w:val="center"/>
                </w:tcPr>
                <w:p>
                  <w:pPr>
                    <w:jc w:val="center"/>
                    <w:rPr>
                      <w:rFonts w:hint="default" w:ascii="Times New Roman" w:hAnsi="Times New Roman" w:eastAsia="宋体" w:cs="Times New Roman"/>
                      <w:b/>
                      <w:bCs/>
                      <w:sz w:val="21"/>
                      <w:szCs w:val="21"/>
                    </w:rPr>
                  </w:pP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493" w:type="pct"/>
                  <w:tcBorders>
                    <w:bottom w:val="single" w:color="000000" w:sz="12" w:space="0"/>
                    <w:tl2br w:val="nil"/>
                    <w:tr2bl w:val="nil"/>
                  </w:tcBorders>
                  <w:noWrap w:val="0"/>
                  <w:vAlign w:val="center"/>
                </w:tcPr>
                <w:p>
                  <w:pPr>
                    <w:pStyle w:val="173"/>
                    <w:spacing w:line="28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DA001</w:t>
                  </w:r>
                </w:p>
              </w:tc>
              <w:tc>
                <w:tcPr>
                  <w:tcW w:w="438" w:type="pct"/>
                  <w:tcBorders>
                    <w:bottom w:val="single" w:color="000000" w:sz="12" w:space="0"/>
                    <w:tl2br w:val="nil"/>
                    <w:tr2bl w:val="nil"/>
                  </w:tcBorders>
                  <w:noWrap w:val="0"/>
                  <w:vAlign w:val="center"/>
                </w:tcPr>
                <w:p>
                  <w:pPr>
                    <w:pStyle w:val="173"/>
                    <w:spacing w:line="280" w:lineRule="exact"/>
                    <w:rPr>
                      <w:rFonts w:hint="default" w:ascii="Times New Roman" w:hAnsi="Times New Roman" w:eastAsia="宋体" w:cs="Times New Roman"/>
                      <w:sz w:val="21"/>
                      <w:szCs w:val="21"/>
                      <w:lang w:eastAsia="zh-CN"/>
                    </w:rPr>
                  </w:pPr>
                  <w:r>
                    <w:rPr>
                      <w:rFonts w:hint="default" w:ascii="Times New Roman" w:hAnsi="Times New Roman" w:eastAsia="宋体" w:cs="Times New Roman"/>
                      <w:szCs w:val="21"/>
                      <w:lang w:val="en-US" w:eastAsia="zh-CN"/>
                    </w:rPr>
                    <w:t>VOCs</w:t>
                  </w:r>
                </w:p>
              </w:tc>
              <w:tc>
                <w:tcPr>
                  <w:tcW w:w="351" w:type="pct"/>
                  <w:tcBorders>
                    <w:bottom w:val="single" w:color="000000" w:sz="12" w:space="0"/>
                    <w:tl2br w:val="nil"/>
                    <w:tr2bl w:val="nil"/>
                  </w:tcBorders>
                  <w:noWrap w:val="0"/>
                  <w:vAlign w:val="center"/>
                </w:tcPr>
                <w:p>
                  <w:pPr>
                    <w:spacing w:line="280" w:lineRule="exact"/>
                    <w:ind w:right="-105" w:rightChars="-50"/>
                    <w:jc w:val="center"/>
                    <w:rPr>
                      <w:rFonts w:hint="default" w:ascii="Times New Roman" w:hAnsi="Times New Roman" w:eastAsia="宋体" w:cs="Times New Roman"/>
                      <w:sz w:val="21"/>
                      <w:szCs w:val="21"/>
                    </w:rPr>
                  </w:pPr>
                  <w:r>
                    <w:rPr>
                      <w:rFonts w:hint="eastAsia" w:cs="Times New Roman"/>
                      <w:kern w:val="0"/>
                      <w:sz w:val="21"/>
                      <w:szCs w:val="21"/>
                      <w:lang w:eastAsia="zh-CN"/>
                    </w:rPr>
                    <w:t>集气罩</w:t>
                  </w:r>
                  <w:r>
                    <w:rPr>
                      <w:rFonts w:hint="eastAsia" w:cs="Times New Roman"/>
                      <w:kern w:val="0"/>
                      <w:sz w:val="21"/>
                      <w:szCs w:val="21"/>
                      <w:lang w:val="en-US" w:eastAsia="zh-CN"/>
                    </w:rPr>
                    <w:t>+</w:t>
                  </w:r>
                  <w:r>
                    <w:rPr>
                      <w:rFonts w:hint="default" w:ascii="Times New Roman" w:hAnsi="Times New Roman" w:eastAsia="宋体" w:cs="Times New Roman"/>
                      <w:kern w:val="0"/>
                      <w:szCs w:val="21"/>
                      <w:lang w:eastAsia="zh-CN"/>
                    </w:rPr>
                    <w:t>活性炭二级吸附</w:t>
                  </w:r>
                  <w:r>
                    <w:rPr>
                      <w:rFonts w:hint="default" w:ascii="Times New Roman" w:hAnsi="Times New Roman" w:eastAsia="宋体" w:cs="Times New Roman"/>
                      <w:kern w:val="0"/>
                      <w:szCs w:val="21"/>
                      <w:lang w:val="en-US" w:eastAsia="zh-CN"/>
                    </w:rPr>
                    <w:t>+15米排气筒</w:t>
                  </w:r>
                </w:p>
              </w:tc>
              <w:tc>
                <w:tcPr>
                  <w:tcW w:w="501" w:type="pct"/>
                  <w:tcBorders>
                    <w:bottom w:val="single" w:color="000000" w:sz="12" w:space="0"/>
                    <w:tl2br w:val="nil"/>
                    <w:tr2bl w:val="nil"/>
                  </w:tcBorders>
                  <w:noWrap w:val="0"/>
                  <w:vAlign w:val="center"/>
                </w:tcPr>
                <w:p>
                  <w:pPr>
                    <w:spacing w:line="280" w:lineRule="exact"/>
                    <w:ind w:left="-105" w:leftChars="-50" w:right="-105" w:rightChars="-5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c>
                <w:tcPr>
                  <w:tcW w:w="900" w:type="dxa"/>
                  <w:tcBorders>
                    <w:bottom w:val="single" w:color="000000" w:sz="12" w:space="0"/>
                    <w:tl2br w:val="nil"/>
                    <w:tr2bl w:val="nil"/>
                  </w:tcBorders>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Cs w:val="21"/>
                      <w:lang w:val="en-US" w:eastAsia="zh-CN"/>
                    </w:rPr>
                    <w:t>6.71</w:t>
                  </w:r>
                </w:p>
              </w:tc>
              <w:tc>
                <w:tcPr>
                  <w:tcW w:w="1036" w:type="dxa"/>
                  <w:tcBorders>
                    <w:bottom w:val="single" w:color="000000" w:sz="12" w:space="0"/>
                    <w:tl2br w:val="nil"/>
                    <w:tr2bl w:val="nil"/>
                  </w:tcBorders>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Cs w:val="21"/>
                      <w:lang w:val="en-US" w:eastAsia="zh-CN"/>
                    </w:rPr>
                    <w:t>0.034</w:t>
                  </w:r>
                </w:p>
              </w:tc>
              <w:tc>
                <w:tcPr>
                  <w:tcW w:w="1263" w:type="dxa"/>
                  <w:tcBorders>
                    <w:bottom w:val="single" w:color="000000" w:sz="12" w:space="0"/>
                    <w:tl2br w:val="nil"/>
                    <w:tr2bl w:val="nil"/>
                  </w:tcBorders>
                  <w:noWrap w:val="0"/>
                  <w:vAlign w:val="center"/>
                </w:tcPr>
                <w:p>
                  <w:pPr>
                    <w:widowControl/>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Cs w:val="21"/>
                      <w:lang w:val="en-US" w:eastAsia="zh-CN"/>
                    </w:rPr>
                    <w:t>0.242</w:t>
                  </w:r>
                </w:p>
              </w:tc>
              <w:tc>
                <w:tcPr>
                  <w:tcW w:w="1328" w:type="pct"/>
                  <w:tcBorders>
                    <w:bottom w:val="single" w:color="000000" w:sz="12" w:space="0"/>
                    <w:tl2br w:val="nil"/>
                    <w:tr2bl w:val="nil"/>
                  </w:tcBorders>
                  <w:noWrap w:val="0"/>
                  <w:vAlign w:val="center"/>
                </w:tcPr>
                <w:p>
                  <w:pPr>
                    <w:widowControl/>
                    <w:spacing w:line="280" w:lineRule="exact"/>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江苏省地方标准《大气污染物综合排放标准》（DB32/4041—2021）</w:t>
                  </w:r>
                </w:p>
              </w:tc>
            </w:tr>
          </w:tbl>
          <w:p>
            <w:pPr>
              <w:ind w:firstLine="2168" w:firstLineChars="900"/>
              <w:rPr>
                <w:b/>
                <w:sz w:val="24"/>
              </w:rPr>
            </w:pPr>
          </w:p>
          <w:p>
            <w:pPr>
              <w:jc w:val="center"/>
              <w:rPr>
                <w:rFonts w:hint="eastAsia"/>
                <w:b/>
                <w:sz w:val="24"/>
                <w:szCs w:val="24"/>
              </w:rPr>
            </w:pPr>
            <w:r>
              <w:rPr>
                <w:rFonts w:hint="eastAsia"/>
                <w:b/>
                <w:sz w:val="24"/>
                <w:szCs w:val="24"/>
              </w:rPr>
              <w:t>表4-</w:t>
            </w:r>
            <w:r>
              <w:rPr>
                <w:rFonts w:hint="eastAsia"/>
                <w:b/>
                <w:sz w:val="24"/>
                <w:szCs w:val="24"/>
                <w:lang w:val="en-US" w:eastAsia="zh-CN"/>
              </w:rPr>
              <w:t>4</w:t>
            </w:r>
            <w:r>
              <w:rPr>
                <w:rFonts w:hint="eastAsia"/>
                <w:b/>
                <w:sz w:val="24"/>
                <w:szCs w:val="24"/>
              </w:rPr>
              <w:t xml:space="preserve">   排放口基本情况（点源）</w:t>
            </w:r>
          </w:p>
          <w:tbl>
            <w:tblPr>
              <w:tblStyle w:val="3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738"/>
              <w:gridCol w:w="386"/>
              <w:gridCol w:w="1135"/>
              <w:gridCol w:w="3"/>
              <w:gridCol w:w="1029"/>
              <w:gridCol w:w="921"/>
              <w:gridCol w:w="590"/>
              <w:gridCol w:w="686"/>
              <w:gridCol w:w="739"/>
              <w:gridCol w:w="446"/>
              <w:gridCol w:w="447"/>
              <w:gridCol w:w="13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0" w:type="auto"/>
                  <w:vMerge w:val="restart"/>
                  <w:tcBorders>
                    <w:top w:val="single" w:color="000000" w:sz="12" w:space="0"/>
                    <w:bottom w:val="single" w:color="auto" w:sz="4"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点源编号</w:t>
                  </w:r>
                </w:p>
              </w:tc>
              <w:tc>
                <w:tcPr>
                  <w:tcW w:w="0" w:type="auto"/>
                  <w:vMerge w:val="restart"/>
                  <w:tcBorders>
                    <w:top w:val="single" w:color="000000" w:sz="12" w:space="0"/>
                    <w:bottom w:val="single" w:color="auto" w:sz="4"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名称</w:t>
                  </w:r>
                </w:p>
              </w:tc>
              <w:tc>
                <w:tcPr>
                  <w:tcW w:w="2165" w:type="dxa"/>
                  <w:gridSpan w:val="3"/>
                  <w:tcBorders>
                    <w:top w:val="single" w:color="000000" w:sz="12" w:space="0"/>
                    <w:bottom w:val="single" w:color="auto" w:sz="4"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bCs/>
                      <w:sz w:val="21"/>
                      <w:szCs w:val="21"/>
                    </w:rPr>
                    <w:t>排气筒底部中心坐标/m</w:t>
                  </w:r>
                </w:p>
              </w:tc>
              <w:tc>
                <w:tcPr>
                  <w:tcW w:w="0" w:type="auto"/>
                  <w:vMerge w:val="restart"/>
                  <w:tcBorders>
                    <w:top w:val="single" w:color="000000" w:sz="12" w:space="0"/>
                    <w:bottom w:val="single" w:color="auto" w:sz="4"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排气筒底部海拔高度/m</w:t>
                  </w:r>
                </w:p>
              </w:tc>
              <w:tc>
                <w:tcPr>
                  <w:tcW w:w="0" w:type="auto"/>
                  <w:vMerge w:val="restart"/>
                  <w:tcBorders>
                    <w:top w:val="single" w:color="000000" w:sz="12" w:space="0"/>
                    <w:bottom w:val="single" w:color="auto" w:sz="4" w:space="0"/>
                    <w:right w:val="single" w:color="auto" w:sz="2"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排气筒高度/m</w:t>
                  </w:r>
                </w:p>
              </w:tc>
              <w:tc>
                <w:tcPr>
                  <w:tcW w:w="0" w:type="auto"/>
                  <w:vMerge w:val="restart"/>
                  <w:tcBorders>
                    <w:top w:val="single" w:color="000000" w:sz="12" w:space="0"/>
                    <w:left w:val="single" w:color="auto" w:sz="2" w:space="0"/>
                    <w:bottom w:val="single" w:color="auto" w:sz="4"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排气筒内径/m</w:t>
                  </w:r>
                </w:p>
              </w:tc>
              <w:tc>
                <w:tcPr>
                  <w:tcW w:w="0" w:type="auto"/>
                  <w:vMerge w:val="restart"/>
                  <w:tcBorders>
                    <w:top w:val="single" w:color="000000" w:sz="12" w:space="0"/>
                    <w:bottom w:val="single" w:color="auto" w:sz="4" w:space="0"/>
                    <w:right w:val="single" w:color="auto" w:sz="2"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烟气流速m/s</w:t>
                  </w:r>
                </w:p>
              </w:tc>
              <w:tc>
                <w:tcPr>
                  <w:tcW w:w="0" w:type="auto"/>
                  <w:vMerge w:val="restart"/>
                  <w:tcBorders>
                    <w:top w:val="single" w:color="000000" w:sz="12" w:space="0"/>
                    <w:left w:val="single" w:color="auto" w:sz="2" w:space="0"/>
                    <w:bottom w:val="single" w:color="auto" w:sz="4"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烟气</w:t>
                  </w:r>
                </w:p>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温度/℃</w:t>
                  </w:r>
                </w:p>
              </w:tc>
              <w:tc>
                <w:tcPr>
                  <w:tcW w:w="0" w:type="auto"/>
                  <w:vMerge w:val="restart"/>
                  <w:tcBorders>
                    <w:top w:val="single" w:color="000000" w:sz="12" w:space="0"/>
                    <w:bottom w:val="single" w:color="auto" w:sz="4"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排放工况</w:t>
                  </w:r>
                </w:p>
              </w:tc>
              <w:tc>
                <w:tcPr>
                  <w:tcW w:w="0" w:type="auto"/>
                  <w:tcBorders>
                    <w:top w:val="single" w:color="000000" w:sz="12" w:space="0"/>
                    <w:bottom w:val="single" w:color="auto" w:sz="4"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0" w:type="auto"/>
                  <w:vMerge w:val="continue"/>
                  <w:tcBorders>
                    <w:top w:val="single" w:color="auto" w:sz="4" w:space="0"/>
                    <w:bottom w:val="single" w:color="auto" w:sz="4" w:space="0"/>
                  </w:tcBorders>
                  <w:noWrap w:val="0"/>
                  <w:vAlign w:val="center"/>
                </w:tcPr>
                <w:p>
                  <w:pPr>
                    <w:jc w:val="center"/>
                    <w:rPr>
                      <w:rFonts w:hint="default" w:ascii="Times New Roman" w:hAnsi="Times New Roman" w:eastAsia="宋体" w:cs="Times New Roman"/>
                      <w:b/>
                      <w:sz w:val="21"/>
                      <w:szCs w:val="21"/>
                    </w:rPr>
                  </w:pPr>
                </w:p>
              </w:tc>
              <w:tc>
                <w:tcPr>
                  <w:tcW w:w="0" w:type="auto"/>
                  <w:vMerge w:val="continue"/>
                  <w:tcBorders>
                    <w:top w:val="single" w:color="auto" w:sz="4" w:space="0"/>
                    <w:bottom w:val="single" w:color="auto" w:sz="4" w:space="0"/>
                  </w:tcBorders>
                  <w:noWrap w:val="0"/>
                  <w:vAlign w:val="center"/>
                </w:tcPr>
                <w:p>
                  <w:pPr>
                    <w:jc w:val="center"/>
                    <w:rPr>
                      <w:rFonts w:hint="default" w:ascii="Times New Roman" w:hAnsi="Times New Roman" w:eastAsia="宋体" w:cs="Times New Roman"/>
                      <w:b/>
                      <w:sz w:val="21"/>
                      <w:szCs w:val="21"/>
                    </w:rPr>
                  </w:pPr>
                </w:p>
              </w:tc>
              <w:tc>
                <w:tcPr>
                  <w:tcW w:w="1137" w:type="dxa"/>
                  <w:gridSpan w:val="2"/>
                  <w:tcBorders>
                    <w:top w:val="single" w:color="auto" w:sz="4" w:space="0"/>
                    <w:bottom w:val="single" w:color="auto" w:sz="4"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bCs/>
                      <w:sz w:val="21"/>
                      <w:szCs w:val="21"/>
                    </w:rPr>
                    <w:t>X</w:t>
                  </w:r>
                </w:p>
              </w:tc>
              <w:tc>
                <w:tcPr>
                  <w:tcW w:w="1028" w:type="dxa"/>
                  <w:tcBorders>
                    <w:top w:val="single" w:color="auto" w:sz="4" w:space="0"/>
                    <w:bottom w:val="single" w:color="auto" w:sz="4" w:space="0"/>
                  </w:tcBorders>
                  <w:noWrap w:val="0"/>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bCs/>
                      <w:sz w:val="21"/>
                      <w:szCs w:val="21"/>
                    </w:rPr>
                    <w:t>Y</w:t>
                  </w:r>
                </w:p>
              </w:tc>
              <w:tc>
                <w:tcPr>
                  <w:tcW w:w="0" w:type="auto"/>
                  <w:vMerge w:val="continue"/>
                  <w:tcBorders>
                    <w:top w:val="single" w:color="auto" w:sz="4" w:space="0"/>
                    <w:bottom w:val="single" w:color="auto" w:sz="4" w:space="0"/>
                  </w:tcBorders>
                  <w:noWrap w:val="0"/>
                  <w:vAlign w:val="center"/>
                </w:tcPr>
                <w:p>
                  <w:pPr>
                    <w:jc w:val="center"/>
                    <w:rPr>
                      <w:rFonts w:hint="default" w:ascii="Times New Roman" w:hAnsi="Times New Roman" w:eastAsia="宋体" w:cs="Times New Roman"/>
                      <w:b/>
                      <w:sz w:val="21"/>
                      <w:szCs w:val="21"/>
                    </w:rPr>
                  </w:pPr>
                </w:p>
              </w:tc>
              <w:tc>
                <w:tcPr>
                  <w:tcW w:w="0" w:type="auto"/>
                  <w:vMerge w:val="continue"/>
                  <w:tcBorders>
                    <w:top w:val="single" w:color="auto" w:sz="4" w:space="0"/>
                    <w:bottom w:val="single" w:color="auto" w:sz="4" w:space="0"/>
                    <w:right w:val="single" w:color="auto" w:sz="2" w:space="0"/>
                  </w:tcBorders>
                  <w:noWrap w:val="0"/>
                  <w:vAlign w:val="center"/>
                </w:tcPr>
                <w:p>
                  <w:pPr>
                    <w:jc w:val="center"/>
                    <w:rPr>
                      <w:rFonts w:hint="default" w:ascii="Times New Roman" w:hAnsi="Times New Roman" w:eastAsia="宋体" w:cs="Times New Roman"/>
                      <w:b/>
                      <w:sz w:val="21"/>
                      <w:szCs w:val="21"/>
                    </w:rPr>
                  </w:pPr>
                </w:p>
              </w:tc>
              <w:tc>
                <w:tcPr>
                  <w:tcW w:w="0" w:type="auto"/>
                  <w:vMerge w:val="continue"/>
                  <w:tcBorders>
                    <w:top w:val="single" w:color="auto" w:sz="4" w:space="0"/>
                    <w:left w:val="single" w:color="auto" w:sz="2" w:space="0"/>
                    <w:bottom w:val="single" w:color="auto" w:sz="4" w:space="0"/>
                  </w:tcBorders>
                  <w:noWrap w:val="0"/>
                  <w:vAlign w:val="center"/>
                </w:tcPr>
                <w:p>
                  <w:pPr>
                    <w:jc w:val="center"/>
                    <w:rPr>
                      <w:rFonts w:hint="default" w:ascii="Times New Roman" w:hAnsi="Times New Roman" w:eastAsia="宋体" w:cs="Times New Roman"/>
                      <w:b/>
                      <w:sz w:val="21"/>
                      <w:szCs w:val="21"/>
                    </w:rPr>
                  </w:pPr>
                </w:p>
              </w:tc>
              <w:tc>
                <w:tcPr>
                  <w:tcW w:w="0" w:type="auto"/>
                  <w:vMerge w:val="continue"/>
                  <w:tcBorders>
                    <w:top w:val="single" w:color="auto" w:sz="4" w:space="0"/>
                    <w:bottom w:val="single" w:color="auto" w:sz="4" w:space="0"/>
                    <w:right w:val="single" w:color="auto" w:sz="2" w:space="0"/>
                  </w:tcBorders>
                  <w:noWrap w:val="0"/>
                  <w:vAlign w:val="center"/>
                </w:tcPr>
                <w:p>
                  <w:pPr>
                    <w:jc w:val="center"/>
                    <w:rPr>
                      <w:rFonts w:hint="default" w:ascii="Times New Roman" w:hAnsi="Times New Roman" w:eastAsia="宋体" w:cs="Times New Roman"/>
                      <w:b/>
                      <w:sz w:val="21"/>
                      <w:szCs w:val="21"/>
                    </w:rPr>
                  </w:pPr>
                </w:p>
              </w:tc>
              <w:tc>
                <w:tcPr>
                  <w:tcW w:w="0" w:type="auto"/>
                  <w:vMerge w:val="continue"/>
                  <w:tcBorders>
                    <w:top w:val="single" w:color="auto" w:sz="4" w:space="0"/>
                    <w:left w:val="single" w:color="auto" w:sz="2" w:space="0"/>
                    <w:bottom w:val="single" w:color="auto" w:sz="4" w:space="0"/>
                  </w:tcBorders>
                  <w:noWrap w:val="0"/>
                  <w:vAlign w:val="center"/>
                </w:tcPr>
                <w:p>
                  <w:pPr>
                    <w:jc w:val="center"/>
                    <w:rPr>
                      <w:rFonts w:hint="default" w:ascii="Times New Roman" w:hAnsi="Times New Roman" w:eastAsia="宋体" w:cs="Times New Roman"/>
                      <w:b/>
                      <w:sz w:val="21"/>
                      <w:szCs w:val="21"/>
                    </w:rPr>
                  </w:pPr>
                </w:p>
              </w:tc>
              <w:tc>
                <w:tcPr>
                  <w:tcW w:w="0" w:type="auto"/>
                  <w:vMerge w:val="continue"/>
                  <w:tcBorders>
                    <w:top w:val="single" w:color="auto" w:sz="4" w:space="0"/>
                    <w:bottom w:val="single" w:color="auto" w:sz="4" w:space="0"/>
                  </w:tcBorders>
                  <w:noWrap w:val="0"/>
                  <w:vAlign w:val="center"/>
                </w:tcPr>
                <w:p>
                  <w:pPr>
                    <w:jc w:val="center"/>
                    <w:rPr>
                      <w:rFonts w:hint="default" w:ascii="Times New Roman" w:hAnsi="Times New Roman" w:eastAsia="宋体" w:cs="Times New Roman"/>
                      <w:b/>
                      <w:sz w:val="21"/>
                      <w:szCs w:val="21"/>
                    </w:rPr>
                  </w:pPr>
                </w:p>
              </w:tc>
              <w:tc>
                <w:tcPr>
                  <w:tcW w:w="1376" w:type="dxa"/>
                  <w:tcBorders>
                    <w:top w:val="single" w:color="auto" w:sz="4" w:space="0"/>
                    <w:bottom w:val="single" w:color="auto" w:sz="4" w:space="0"/>
                  </w:tcBorders>
                  <w:noWrap w:val="0"/>
                  <w:vAlign w:val="center"/>
                </w:tcPr>
                <w:p>
                  <w:pPr>
                    <w:autoSpaceDE w:val="0"/>
                    <w:autoSpaceDN w:val="0"/>
                    <w:adjustRightInd w:val="0"/>
                    <w:jc w:val="center"/>
                    <w:rPr>
                      <w:rFonts w:hint="default" w:ascii="Times New Roman" w:hAnsi="Times New Roman" w:eastAsia="宋体" w:cs="Times New Roman"/>
                      <w:b/>
                      <w:kern w:val="0"/>
                      <w:sz w:val="21"/>
                      <w:szCs w:val="21"/>
                    </w:rPr>
                  </w:pPr>
                  <w:r>
                    <w:rPr>
                      <w:rFonts w:hint="default" w:ascii="Times New Roman" w:hAnsi="Times New Roman" w:eastAsia="宋体" w:cs="Times New Roman"/>
                      <w:sz w:val="21"/>
                      <w:szCs w:val="21"/>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47" w:hRule="atLeast"/>
                <w:jc w:val="center"/>
              </w:trPr>
              <w:tc>
                <w:tcPr>
                  <w:tcW w:w="0" w:type="auto"/>
                  <w:tcBorders>
                    <w:top w:val="single" w:color="auto" w:sz="4" w:space="0"/>
                    <w:bottom w:val="single" w:color="000000" w:sz="12" w:space="0"/>
                  </w:tcBorders>
                  <w:noWrap w:val="0"/>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DA001</w:t>
                  </w:r>
                </w:p>
              </w:tc>
              <w:tc>
                <w:tcPr>
                  <w:tcW w:w="0" w:type="auto"/>
                  <w:tcBorders>
                    <w:top w:val="single" w:color="auto" w:sz="4" w:space="0"/>
                    <w:bottom w:val="single" w:color="000000" w:sz="12"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排气筒</w:t>
                  </w:r>
                </w:p>
              </w:tc>
              <w:tc>
                <w:tcPr>
                  <w:tcW w:w="1134" w:type="dxa"/>
                  <w:tcBorders>
                    <w:top w:val="single" w:color="auto" w:sz="4" w:space="0"/>
                    <w:bottom w:val="single" w:color="000000" w:sz="12"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119.752579</w:t>
                  </w:r>
                </w:p>
              </w:tc>
              <w:tc>
                <w:tcPr>
                  <w:tcW w:w="1030" w:type="dxa"/>
                  <w:gridSpan w:val="2"/>
                  <w:tcBorders>
                    <w:top w:val="single" w:color="auto" w:sz="4" w:space="0"/>
                    <w:bottom w:val="single" w:color="000000" w:sz="12" w:space="0"/>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31.436390</w:t>
                  </w:r>
                </w:p>
              </w:tc>
              <w:tc>
                <w:tcPr>
                  <w:tcW w:w="0" w:type="auto"/>
                  <w:tcBorders>
                    <w:top w:val="single" w:color="auto" w:sz="4" w:space="0"/>
                    <w:bottom w:val="single" w:color="000000" w:sz="12" w:space="0"/>
                  </w:tcBorders>
                  <w:noWrap w:val="0"/>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5.11</w:t>
                  </w:r>
                </w:p>
              </w:tc>
              <w:tc>
                <w:tcPr>
                  <w:tcW w:w="0" w:type="auto"/>
                  <w:tcBorders>
                    <w:top w:val="single" w:color="auto" w:sz="4" w:space="0"/>
                    <w:bottom w:val="single" w:color="000000" w:sz="12" w:space="0"/>
                    <w:right w:val="single" w:color="auto" w:sz="2"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c>
                <w:tcPr>
                  <w:tcW w:w="0" w:type="auto"/>
                  <w:tcBorders>
                    <w:top w:val="single" w:color="auto" w:sz="4" w:space="0"/>
                    <w:left w:val="single" w:color="auto" w:sz="2" w:space="0"/>
                    <w:bottom w:val="single" w:color="000000" w:sz="12"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r>
                    <w:rPr>
                      <w:rFonts w:hint="eastAsia" w:ascii="Times New Roman" w:hAnsi="Times New Roman" w:cs="Times New Roman"/>
                      <w:color w:val="auto"/>
                      <w:sz w:val="21"/>
                      <w:szCs w:val="21"/>
                      <w:lang w:val="en-US" w:eastAsia="zh-CN"/>
                    </w:rPr>
                    <w:t>35</w:t>
                  </w:r>
                </w:p>
              </w:tc>
              <w:tc>
                <w:tcPr>
                  <w:tcW w:w="0" w:type="auto"/>
                  <w:tcBorders>
                    <w:top w:val="single" w:color="auto" w:sz="4" w:space="0"/>
                    <w:bottom w:val="single" w:color="000000" w:sz="12" w:space="0"/>
                    <w:right w:val="single" w:color="auto" w:sz="2"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15.76</w:t>
                  </w:r>
                </w:p>
              </w:tc>
              <w:tc>
                <w:tcPr>
                  <w:tcW w:w="0" w:type="auto"/>
                  <w:tcBorders>
                    <w:top w:val="single" w:color="auto" w:sz="4" w:space="0"/>
                    <w:left w:val="single" w:color="auto" w:sz="2" w:space="0"/>
                    <w:bottom w:val="single" w:color="000000" w:sz="12" w:space="0"/>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val="en-US" w:eastAsia="zh-CN"/>
                    </w:rPr>
                    <w:t>5</w:t>
                  </w:r>
                </w:p>
              </w:tc>
              <w:tc>
                <w:tcPr>
                  <w:tcW w:w="0" w:type="auto"/>
                  <w:tcBorders>
                    <w:top w:val="single" w:color="auto" w:sz="4" w:space="0"/>
                    <w:bottom w:val="single" w:color="000000" w:sz="12" w:space="0"/>
                  </w:tcBorders>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正常</w:t>
                  </w:r>
                </w:p>
              </w:tc>
              <w:tc>
                <w:tcPr>
                  <w:tcW w:w="1376" w:type="dxa"/>
                  <w:tcBorders>
                    <w:top w:val="single" w:color="auto" w:sz="4" w:space="0"/>
                    <w:bottom w:val="single" w:color="000000" w:sz="12"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0.034</w:t>
                  </w:r>
                </w:p>
              </w:tc>
            </w:tr>
          </w:tbl>
          <w:p>
            <w:pPr>
              <w:pStyle w:val="2"/>
              <w:keepNext w:val="0"/>
              <w:keepLines w:val="0"/>
              <w:pageBreakBefore w:val="0"/>
              <w:widowControl/>
              <w:kinsoku/>
              <w:wordWrap/>
              <w:overflowPunct/>
              <w:topLinePunct w:val="0"/>
              <w:autoSpaceDE/>
              <w:autoSpaceDN/>
              <w:bidi w:val="0"/>
              <w:adjustRightInd/>
              <w:snapToGrid w:val="0"/>
              <w:spacing w:line="360" w:lineRule="auto"/>
              <w:ind w:right="113"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根据表4-</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、表4-</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可知，本项目建成后DA001 VOCs可达到江苏省《大气污染物综合排放标准》（DB32/4041-2021）表1中排放限值要求：最高允许排放浓度60mg/m</w:t>
            </w:r>
            <w:r>
              <w:rPr>
                <w:rFonts w:hint="eastAsia" w:ascii="宋体" w:hAnsi="宋体" w:eastAsia="宋体" w:cs="宋体"/>
                <w:color w:val="000000"/>
                <w:sz w:val="24"/>
                <w:szCs w:val="24"/>
                <w:vertAlign w:val="superscript"/>
              </w:rPr>
              <w:t>3</w:t>
            </w:r>
            <w:r>
              <w:rPr>
                <w:rFonts w:hint="eastAsia" w:ascii="宋体" w:hAnsi="宋体" w:eastAsia="宋体" w:cs="宋体"/>
                <w:color w:val="000000"/>
                <w:sz w:val="24"/>
                <w:szCs w:val="24"/>
              </w:rPr>
              <w:t>，最高允许排放速率3.0kg/h</w:t>
            </w:r>
            <w:r>
              <w:rPr>
                <w:rFonts w:hint="eastAsia" w:ascii="宋体" w:hAnsi="宋体" w:eastAsia="宋体" w:cs="宋体"/>
                <w:color w:val="000000"/>
                <w:sz w:val="24"/>
                <w:szCs w:val="24"/>
                <w:lang w:eastAsia="zh-CN"/>
              </w:rPr>
              <w:t>。</w:t>
            </w:r>
          </w:p>
          <w:p>
            <w:pPr>
              <w:jc w:val="center"/>
              <w:rPr>
                <w:rFonts w:hint="eastAsia"/>
                <w:b/>
                <w:sz w:val="24"/>
                <w:szCs w:val="24"/>
              </w:rPr>
            </w:pPr>
            <w:r>
              <w:rPr>
                <w:rFonts w:hint="eastAsia"/>
                <w:b/>
                <w:sz w:val="24"/>
                <w:szCs w:val="24"/>
              </w:rPr>
              <w:t>表4-</w:t>
            </w:r>
            <w:r>
              <w:rPr>
                <w:rFonts w:hint="eastAsia"/>
                <w:b/>
                <w:sz w:val="24"/>
                <w:szCs w:val="24"/>
                <w:lang w:val="en-US" w:eastAsia="zh-CN"/>
              </w:rPr>
              <w:t>5</w:t>
            </w:r>
            <w:r>
              <w:rPr>
                <w:rFonts w:hint="eastAsia"/>
                <w:b/>
                <w:sz w:val="24"/>
                <w:szCs w:val="24"/>
              </w:rPr>
              <w:t xml:space="preserve"> 无组织废气污染物排放情况一览表</w:t>
            </w:r>
          </w:p>
          <w:tbl>
            <w:tblPr>
              <w:tblStyle w:val="3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34"/>
              <w:gridCol w:w="935"/>
              <w:gridCol w:w="1211"/>
              <w:gridCol w:w="1109"/>
              <w:gridCol w:w="1331"/>
              <w:gridCol w:w="23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4" w:type="dxa"/>
                  <w:vMerge w:val="restart"/>
                  <w:tcBorders>
                    <w:tl2br w:val="nil"/>
                    <w:tr2bl w:val="nil"/>
                  </w:tcBorders>
                  <w:noWrap w:val="0"/>
                  <w:vAlign w:val="center"/>
                </w:tcPr>
                <w:p>
                  <w:pPr>
                    <w:spacing w:line="280" w:lineRule="exact"/>
                    <w:jc w:val="center"/>
                    <w:rPr>
                      <w:rFonts w:hint="eastAsia"/>
                      <w:b/>
                      <w:bCs/>
                      <w:szCs w:val="21"/>
                    </w:rPr>
                  </w:pPr>
                  <w:r>
                    <w:rPr>
                      <w:rFonts w:hint="eastAsia"/>
                      <w:b/>
                      <w:bCs/>
                      <w:szCs w:val="21"/>
                    </w:rPr>
                    <w:t>污染源</w:t>
                  </w:r>
                </w:p>
              </w:tc>
              <w:tc>
                <w:tcPr>
                  <w:tcW w:w="935" w:type="dxa"/>
                  <w:vMerge w:val="restart"/>
                  <w:tcBorders>
                    <w:tl2br w:val="nil"/>
                    <w:tr2bl w:val="nil"/>
                  </w:tcBorders>
                  <w:noWrap w:val="0"/>
                  <w:vAlign w:val="center"/>
                </w:tcPr>
                <w:p>
                  <w:pPr>
                    <w:spacing w:line="280" w:lineRule="exact"/>
                    <w:jc w:val="center"/>
                    <w:rPr>
                      <w:rFonts w:hint="eastAsia"/>
                      <w:b/>
                      <w:bCs/>
                      <w:szCs w:val="21"/>
                    </w:rPr>
                  </w:pPr>
                  <w:r>
                    <w:rPr>
                      <w:rFonts w:hint="eastAsia"/>
                      <w:b/>
                      <w:bCs/>
                      <w:szCs w:val="21"/>
                    </w:rPr>
                    <w:t>污染物</w:t>
                  </w:r>
                </w:p>
              </w:tc>
              <w:tc>
                <w:tcPr>
                  <w:tcW w:w="1211" w:type="dxa"/>
                  <w:tcBorders>
                    <w:tl2br w:val="nil"/>
                    <w:tr2bl w:val="nil"/>
                  </w:tcBorders>
                  <w:noWrap w:val="0"/>
                  <w:vAlign w:val="center"/>
                </w:tcPr>
                <w:p>
                  <w:pPr>
                    <w:spacing w:line="280" w:lineRule="exact"/>
                    <w:jc w:val="center"/>
                    <w:rPr>
                      <w:rFonts w:hint="eastAsia"/>
                      <w:b/>
                      <w:bCs/>
                      <w:szCs w:val="21"/>
                    </w:rPr>
                  </w:pPr>
                  <w:r>
                    <w:rPr>
                      <w:rFonts w:hint="eastAsia"/>
                      <w:b/>
                      <w:bCs/>
                      <w:szCs w:val="21"/>
                    </w:rPr>
                    <w:t>治理措施</w:t>
                  </w:r>
                </w:p>
              </w:tc>
              <w:tc>
                <w:tcPr>
                  <w:tcW w:w="2440" w:type="dxa"/>
                  <w:gridSpan w:val="2"/>
                  <w:tcBorders>
                    <w:tl2br w:val="nil"/>
                    <w:tr2bl w:val="nil"/>
                  </w:tcBorders>
                  <w:noWrap w:val="0"/>
                  <w:vAlign w:val="center"/>
                </w:tcPr>
                <w:p>
                  <w:pPr>
                    <w:spacing w:line="280" w:lineRule="exact"/>
                    <w:ind w:left="-105" w:leftChars="-50" w:right="-105" w:rightChars="-50"/>
                    <w:jc w:val="center"/>
                    <w:rPr>
                      <w:rFonts w:hint="eastAsia" w:eastAsia="Times New Roman"/>
                      <w:b/>
                      <w:bCs/>
                      <w:szCs w:val="21"/>
                    </w:rPr>
                  </w:pPr>
                  <w:r>
                    <w:rPr>
                      <w:rFonts w:hint="eastAsia" w:eastAsia="Times New Roman"/>
                      <w:b/>
                      <w:bCs/>
                      <w:szCs w:val="21"/>
                    </w:rPr>
                    <w:t>污染物排放</w:t>
                  </w:r>
                </w:p>
              </w:tc>
              <w:tc>
                <w:tcPr>
                  <w:tcW w:w="2312" w:type="dxa"/>
                  <w:vMerge w:val="restart"/>
                  <w:tcBorders>
                    <w:tl2br w:val="nil"/>
                    <w:tr2bl w:val="nil"/>
                  </w:tcBorders>
                  <w:noWrap w:val="0"/>
                  <w:vAlign w:val="center"/>
                </w:tcPr>
                <w:p>
                  <w:pPr>
                    <w:spacing w:line="280" w:lineRule="exact"/>
                    <w:ind w:left="-105" w:leftChars="-50" w:right="-105" w:rightChars="-50"/>
                    <w:jc w:val="center"/>
                    <w:rPr>
                      <w:rFonts w:hint="eastAsia"/>
                      <w:b/>
                      <w:bCs/>
                      <w:szCs w:val="21"/>
                    </w:rPr>
                  </w:pPr>
                  <w:r>
                    <w:rPr>
                      <w:rFonts w:hint="eastAsia"/>
                      <w:b/>
                      <w:bCs/>
                      <w:szCs w:val="21"/>
                    </w:rPr>
                    <w:t>排放标准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4" w:type="dxa"/>
                  <w:vMerge w:val="continue"/>
                  <w:tcBorders>
                    <w:tl2br w:val="nil"/>
                    <w:tr2bl w:val="nil"/>
                  </w:tcBorders>
                  <w:noWrap w:val="0"/>
                  <w:vAlign w:val="center"/>
                </w:tcPr>
                <w:p>
                  <w:pPr>
                    <w:spacing w:line="280" w:lineRule="exact"/>
                    <w:jc w:val="center"/>
                    <w:rPr>
                      <w:rFonts w:hint="eastAsia"/>
                      <w:szCs w:val="21"/>
                    </w:rPr>
                  </w:pPr>
                </w:p>
              </w:tc>
              <w:tc>
                <w:tcPr>
                  <w:tcW w:w="935" w:type="dxa"/>
                  <w:vMerge w:val="continue"/>
                  <w:tcBorders>
                    <w:tl2br w:val="nil"/>
                    <w:tr2bl w:val="nil"/>
                  </w:tcBorders>
                  <w:noWrap w:val="0"/>
                  <w:vAlign w:val="center"/>
                </w:tcPr>
                <w:p>
                  <w:pPr>
                    <w:spacing w:line="280" w:lineRule="exact"/>
                    <w:jc w:val="center"/>
                    <w:rPr>
                      <w:rFonts w:hint="eastAsia"/>
                      <w:szCs w:val="21"/>
                    </w:rPr>
                  </w:pPr>
                </w:p>
              </w:tc>
              <w:tc>
                <w:tcPr>
                  <w:tcW w:w="1211" w:type="dxa"/>
                  <w:tcBorders>
                    <w:tl2br w:val="nil"/>
                    <w:tr2bl w:val="nil"/>
                  </w:tcBorders>
                  <w:noWrap w:val="0"/>
                  <w:vAlign w:val="center"/>
                </w:tcPr>
                <w:p>
                  <w:pPr>
                    <w:spacing w:line="280" w:lineRule="exact"/>
                    <w:jc w:val="center"/>
                    <w:rPr>
                      <w:rFonts w:hint="eastAsia"/>
                      <w:b/>
                      <w:bCs/>
                      <w:szCs w:val="21"/>
                    </w:rPr>
                  </w:pPr>
                  <w:r>
                    <w:rPr>
                      <w:rFonts w:hint="eastAsia"/>
                      <w:b/>
                      <w:bCs/>
                      <w:szCs w:val="21"/>
                    </w:rPr>
                    <w:t>工艺</w:t>
                  </w:r>
                </w:p>
              </w:tc>
              <w:tc>
                <w:tcPr>
                  <w:tcW w:w="1109" w:type="dxa"/>
                  <w:tcBorders>
                    <w:tl2br w:val="nil"/>
                    <w:tr2bl w:val="nil"/>
                  </w:tcBorders>
                  <w:noWrap w:val="0"/>
                  <w:vAlign w:val="center"/>
                </w:tcPr>
                <w:p>
                  <w:pPr>
                    <w:spacing w:line="280" w:lineRule="exact"/>
                    <w:ind w:left="-105" w:leftChars="-50" w:right="-105" w:rightChars="-50"/>
                    <w:jc w:val="center"/>
                    <w:rPr>
                      <w:rFonts w:hint="eastAsia" w:eastAsia="Times New Roman"/>
                      <w:b/>
                      <w:bCs/>
                      <w:szCs w:val="21"/>
                    </w:rPr>
                  </w:pPr>
                  <w:r>
                    <w:rPr>
                      <w:rFonts w:hint="eastAsia" w:eastAsia="Times New Roman"/>
                      <w:b/>
                      <w:bCs/>
                      <w:szCs w:val="21"/>
                    </w:rPr>
                    <w:t>排放量（t/a）</w:t>
                  </w:r>
                </w:p>
              </w:tc>
              <w:tc>
                <w:tcPr>
                  <w:tcW w:w="1331" w:type="dxa"/>
                  <w:tcBorders>
                    <w:tl2br w:val="nil"/>
                    <w:tr2bl w:val="nil"/>
                  </w:tcBorders>
                  <w:noWrap w:val="0"/>
                  <w:vAlign w:val="center"/>
                </w:tcPr>
                <w:p>
                  <w:pPr>
                    <w:spacing w:line="280" w:lineRule="exact"/>
                    <w:ind w:left="-105" w:leftChars="-50" w:right="-105" w:rightChars="-50"/>
                    <w:jc w:val="center"/>
                    <w:rPr>
                      <w:rFonts w:hint="eastAsia" w:eastAsia="Times New Roman"/>
                      <w:b/>
                      <w:bCs/>
                      <w:szCs w:val="21"/>
                    </w:rPr>
                  </w:pPr>
                  <w:r>
                    <w:rPr>
                      <w:rFonts w:hint="eastAsia" w:eastAsia="Times New Roman"/>
                      <w:b/>
                      <w:bCs/>
                      <w:szCs w:val="21"/>
                    </w:rPr>
                    <w:t>排放速率（kg/h）</w:t>
                  </w:r>
                </w:p>
              </w:tc>
              <w:tc>
                <w:tcPr>
                  <w:tcW w:w="2312" w:type="dxa"/>
                  <w:vMerge w:val="continue"/>
                  <w:tcBorders>
                    <w:tl2br w:val="nil"/>
                    <w:tr2bl w:val="nil"/>
                  </w:tcBorders>
                  <w:noWrap w:val="0"/>
                  <w:vAlign w:val="center"/>
                </w:tcPr>
                <w:p>
                  <w:pPr>
                    <w:spacing w:line="280" w:lineRule="exact"/>
                    <w:ind w:left="-105" w:leftChars="-50" w:right="-105" w:rightChars="-50"/>
                    <w:jc w:val="center"/>
                    <w:rPr>
                      <w:rFonts w:hint="eastAsia" w:eastAsia="Times New Roman"/>
                      <w:b/>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4" w:type="dxa"/>
                  <w:tcBorders>
                    <w:tl2br w:val="nil"/>
                    <w:tr2bl w:val="nil"/>
                  </w:tcBorders>
                  <w:noWrap w:val="0"/>
                  <w:vAlign w:val="center"/>
                </w:tcPr>
                <w:p>
                  <w:pPr>
                    <w:spacing w:line="280" w:lineRule="exact"/>
                    <w:jc w:val="center"/>
                    <w:rPr>
                      <w:rFonts w:hint="eastAsia" w:eastAsia="宋体"/>
                      <w:szCs w:val="21"/>
                      <w:lang w:eastAsia="zh-CN"/>
                    </w:rPr>
                  </w:pPr>
                  <w:r>
                    <w:rPr>
                      <w:rFonts w:hint="eastAsia"/>
                      <w:szCs w:val="21"/>
                      <w:lang w:eastAsia="zh-CN"/>
                    </w:rPr>
                    <w:t>丝网印刷、烘干工序</w:t>
                  </w:r>
                </w:p>
              </w:tc>
              <w:tc>
                <w:tcPr>
                  <w:tcW w:w="935" w:type="dxa"/>
                  <w:tcBorders>
                    <w:tl2br w:val="nil"/>
                    <w:tr2bl w:val="nil"/>
                  </w:tcBorders>
                  <w:noWrap w:val="0"/>
                  <w:vAlign w:val="center"/>
                </w:tcPr>
                <w:p>
                  <w:pPr>
                    <w:spacing w:line="280" w:lineRule="exact"/>
                    <w:jc w:val="center"/>
                    <w:rPr>
                      <w:rFonts w:hint="eastAsia"/>
                      <w:szCs w:val="21"/>
                    </w:rPr>
                  </w:pPr>
                  <w:r>
                    <w:rPr>
                      <w:rFonts w:hint="default" w:ascii="Times New Roman" w:hAnsi="Times New Roman" w:eastAsia="宋体" w:cs="Times New Roman"/>
                      <w:sz w:val="21"/>
                      <w:szCs w:val="21"/>
                      <w:lang w:val="en-US" w:eastAsia="zh-CN"/>
                    </w:rPr>
                    <w:t>VOCs</w:t>
                  </w:r>
                </w:p>
              </w:tc>
              <w:tc>
                <w:tcPr>
                  <w:tcW w:w="1211" w:type="dxa"/>
                  <w:tcBorders>
                    <w:tl2br w:val="nil"/>
                    <w:tr2bl w:val="nil"/>
                  </w:tcBorders>
                  <w:noWrap w:val="0"/>
                  <w:vAlign w:val="center"/>
                </w:tcPr>
                <w:p>
                  <w:pPr>
                    <w:spacing w:line="280" w:lineRule="exact"/>
                    <w:jc w:val="center"/>
                    <w:rPr>
                      <w:rFonts w:hint="eastAsia"/>
                      <w:szCs w:val="21"/>
                    </w:rPr>
                  </w:pPr>
                  <w:r>
                    <w:rPr>
                      <w:rFonts w:hint="eastAsia"/>
                      <w:szCs w:val="21"/>
                    </w:rPr>
                    <w:t>/</w:t>
                  </w:r>
                </w:p>
              </w:tc>
              <w:tc>
                <w:tcPr>
                  <w:tcW w:w="1109" w:type="dxa"/>
                  <w:tcBorders>
                    <w:tl2br w:val="nil"/>
                    <w:tr2bl w:val="nil"/>
                  </w:tcBorders>
                  <w:noWrap w:val="0"/>
                  <w:vAlign w:val="center"/>
                </w:tcPr>
                <w:p>
                  <w:pPr>
                    <w:widowControl/>
                    <w:spacing w:line="280" w:lineRule="exact"/>
                    <w:jc w:val="center"/>
                    <w:textAlignment w:val="center"/>
                    <w:rPr>
                      <w:rFonts w:eastAsia="Times New Roman"/>
                      <w:szCs w:val="21"/>
                    </w:rPr>
                  </w:pPr>
                  <w:r>
                    <w:rPr>
                      <w:rFonts w:hint="default" w:ascii="Times New Roman" w:hAnsi="Times New Roman" w:eastAsia="宋体" w:cs="Times New Roman"/>
                      <w:sz w:val="21"/>
                      <w:szCs w:val="21"/>
                      <w:lang w:val="en-US" w:eastAsia="zh-CN"/>
                    </w:rPr>
                    <w:t>0.134</w:t>
                  </w:r>
                </w:p>
              </w:tc>
              <w:tc>
                <w:tcPr>
                  <w:tcW w:w="1331" w:type="dxa"/>
                  <w:tcBorders>
                    <w:tl2br w:val="nil"/>
                    <w:tr2bl w:val="nil"/>
                  </w:tcBorders>
                  <w:noWrap w:val="0"/>
                  <w:vAlign w:val="center"/>
                </w:tcPr>
                <w:p>
                  <w:pPr>
                    <w:jc w:val="center"/>
                    <w:rPr>
                      <w:rFonts w:eastAsia="Times New Roman"/>
                      <w:szCs w:val="21"/>
                    </w:rPr>
                  </w:pPr>
                  <w:r>
                    <w:rPr>
                      <w:rFonts w:hint="default" w:ascii="Times New Roman" w:hAnsi="Times New Roman" w:eastAsia="宋体" w:cs="Times New Roman"/>
                      <w:sz w:val="21"/>
                      <w:szCs w:val="21"/>
                      <w:lang w:val="en-US" w:eastAsia="zh-CN"/>
                    </w:rPr>
                    <w:t>0.019</w:t>
                  </w:r>
                </w:p>
              </w:tc>
              <w:tc>
                <w:tcPr>
                  <w:tcW w:w="2312" w:type="dxa"/>
                  <w:vMerge w:val="restart"/>
                  <w:tcBorders>
                    <w:tl2br w:val="nil"/>
                    <w:tr2bl w:val="nil"/>
                  </w:tcBorders>
                  <w:noWrap w:val="0"/>
                  <w:vAlign w:val="center"/>
                </w:tcPr>
                <w:p>
                  <w:pPr>
                    <w:spacing w:line="280" w:lineRule="exact"/>
                    <w:ind w:left="-105" w:leftChars="-50" w:right="-105" w:rightChars="-50"/>
                    <w:jc w:val="center"/>
                    <w:rPr>
                      <w:rFonts w:hint="eastAsia" w:eastAsia="Times New Roman"/>
                      <w:szCs w:val="21"/>
                    </w:rPr>
                  </w:pPr>
                  <w:r>
                    <w:rPr>
                      <w:rFonts w:hint="eastAsia" w:eastAsia="Times New Roman"/>
                      <w:szCs w:val="21"/>
                    </w:rPr>
                    <w:t>江苏省地方标准《大气污染物综合排放标准》（DB32/4041—2021）表3中浓度限值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4" w:type="dxa"/>
                  <w:tcBorders>
                    <w:tl2br w:val="nil"/>
                    <w:tr2bl w:val="nil"/>
                  </w:tcBorders>
                  <w:noWrap w:val="0"/>
                  <w:vAlign w:val="center"/>
                </w:tcPr>
                <w:p>
                  <w:pPr>
                    <w:spacing w:line="280" w:lineRule="exact"/>
                    <w:jc w:val="center"/>
                    <w:rPr>
                      <w:rFonts w:hint="eastAsia" w:eastAsia="宋体"/>
                      <w:szCs w:val="21"/>
                      <w:lang w:eastAsia="zh-CN"/>
                    </w:rPr>
                  </w:pPr>
                  <w:r>
                    <w:rPr>
                      <w:rFonts w:hint="eastAsia"/>
                      <w:szCs w:val="21"/>
                      <w:lang w:eastAsia="zh-CN"/>
                    </w:rPr>
                    <w:t>钢化工序</w:t>
                  </w:r>
                </w:p>
              </w:tc>
              <w:tc>
                <w:tcPr>
                  <w:tcW w:w="935" w:type="dxa"/>
                  <w:tcBorders>
                    <w:tl2br w:val="nil"/>
                    <w:tr2bl w:val="nil"/>
                  </w:tcBorders>
                  <w:noWrap w:val="0"/>
                  <w:vAlign w:val="center"/>
                </w:tcPr>
                <w:p>
                  <w:pPr>
                    <w:spacing w:line="280" w:lineRule="exact"/>
                    <w:jc w:val="center"/>
                    <w:rPr>
                      <w:rFonts w:hint="eastAsia"/>
                      <w:szCs w:val="21"/>
                    </w:rPr>
                  </w:pPr>
                  <w:r>
                    <w:rPr>
                      <w:rFonts w:hint="default" w:ascii="Times New Roman" w:hAnsi="Times New Roman" w:eastAsia="宋体" w:cs="Times New Roman"/>
                      <w:sz w:val="21"/>
                      <w:szCs w:val="21"/>
                      <w:lang w:val="en-US" w:eastAsia="zh-CN"/>
                    </w:rPr>
                    <w:t>VOCs</w:t>
                  </w:r>
                </w:p>
              </w:tc>
              <w:tc>
                <w:tcPr>
                  <w:tcW w:w="1211" w:type="dxa"/>
                  <w:tcBorders>
                    <w:tl2br w:val="nil"/>
                    <w:tr2bl w:val="nil"/>
                  </w:tcBorders>
                  <w:noWrap w:val="0"/>
                  <w:vAlign w:val="center"/>
                </w:tcPr>
                <w:p>
                  <w:pPr>
                    <w:spacing w:line="280" w:lineRule="exact"/>
                    <w:jc w:val="center"/>
                    <w:rPr>
                      <w:rFonts w:hint="eastAsia" w:eastAsia="宋体"/>
                      <w:szCs w:val="21"/>
                      <w:lang w:val="en-US" w:eastAsia="zh-CN"/>
                    </w:rPr>
                  </w:pPr>
                  <w:r>
                    <w:rPr>
                      <w:rFonts w:hint="eastAsia"/>
                      <w:szCs w:val="21"/>
                      <w:lang w:val="en-US" w:eastAsia="zh-CN"/>
                    </w:rPr>
                    <w:t>/</w:t>
                  </w:r>
                </w:p>
              </w:tc>
              <w:tc>
                <w:tcPr>
                  <w:tcW w:w="1109" w:type="dxa"/>
                  <w:tcBorders>
                    <w:tl2br w:val="nil"/>
                    <w:tr2bl w:val="nil"/>
                  </w:tcBorders>
                  <w:noWrap w:val="0"/>
                  <w:vAlign w:val="center"/>
                </w:tcPr>
                <w:p>
                  <w:pPr>
                    <w:widowControl/>
                    <w:spacing w:line="280" w:lineRule="exact"/>
                    <w:jc w:val="center"/>
                    <w:textAlignment w:val="center"/>
                    <w:rPr>
                      <w:rFonts w:hint="eastAsia" w:eastAsia="Times New Roman"/>
                      <w:szCs w:val="21"/>
                    </w:rPr>
                  </w:pPr>
                  <w:r>
                    <w:rPr>
                      <w:rFonts w:hint="default" w:ascii="Times New Roman" w:hAnsi="Times New Roman" w:eastAsia="宋体" w:cs="Times New Roman"/>
                      <w:sz w:val="21"/>
                      <w:szCs w:val="21"/>
                      <w:lang w:val="en-US" w:eastAsia="zh-CN"/>
                    </w:rPr>
                    <w:t>0.244</w:t>
                  </w:r>
                </w:p>
              </w:tc>
              <w:tc>
                <w:tcPr>
                  <w:tcW w:w="1331" w:type="dxa"/>
                  <w:tcBorders>
                    <w:tl2br w:val="nil"/>
                    <w:tr2bl w:val="nil"/>
                  </w:tcBorders>
                  <w:noWrap w:val="0"/>
                  <w:vAlign w:val="center"/>
                </w:tcPr>
                <w:p>
                  <w:pPr>
                    <w:jc w:val="center"/>
                    <w:rPr>
                      <w:rFonts w:hint="eastAsia" w:eastAsia="Times New Roman"/>
                      <w:szCs w:val="21"/>
                    </w:rPr>
                  </w:pPr>
                  <w:r>
                    <w:rPr>
                      <w:rFonts w:hint="default" w:ascii="Times New Roman" w:hAnsi="Times New Roman" w:eastAsia="宋体" w:cs="Times New Roman"/>
                      <w:sz w:val="21"/>
                      <w:szCs w:val="21"/>
                      <w:lang w:val="en-US" w:eastAsia="zh-CN"/>
                    </w:rPr>
                    <w:t>0.034</w:t>
                  </w:r>
                </w:p>
              </w:tc>
              <w:tc>
                <w:tcPr>
                  <w:tcW w:w="2312" w:type="dxa"/>
                  <w:vMerge w:val="continue"/>
                  <w:tcBorders>
                    <w:tl2br w:val="nil"/>
                    <w:tr2bl w:val="nil"/>
                  </w:tcBorders>
                  <w:noWrap w:val="0"/>
                  <w:vAlign w:val="center"/>
                </w:tcPr>
                <w:p>
                  <w:pPr>
                    <w:spacing w:line="280" w:lineRule="exact"/>
                    <w:ind w:left="-105" w:leftChars="-50" w:right="-105" w:rightChars="-50"/>
                    <w:jc w:val="center"/>
                    <w:rPr>
                      <w:rFonts w:hint="eastAsia" w:eastAsia="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34" w:type="dxa"/>
                  <w:tcBorders>
                    <w:tl2br w:val="nil"/>
                    <w:tr2bl w:val="nil"/>
                  </w:tcBorders>
                  <w:noWrap w:val="0"/>
                  <w:vAlign w:val="center"/>
                </w:tcPr>
                <w:p>
                  <w:pPr>
                    <w:spacing w:line="280" w:lineRule="exact"/>
                    <w:jc w:val="center"/>
                    <w:rPr>
                      <w:rFonts w:hint="eastAsia" w:eastAsia="宋体"/>
                      <w:szCs w:val="21"/>
                      <w:lang w:eastAsia="zh-CN"/>
                    </w:rPr>
                  </w:pPr>
                  <w:r>
                    <w:rPr>
                      <w:rFonts w:hint="eastAsia"/>
                      <w:szCs w:val="21"/>
                      <w:lang w:eastAsia="zh-CN"/>
                    </w:rPr>
                    <w:t>激光打孔工序</w:t>
                  </w:r>
                </w:p>
              </w:tc>
              <w:tc>
                <w:tcPr>
                  <w:tcW w:w="935" w:type="dxa"/>
                  <w:tcBorders>
                    <w:tl2br w:val="nil"/>
                    <w:tr2bl w:val="nil"/>
                  </w:tcBorders>
                  <w:noWrap w:val="0"/>
                  <w:vAlign w:val="center"/>
                </w:tcPr>
                <w:p>
                  <w:pPr>
                    <w:spacing w:line="280" w:lineRule="exact"/>
                    <w:jc w:val="center"/>
                    <w:rPr>
                      <w:rFonts w:hint="eastAsia"/>
                      <w:szCs w:val="21"/>
                    </w:rPr>
                  </w:pPr>
                  <w:r>
                    <w:rPr>
                      <w:rFonts w:hint="default" w:ascii="Times New Roman" w:hAnsi="Times New Roman" w:eastAsia="宋体" w:cs="Times New Roman"/>
                      <w:sz w:val="21"/>
                      <w:szCs w:val="21"/>
                      <w:lang w:val="en-US" w:eastAsia="zh-CN"/>
                    </w:rPr>
                    <w:t>粉尘</w:t>
                  </w:r>
                </w:p>
              </w:tc>
              <w:tc>
                <w:tcPr>
                  <w:tcW w:w="1211" w:type="dxa"/>
                  <w:tcBorders>
                    <w:tl2br w:val="nil"/>
                    <w:tr2bl w:val="nil"/>
                  </w:tcBorders>
                  <w:noWrap w:val="0"/>
                  <w:vAlign w:val="center"/>
                </w:tcPr>
                <w:p>
                  <w:pPr>
                    <w:spacing w:line="280" w:lineRule="exact"/>
                    <w:jc w:val="center"/>
                    <w:rPr>
                      <w:rFonts w:hint="eastAsia"/>
                      <w:szCs w:val="21"/>
                    </w:rPr>
                  </w:pPr>
                  <w:r>
                    <w:rPr>
                      <w:rFonts w:hint="eastAsia" w:ascii="Times New Roman" w:hAnsi="Times New Roman" w:eastAsia="宋体" w:cs="Times New Roman"/>
                      <w:sz w:val="21"/>
                      <w:szCs w:val="21"/>
                      <w:lang w:val="en-US" w:eastAsia="zh-CN"/>
                    </w:rPr>
                    <w:t>设备配套吸尘装置</w:t>
                  </w:r>
                </w:p>
              </w:tc>
              <w:tc>
                <w:tcPr>
                  <w:tcW w:w="1109" w:type="dxa"/>
                  <w:tcBorders>
                    <w:tl2br w:val="nil"/>
                    <w:tr2bl w:val="nil"/>
                  </w:tcBorders>
                  <w:noWrap w:val="0"/>
                  <w:vAlign w:val="center"/>
                </w:tcPr>
                <w:p>
                  <w:pPr>
                    <w:widowControl/>
                    <w:spacing w:line="280" w:lineRule="exact"/>
                    <w:jc w:val="center"/>
                    <w:textAlignment w:val="center"/>
                    <w:rPr>
                      <w:rFonts w:hint="eastAsia" w:eastAsia="Times New Roman"/>
                      <w:szCs w:val="21"/>
                    </w:rPr>
                  </w:pPr>
                  <w:r>
                    <w:rPr>
                      <w:rFonts w:hint="default" w:ascii="Times New Roman" w:hAnsi="Times New Roman" w:eastAsia="宋体" w:cs="Times New Roman"/>
                      <w:sz w:val="21"/>
                      <w:szCs w:val="21"/>
                      <w:lang w:val="en-US" w:eastAsia="zh-CN"/>
                    </w:rPr>
                    <w:t>0.257</w:t>
                  </w:r>
                </w:p>
              </w:tc>
              <w:tc>
                <w:tcPr>
                  <w:tcW w:w="1331" w:type="dxa"/>
                  <w:tcBorders>
                    <w:tl2br w:val="nil"/>
                    <w:tr2bl w:val="nil"/>
                  </w:tcBorders>
                  <w:noWrap w:val="0"/>
                  <w:vAlign w:val="center"/>
                </w:tcPr>
                <w:p>
                  <w:pPr>
                    <w:jc w:val="center"/>
                    <w:rPr>
                      <w:rFonts w:hint="eastAsia" w:eastAsia="Times New Roman"/>
                      <w:szCs w:val="21"/>
                    </w:rPr>
                  </w:pPr>
                  <w:r>
                    <w:rPr>
                      <w:rFonts w:hint="default" w:ascii="Times New Roman" w:hAnsi="Times New Roman" w:eastAsia="宋体" w:cs="Times New Roman"/>
                      <w:sz w:val="21"/>
                      <w:szCs w:val="21"/>
                      <w:lang w:val="en-US" w:eastAsia="zh-CN"/>
                    </w:rPr>
                    <w:t>0.036</w:t>
                  </w:r>
                </w:p>
              </w:tc>
              <w:tc>
                <w:tcPr>
                  <w:tcW w:w="2312" w:type="dxa"/>
                  <w:vMerge w:val="continue"/>
                  <w:tcBorders>
                    <w:tl2br w:val="nil"/>
                    <w:tr2bl w:val="nil"/>
                  </w:tcBorders>
                  <w:noWrap w:val="0"/>
                  <w:vAlign w:val="center"/>
                </w:tcPr>
                <w:p>
                  <w:pPr>
                    <w:spacing w:line="280" w:lineRule="exact"/>
                    <w:ind w:left="-105" w:leftChars="-50" w:right="-105" w:rightChars="-50"/>
                    <w:jc w:val="center"/>
                    <w:rPr>
                      <w:rFonts w:hint="eastAsia" w:eastAsia="Times New Roman"/>
                      <w:szCs w:val="21"/>
                    </w:rPr>
                  </w:pPr>
                </w:p>
              </w:tc>
            </w:tr>
          </w:tbl>
          <w:p>
            <w:pPr>
              <w:pStyle w:val="3"/>
              <w:numPr>
                <w:ilvl w:val="0"/>
                <w:numId w:val="0"/>
              </w:numPr>
              <w:rPr>
                <w:rFonts w:hint="eastAsia"/>
                <w:lang w:val="en-US" w:eastAsia="zh-CN"/>
              </w:rPr>
            </w:pPr>
          </w:p>
          <w:p>
            <w:pPr>
              <w:jc w:val="both"/>
              <w:rPr>
                <w:b/>
                <w:sz w:val="24"/>
              </w:rPr>
            </w:pPr>
          </w:p>
          <w:p>
            <w:pPr>
              <w:jc w:val="center"/>
              <w:rPr>
                <w:rFonts w:hint="eastAsia"/>
                <w:b/>
                <w:sz w:val="24"/>
                <w:szCs w:val="24"/>
              </w:rPr>
            </w:pPr>
            <w:r>
              <w:rPr>
                <w:b/>
                <w:sz w:val="24"/>
              </w:rPr>
              <w:t>表</w:t>
            </w:r>
            <w:r>
              <w:rPr>
                <w:rFonts w:hint="eastAsia"/>
                <w:b/>
                <w:sz w:val="24"/>
              </w:rPr>
              <w:t>4</w:t>
            </w:r>
            <w:r>
              <w:rPr>
                <w:b/>
                <w:sz w:val="24"/>
              </w:rPr>
              <w:t>-</w:t>
            </w:r>
            <w:r>
              <w:rPr>
                <w:rFonts w:hint="eastAsia"/>
                <w:b/>
                <w:sz w:val="24"/>
                <w:lang w:val="en-US" w:eastAsia="zh-CN"/>
              </w:rPr>
              <w:t>6</w:t>
            </w:r>
            <w:r>
              <w:rPr>
                <w:rFonts w:hint="eastAsia"/>
                <w:b/>
                <w:sz w:val="24"/>
              </w:rPr>
              <w:t xml:space="preserve">  </w:t>
            </w:r>
            <w:r>
              <w:rPr>
                <w:rFonts w:hint="eastAsia"/>
                <w:b/>
                <w:sz w:val="24"/>
                <w:szCs w:val="24"/>
              </w:rPr>
              <w:t xml:space="preserve"> 排放口基本情况（点源）</w:t>
            </w:r>
          </w:p>
          <w:p>
            <w:pPr>
              <w:ind w:firstLine="2168" w:firstLineChars="900"/>
              <w:rPr>
                <w:b/>
                <w:sz w:val="24"/>
              </w:rPr>
            </w:pPr>
          </w:p>
          <w:tbl>
            <w:tblPr>
              <w:tblStyle w:val="3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86"/>
              <w:gridCol w:w="361"/>
              <w:gridCol w:w="1000"/>
              <w:gridCol w:w="904"/>
              <w:gridCol w:w="790"/>
              <w:gridCol w:w="558"/>
              <w:gridCol w:w="438"/>
              <w:gridCol w:w="589"/>
              <w:gridCol w:w="880"/>
              <w:gridCol w:w="803"/>
              <w:gridCol w:w="442"/>
              <w:gridCol w:w="667"/>
              <w:gridCol w:w="7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3" w:hRule="atLeast"/>
                <w:tblHeader/>
                <w:jc w:val="center"/>
              </w:trPr>
              <w:tc>
                <w:tcPr>
                  <w:tcW w:w="286" w:type="dxa"/>
                  <w:vMerge w:val="restart"/>
                  <w:tcBorders>
                    <w:top w:val="single" w:color="000000" w:sz="12" w:space="0"/>
                  </w:tcBorders>
                  <w:noWrap w:val="0"/>
                  <w:vAlign w:val="center"/>
                </w:tcPr>
                <w:p>
                  <w:pPr>
                    <w:jc w:val="center"/>
                    <w:rPr>
                      <w:rFonts w:ascii="宋体" w:hAnsi="宋体" w:eastAsia="宋体"/>
                      <w:b/>
                      <w:szCs w:val="21"/>
                    </w:rPr>
                  </w:pPr>
                  <w:r>
                    <w:rPr>
                      <w:rFonts w:ascii="宋体" w:hAnsi="宋体" w:eastAsia="宋体"/>
                      <w:b/>
                      <w:szCs w:val="21"/>
                    </w:rPr>
                    <w:t>编号</w:t>
                  </w:r>
                </w:p>
              </w:tc>
              <w:tc>
                <w:tcPr>
                  <w:tcW w:w="361" w:type="dxa"/>
                  <w:vMerge w:val="restart"/>
                  <w:tcBorders>
                    <w:top w:val="single" w:color="000000" w:sz="12" w:space="0"/>
                  </w:tcBorders>
                  <w:noWrap w:val="0"/>
                  <w:vAlign w:val="center"/>
                </w:tcPr>
                <w:p>
                  <w:pPr>
                    <w:jc w:val="center"/>
                    <w:rPr>
                      <w:rFonts w:ascii="宋体" w:hAnsi="宋体" w:eastAsia="宋体"/>
                      <w:b/>
                      <w:szCs w:val="21"/>
                    </w:rPr>
                  </w:pPr>
                  <w:r>
                    <w:rPr>
                      <w:rFonts w:ascii="宋体" w:hAnsi="宋体" w:eastAsia="宋体"/>
                      <w:b/>
                      <w:szCs w:val="21"/>
                    </w:rPr>
                    <w:t>名称</w:t>
                  </w:r>
                </w:p>
              </w:tc>
              <w:tc>
                <w:tcPr>
                  <w:tcW w:w="1903" w:type="dxa"/>
                  <w:gridSpan w:val="2"/>
                  <w:tcBorders>
                    <w:top w:val="single" w:color="000000" w:sz="12" w:space="0"/>
                  </w:tcBorders>
                  <w:noWrap w:val="0"/>
                  <w:vAlign w:val="center"/>
                </w:tcPr>
                <w:p>
                  <w:pPr>
                    <w:jc w:val="center"/>
                    <w:rPr>
                      <w:rFonts w:ascii="宋体" w:hAnsi="宋体" w:eastAsia="宋体"/>
                      <w:b/>
                      <w:szCs w:val="21"/>
                    </w:rPr>
                  </w:pPr>
                  <w:r>
                    <w:rPr>
                      <w:rFonts w:hint="default" w:ascii="Times New Roman" w:hAnsi="Times New Roman" w:eastAsia="宋体" w:cs="Times New Roman"/>
                      <w:b/>
                      <w:bCs/>
                      <w:sz w:val="21"/>
                      <w:szCs w:val="21"/>
                    </w:rPr>
                    <w:t>排气筒底部中心坐标/m</w:t>
                  </w:r>
                </w:p>
              </w:tc>
              <w:tc>
                <w:tcPr>
                  <w:tcW w:w="0" w:type="auto"/>
                  <w:vMerge w:val="restart"/>
                  <w:tcBorders>
                    <w:top w:val="single" w:color="000000" w:sz="12" w:space="0"/>
                  </w:tcBorders>
                  <w:noWrap w:val="0"/>
                  <w:vAlign w:val="center"/>
                </w:tcPr>
                <w:p>
                  <w:pPr>
                    <w:jc w:val="center"/>
                    <w:rPr>
                      <w:rFonts w:ascii="宋体" w:hAnsi="宋体" w:eastAsia="宋体"/>
                      <w:b/>
                      <w:szCs w:val="21"/>
                    </w:rPr>
                  </w:pPr>
                  <w:r>
                    <w:rPr>
                      <w:rFonts w:ascii="宋体" w:hAnsi="宋体" w:eastAsia="宋体"/>
                      <w:b/>
                      <w:szCs w:val="21"/>
                    </w:rPr>
                    <w:t>面源海拔高度/</w:t>
                  </w:r>
                  <w:r>
                    <w:rPr>
                      <w:rFonts w:ascii="Times New Roman" w:hAnsi="Times New Roman" w:eastAsia="宋体"/>
                      <w:b/>
                      <w:szCs w:val="21"/>
                    </w:rPr>
                    <w:t>m</w:t>
                  </w:r>
                </w:p>
              </w:tc>
              <w:tc>
                <w:tcPr>
                  <w:tcW w:w="0" w:type="auto"/>
                  <w:vMerge w:val="restart"/>
                  <w:tcBorders>
                    <w:top w:val="single" w:color="000000" w:sz="12" w:space="0"/>
                  </w:tcBorders>
                  <w:noWrap w:val="0"/>
                  <w:vAlign w:val="center"/>
                </w:tcPr>
                <w:p>
                  <w:pPr>
                    <w:jc w:val="center"/>
                    <w:rPr>
                      <w:rFonts w:ascii="宋体" w:hAnsi="宋体" w:eastAsia="宋体"/>
                      <w:b/>
                      <w:szCs w:val="21"/>
                    </w:rPr>
                  </w:pPr>
                  <w:r>
                    <w:rPr>
                      <w:rFonts w:ascii="宋体" w:hAnsi="宋体" w:eastAsia="宋体"/>
                      <w:b/>
                      <w:szCs w:val="21"/>
                    </w:rPr>
                    <w:t>面源</w:t>
                  </w:r>
                </w:p>
                <w:p>
                  <w:pPr>
                    <w:jc w:val="center"/>
                    <w:rPr>
                      <w:rFonts w:ascii="宋体" w:hAnsi="宋体" w:eastAsia="宋体"/>
                      <w:b/>
                      <w:szCs w:val="21"/>
                    </w:rPr>
                  </w:pPr>
                  <w:r>
                    <w:rPr>
                      <w:rFonts w:ascii="宋体" w:hAnsi="宋体" w:eastAsia="宋体"/>
                      <w:b/>
                      <w:szCs w:val="21"/>
                    </w:rPr>
                    <w:t>长度/</w:t>
                  </w:r>
                  <w:r>
                    <w:rPr>
                      <w:rFonts w:ascii="Times New Roman" w:hAnsi="Times New Roman" w:eastAsia="宋体"/>
                      <w:b/>
                      <w:szCs w:val="21"/>
                    </w:rPr>
                    <w:t>m</w:t>
                  </w:r>
                </w:p>
              </w:tc>
              <w:tc>
                <w:tcPr>
                  <w:tcW w:w="0" w:type="auto"/>
                  <w:vMerge w:val="restart"/>
                  <w:tcBorders>
                    <w:top w:val="single" w:color="000000" w:sz="12" w:space="0"/>
                  </w:tcBorders>
                  <w:noWrap w:val="0"/>
                  <w:vAlign w:val="center"/>
                </w:tcPr>
                <w:p>
                  <w:pPr>
                    <w:jc w:val="center"/>
                    <w:rPr>
                      <w:rFonts w:ascii="宋体" w:hAnsi="宋体" w:eastAsia="宋体"/>
                      <w:b/>
                      <w:szCs w:val="21"/>
                    </w:rPr>
                  </w:pPr>
                  <w:r>
                    <w:rPr>
                      <w:rFonts w:ascii="宋体" w:hAnsi="宋体" w:eastAsia="宋体"/>
                      <w:b/>
                      <w:szCs w:val="21"/>
                    </w:rPr>
                    <w:t>面源</w:t>
                  </w:r>
                </w:p>
                <w:p>
                  <w:pPr>
                    <w:jc w:val="center"/>
                    <w:rPr>
                      <w:rFonts w:ascii="宋体" w:hAnsi="宋体" w:eastAsia="宋体"/>
                      <w:b/>
                      <w:szCs w:val="21"/>
                    </w:rPr>
                  </w:pPr>
                  <w:r>
                    <w:rPr>
                      <w:rFonts w:ascii="宋体" w:hAnsi="宋体" w:eastAsia="宋体"/>
                      <w:b/>
                      <w:szCs w:val="21"/>
                    </w:rPr>
                    <w:t>宽度/</w:t>
                  </w:r>
                  <w:r>
                    <w:rPr>
                      <w:rFonts w:ascii="Times New Roman" w:hAnsi="Times New Roman" w:eastAsia="宋体"/>
                      <w:b/>
                      <w:szCs w:val="21"/>
                    </w:rPr>
                    <w:t>m</w:t>
                  </w:r>
                </w:p>
              </w:tc>
              <w:tc>
                <w:tcPr>
                  <w:tcW w:w="0" w:type="auto"/>
                  <w:vMerge w:val="restart"/>
                  <w:tcBorders>
                    <w:top w:val="single" w:color="000000" w:sz="12" w:space="0"/>
                  </w:tcBorders>
                  <w:noWrap w:val="0"/>
                  <w:vAlign w:val="center"/>
                </w:tcPr>
                <w:p>
                  <w:pPr>
                    <w:jc w:val="center"/>
                    <w:rPr>
                      <w:rFonts w:ascii="宋体" w:hAnsi="宋体" w:eastAsia="宋体"/>
                      <w:b/>
                      <w:szCs w:val="21"/>
                    </w:rPr>
                  </w:pPr>
                  <w:r>
                    <w:rPr>
                      <w:rFonts w:ascii="宋体" w:hAnsi="宋体" w:eastAsia="宋体"/>
                      <w:b/>
                      <w:szCs w:val="21"/>
                    </w:rPr>
                    <w:t>与正北夹角/</w:t>
                  </w:r>
                  <w:r>
                    <w:rPr>
                      <w:rFonts w:ascii="Times New Roman" w:hAnsi="Times New Roman" w:eastAsia="宋体"/>
                      <w:b/>
                      <w:szCs w:val="21"/>
                    </w:rPr>
                    <w:t>o</w:t>
                  </w:r>
                </w:p>
              </w:tc>
              <w:tc>
                <w:tcPr>
                  <w:tcW w:w="0" w:type="auto"/>
                  <w:vMerge w:val="restart"/>
                  <w:tcBorders>
                    <w:top w:val="single" w:color="000000" w:sz="12" w:space="0"/>
                  </w:tcBorders>
                  <w:noWrap w:val="0"/>
                  <w:vAlign w:val="center"/>
                </w:tcPr>
                <w:p>
                  <w:pPr>
                    <w:jc w:val="center"/>
                    <w:rPr>
                      <w:rFonts w:ascii="宋体" w:hAnsi="宋体" w:eastAsia="宋体"/>
                      <w:b/>
                      <w:szCs w:val="21"/>
                    </w:rPr>
                  </w:pPr>
                  <w:r>
                    <w:rPr>
                      <w:rFonts w:ascii="宋体" w:hAnsi="宋体" w:eastAsia="宋体"/>
                      <w:b/>
                      <w:szCs w:val="21"/>
                    </w:rPr>
                    <w:t>面源有效排放高度/</w:t>
                  </w:r>
                  <w:r>
                    <w:rPr>
                      <w:rFonts w:ascii="Times New Roman" w:hAnsi="Times New Roman" w:eastAsia="宋体"/>
                      <w:b/>
                      <w:szCs w:val="21"/>
                    </w:rPr>
                    <w:t>m</w:t>
                  </w:r>
                </w:p>
              </w:tc>
              <w:tc>
                <w:tcPr>
                  <w:tcW w:w="0" w:type="auto"/>
                  <w:vMerge w:val="restart"/>
                  <w:tcBorders>
                    <w:top w:val="single" w:color="000000" w:sz="12" w:space="0"/>
                  </w:tcBorders>
                  <w:noWrap w:val="0"/>
                  <w:vAlign w:val="center"/>
                </w:tcPr>
                <w:p>
                  <w:pPr>
                    <w:jc w:val="center"/>
                    <w:rPr>
                      <w:rFonts w:ascii="宋体" w:hAnsi="宋体" w:eastAsia="宋体"/>
                      <w:b/>
                      <w:szCs w:val="21"/>
                    </w:rPr>
                  </w:pPr>
                  <w:r>
                    <w:rPr>
                      <w:rFonts w:ascii="宋体" w:hAnsi="宋体" w:eastAsia="宋体"/>
                      <w:b/>
                      <w:szCs w:val="21"/>
                    </w:rPr>
                    <w:t>年排放小时数/</w:t>
                  </w:r>
                  <w:r>
                    <w:rPr>
                      <w:rFonts w:ascii="Times New Roman" w:hAnsi="Times New Roman" w:eastAsia="宋体"/>
                      <w:b/>
                      <w:szCs w:val="21"/>
                    </w:rPr>
                    <w:t>h</w:t>
                  </w:r>
                </w:p>
              </w:tc>
              <w:tc>
                <w:tcPr>
                  <w:tcW w:w="0" w:type="auto"/>
                  <w:vMerge w:val="restart"/>
                  <w:tcBorders>
                    <w:top w:val="single" w:color="000000" w:sz="12" w:space="0"/>
                    <w:bottom w:val="nil"/>
                  </w:tcBorders>
                  <w:noWrap w:val="0"/>
                  <w:vAlign w:val="center"/>
                </w:tcPr>
                <w:p>
                  <w:pPr>
                    <w:jc w:val="center"/>
                    <w:rPr>
                      <w:rFonts w:ascii="宋体" w:hAnsi="宋体" w:eastAsia="宋体"/>
                      <w:b/>
                      <w:szCs w:val="21"/>
                    </w:rPr>
                  </w:pPr>
                  <w:r>
                    <w:rPr>
                      <w:rFonts w:ascii="宋体" w:hAnsi="宋体" w:eastAsia="宋体"/>
                      <w:b/>
                      <w:szCs w:val="21"/>
                    </w:rPr>
                    <w:t>排放工况</w:t>
                  </w:r>
                </w:p>
              </w:tc>
              <w:tc>
                <w:tcPr>
                  <w:tcW w:w="0" w:type="auto"/>
                  <w:gridSpan w:val="2"/>
                  <w:tcBorders>
                    <w:top w:val="single" w:color="000000" w:sz="12" w:space="0"/>
                    <w:bottom w:val="single" w:color="auto" w:sz="4" w:space="0"/>
                  </w:tcBorders>
                  <w:noWrap w:val="0"/>
                  <w:vAlign w:val="center"/>
                </w:tcPr>
                <w:p>
                  <w:pPr>
                    <w:jc w:val="center"/>
                    <w:rPr>
                      <w:rFonts w:ascii="宋体" w:hAnsi="宋体" w:eastAsia="宋体"/>
                      <w:b/>
                      <w:szCs w:val="21"/>
                    </w:rPr>
                  </w:pPr>
                  <w:r>
                    <w:rPr>
                      <w:rFonts w:ascii="宋体" w:hAnsi="宋体" w:eastAsia="宋体"/>
                      <w:b/>
                      <w:szCs w:val="21"/>
                    </w:rPr>
                    <w:t>污染物排放速率（</w:t>
                  </w:r>
                  <w:r>
                    <w:rPr>
                      <w:rFonts w:ascii="Times New Roman" w:hAnsi="Times New Roman" w:eastAsia="宋体"/>
                      <w:b/>
                      <w:szCs w:val="21"/>
                    </w:rPr>
                    <w:t>kg</w:t>
                  </w:r>
                  <w:r>
                    <w:rPr>
                      <w:rFonts w:ascii="宋体" w:hAnsi="宋体" w:eastAsia="宋体"/>
                      <w:b/>
                      <w:szCs w:val="21"/>
                    </w:rPr>
                    <w:t>/</w:t>
                  </w:r>
                  <w:r>
                    <w:rPr>
                      <w:rFonts w:ascii="Times New Roman" w:hAnsi="Times New Roman" w:eastAsia="宋体"/>
                      <w:b/>
                      <w:szCs w:val="21"/>
                    </w:rPr>
                    <w:t>h</w:t>
                  </w:r>
                  <w:r>
                    <w:rPr>
                      <w:rFonts w:ascii="宋体" w:hAnsi="宋体" w:eastAsia="宋体"/>
                      <w:b/>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1" w:hRule="atLeast"/>
                <w:tblHeader/>
                <w:jc w:val="center"/>
              </w:trPr>
              <w:tc>
                <w:tcPr>
                  <w:tcW w:w="286" w:type="dxa"/>
                  <w:vMerge w:val="continue"/>
                  <w:noWrap w:val="0"/>
                  <w:vAlign w:val="center"/>
                </w:tcPr>
                <w:p>
                  <w:pPr>
                    <w:jc w:val="center"/>
                    <w:rPr>
                      <w:rFonts w:ascii="宋体" w:hAnsi="宋体" w:eastAsia="宋体"/>
                      <w:szCs w:val="21"/>
                    </w:rPr>
                  </w:pPr>
                </w:p>
              </w:tc>
              <w:tc>
                <w:tcPr>
                  <w:tcW w:w="361" w:type="dxa"/>
                  <w:vMerge w:val="continue"/>
                  <w:noWrap w:val="0"/>
                  <w:vAlign w:val="center"/>
                </w:tcPr>
                <w:p>
                  <w:pPr>
                    <w:jc w:val="center"/>
                    <w:rPr>
                      <w:rFonts w:ascii="宋体" w:hAnsi="宋体" w:eastAsia="宋体"/>
                      <w:szCs w:val="21"/>
                    </w:rPr>
                  </w:pPr>
                </w:p>
              </w:tc>
              <w:tc>
                <w:tcPr>
                  <w:tcW w:w="999" w:type="dxa"/>
                  <w:noWrap w:val="0"/>
                  <w:vAlign w:val="center"/>
                </w:tcPr>
                <w:p>
                  <w:pPr>
                    <w:jc w:val="center"/>
                    <w:rPr>
                      <w:rFonts w:ascii="宋体" w:hAnsi="宋体" w:eastAsia="宋体"/>
                      <w:b/>
                      <w:szCs w:val="21"/>
                    </w:rPr>
                  </w:pPr>
                  <w:r>
                    <w:rPr>
                      <w:rFonts w:hint="default" w:ascii="Times New Roman" w:hAnsi="Times New Roman" w:eastAsia="宋体" w:cs="Times New Roman"/>
                      <w:b/>
                      <w:bCs/>
                      <w:sz w:val="21"/>
                      <w:szCs w:val="21"/>
                    </w:rPr>
                    <w:t>X</w:t>
                  </w:r>
                </w:p>
              </w:tc>
              <w:tc>
                <w:tcPr>
                  <w:tcW w:w="904" w:type="dxa"/>
                  <w:noWrap w:val="0"/>
                  <w:vAlign w:val="center"/>
                </w:tcPr>
                <w:p>
                  <w:pPr>
                    <w:jc w:val="center"/>
                    <w:rPr>
                      <w:rFonts w:ascii="宋体" w:hAnsi="宋体" w:eastAsia="宋体"/>
                      <w:b/>
                      <w:szCs w:val="21"/>
                    </w:rPr>
                  </w:pPr>
                  <w:r>
                    <w:rPr>
                      <w:rFonts w:hint="default" w:ascii="Times New Roman" w:hAnsi="Times New Roman" w:eastAsia="宋体" w:cs="Times New Roman"/>
                      <w:b/>
                      <w:bCs/>
                      <w:sz w:val="21"/>
                      <w:szCs w:val="21"/>
                    </w:rPr>
                    <w:t>Y</w:t>
                  </w:r>
                </w:p>
              </w:tc>
              <w:tc>
                <w:tcPr>
                  <w:tcW w:w="0" w:type="auto"/>
                  <w:vMerge w:val="continue"/>
                  <w:noWrap w:val="0"/>
                  <w:vAlign w:val="center"/>
                </w:tcPr>
                <w:p>
                  <w:pPr>
                    <w:jc w:val="center"/>
                    <w:rPr>
                      <w:rFonts w:ascii="宋体" w:hAnsi="宋体" w:eastAsia="宋体"/>
                      <w:szCs w:val="21"/>
                    </w:rPr>
                  </w:pPr>
                </w:p>
              </w:tc>
              <w:tc>
                <w:tcPr>
                  <w:tcW w:w="0" w:type="auto"/>
                  <w:vMerge w:val="continue"/>
                  <w:noWrap w:val="0"/>
                  <w:vAlign w:val="center"/>
                </w:tcPr>
                <w:p>
                  <w:pPr>
                    <w:jc w:val="center"/>
                    <w:rPr>
                      <w:rFonts w:ascii="宋体" w:hAnsi="宋体" w:eastAsia="宋体"/>
                      <w:szCs w:val="21"/>
                    </w:rPr>
                  </w:pPr>
                </w:p>
              </w:tc>
              <w:tc>
                <w:tcPr>
                  <w:tcW w:w="0" w:type="auto"/>
                  <w:vMerge w:val="continue"/>
                  <w:noWrap w:val="0"/>
                  <w:vAlign w:val="center"/>
                </w:tcPr>
                <w:p>
                  <w:pPr>
                    <w:jc w:val="center"/>
                    <w:rPr>
                      <w:rFonts w:ascii="宋体" w:hAnsi="宋体" w:eastAsia="宋体"/>
                      <w:szCs w:val="21"/>
                    </w:rPr>
                  </w:pPr>
                </w:p>
              </w:tc>
              <w:tc>
                <w:tcPr>
                  <w:tcW w:w="0" w:type="auto"/>
                  <w:vMerge w:val="continue"/>
                  <w:noWrap w:val="0"/>
                  <w:vAlign w:val="center"/>
                </w:tcPr>
                <w:p>
                  <w:pPr>
                    <w:jc w:val="center"/>
                    <w:rPr>
                      <w:rFonts w:ascii="宋体" w:hAnsi="宋体" w:eastAsia="宋体"/>
                      <w:szCs w:val="21"/>
                    </w:rPr>
                  </w:pPr>
                </w:p>
              </w:tc>
              <w:tc>
                <w:tcPr>
                  <w:tcW w:w="0" w:type="auto"/>
                  <w:vMerge w:val="continue"/>
                  <w:noWrap w:val="0"/>
                  <w:vAlign w:val="center"/>
                </w:tcPr>
                <w:p>
                  <w:pPr>
                    <w:jc w:val="center"/>
                    <w:rPr>
                      <w:rFonts w:ascii="宋体" w:hAnsi="宋体" w:eastAsia="宋体"/>
                      <w:szCs w:val="21"/>
                    </w:rPr>
                  </w:pPr>
                </w:p>
              </w:tc>
              <w:tc>
                <w:tcPr>
                  <w:tcW w:w="0" w:type="auto"/>
                  <w:vMerge w:val="continue"/>
                  <w:noWrap w:val="0"/>
                  <w:vAlign w:val="center"/>
                </w:tcPr>
                <w:p>
                  <w:pPr>
                    <w:jc w:val="center"/>
                    <w:rPr>
                      <w:rFonts w:ascii="宋体" w:hAnsi="宋体" w:eastAsia="宋体"/>
                      <w:szCs w:val="21"/>
                    </w:rPr>
                  </w:pPr>
                </w:p>
              </w:tc>
              <w:tc>
                <w:tcPr>
                  <w:tcW w:w="0" w:type="auto"/>
                  <w:vMerge w:val="continue"/>
                  <w:tcBorders>
                    <w:top w:val="nil"/>
                  </w:tcBorders>
                  <w:noWrap w:val="0"/>
                  <w:vAlign w:val="center"/>
                </w:tcPr>
                <w:p>
                  <w:pPr>
                    <w:jc w:val="center"/>
                    <w:rPr>
                      <w:rFonts w:ascii="宋体" w:hAnsi="宋体" w:eastAsia="宋体"/>
                      <w:szCs w:val="21"/>
                    </w:rPr>
                  </w:pPr>
                </w:p>
              </w:tc>
              <w:tc>
                <w:tcPr>
                  <w:tcW w:w="0" w:type="auto"/>
                  <w:tcBorders>
                    <w:top w:val="single" w:color="auto" w:sz="4" w:space="0"/>
                    <w:bottom w:val="single" w:color="auto" w:sz="4" w:space="0"/>
                  </w:tcBorders>
                  <w:noWrap w:val="0"/>
                  <w:vAlign w:val="center"/>
                </w:tcPr>
                <w:p>
                  <w:pPr>
                    <w:autoSpaceDE w:val="0"/>
                    <w:autoSpaceDN w:val="0"/>
                    <w:adjustRightInd w:val="0"/>
                    <w:jc w:val="center"/>
                    <w:rPr>
                      <w:rFonts w:hint="default" w:ascii="宋体" w:hAnsi="宋体" w:eastAsia="宋体"/>
                      <w:b/>
                      <w:szCs w:val="21"/>
                      <w:lang w:val="en-US" w:eastAsia="zh-CN"/>
                    </w:rPr>
                  </w:pPr>
                  <w:r>
                    <w:rPr>
                      <w:rFonts w:hint="eastAsia" w:ascii="宋体" w:hAnsi="宋体" w:eastAsia="宋体"/>
                      <w:b/>
                      <w:szCs w:val="21"/>
                      <w:lang w:val="en-US" w:eastAsia="zh-CN"/>
                    </w:rPr>
                    <w:t>VOCs</w:t>
                  </w:r>
                </w:p>
              </w:tc>
              <w:tc>
                <w:tcPr>
                  <w:tcW w:w="0" w:type="auto"/>
                  <w:tcBorders>
                    <w:top w:val="single" w:color="auto" w:sz="4" w:space="0"/>
                    <w:bottom w:val="single" w:color="auto" w:sz="4" w:space="0"/>
                  </w:tcBorders>
                  <w:noWrap w:val="0"/>
                  <w:vAlign w:val="center"/>
                </w:tcPr>
                <w:p>
                  <w:pPr>
                    <w:autoSpaceDE w:val="0"/>
                    <w:autoSpaceDN w:val="0"/>
                    <w:adjustRightInd w:val="0"/>
                    <w:jc w:val="center"/>
                    <w:rPr>
                      <w:rFonts w:hint="eastAsia" w:ascii="宋体" w:hAnsi="宋体" w:eastAsia="宋体"/>
                      <w:b/>
                      <w:kern w:val="0"/>
                      <w:szCs w:val="21"/>
                    </w:rPr>
                  </w:pPr>
                  <w:r>
                    <w:rPr>
                      <w:rFonts w:hint="eastAsia" w:ascii="宋体" w:hAnsi="宋体" w:eastAsia="宋体"/>
                      <w:b/>
                      <w:kern w:val="0"/>
                      <w:szCs w:val="21"/>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6" w:type="dxa"/>
                  <w:tcBorders>
                    <w:bottom w:val="single" w:color="000000" w:sz="12" w:space="0"/>
                  </w:tcBorders>
                  <w:noWrap w:val="0"/>
                  <w:vAlign w:val="center"/>
                </w:tcPr>
                <w:p>
                  <w:pPr>
                    <w:jc w:val="center"/>
                    <w:rPr>
                      <w:rFonts w:ascii="宋体" w:hAnsi="宋体" w:eastAsia="宋体"/>
                      <w:szCs w:val="21"/>
                    </w:rPr>
                  </w:pPr>
                  <w:r>
                    <w:rPr>
                      <w:rFonts w:ascii="Times New Roman" w:hAnsi="Times New Roman" w:eastAsia="宋体"/>
                      <w:szCs w:val="21"/>
                    </w:rPr>
                    <w:t>1</w:t>
                  </w:r>
                </w:p>
              </w:tc>
              <w:tc>
                <w:tcPr>
                  <w:tcW w:w="361" w:type="dxa"/>
                  <w:tcBorders>
                    <w:bottom w:val="single" w:color="000000" w:sz="12" w:space="0"/>
                  </w:tcBorders>
                  <w:noWrap w:val="0"/>
                  <w:vAlign w:val="center"/>
                </w:tcPr>
                <w:p>
                  <w:pPr>
                    <w:autoSpaceDE w:val="0"/>
                    <w:autoSpaceDN w:val="0"/>
                    <w:adjustRightInd w:val="0"/>
                    <w:jc w:val="center"/>
                    <w:rPr>
                      <w:rFonts w:ascii="宋体" w:hAnsi="宋体" w:eastAsia="宋体"/>
                      <w:szCs w:val="21"/>
                    </w:rPr>
                  </w:pPr>
                  <w:r>
                    <w:rPr>
                      <w:rFonts w:hint="eastAsia" w:ascii="Times New Roman" w:hAnsi="Times New Roman" w:eastAsia="宋体"/>
                      <w:kern w:val="0"/>
                      <w:szCs w:val="21"/>
                      <w:lang w:eastAsia="zh-CN"/>
                    </w:rPr>
                    <w:t>生产</w:t>
                  </w:r>
                  <w:r>
                    <w:rPr>
                      <w:rFonts w:hint="eastAsia" w:ascii="宋体" w:hAnsi="宋体" w:eastAsia="宋体"/>
                      <w:kern w:val="0"/>
                      <w:szCs w:val="21"/>
                    </w:rPr>
                    <w:t>车间</w:t>
                  </w:r>
                </w:p>
              </w:tc>
              <w:tc>
                <w:tcPr>
                  <w:tcW w:w="1000" w:type="dxa"/>
                  <w:tcBorders>
                    <w:bottom w:val="single" w:color="000000" w:sz="12"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auto"/>
                      <w:szCs w:val="21"/>
                      <w:lang w:val="en-US" w:eastAsia="zh-CN"/>
                    </w:rPr>
                    <w:t>119.752579</w:t>
                  </w:r>
                </w:p>
              </w:tc>
              <w:tc>
                <w:tcPr>
                  <w:tcW w:w="903" w:type="dxa"/>
                  <w:tcBorders>
                    <w:bottom w:val="single" w:color="000000" w:sz="12"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color w:val="auto"/>
                      <w:szCs w:val="21"/>
                      <w:lang w:val="en-US" w:eastAsia="zh-CN"/>
                    </w:rPr>
                    <w:t>31.436390</w:t>
                  </w:r>
                </w:p>
              </w:tc>
              <w:tc>
                <w:tcPr>
                  <w:tcW w:w="0" w:type="auto"/>
                  <w:tcBorders>
                    <w:bottom w:val="single" w:color="000000" w:sz="12"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highlight w:val="none"/>
                      <w:lang w:val="en-US" w:eastAsia="zh-CN"/>
                    </w:rPr>
                    <w:t>5.86</w:t>
                  </w:r>
                </w:p>
              </w:tc>
              <w:tc>
                <w:tcPr>
                  <w:tcW w:w="0" w:type="auto"/>
                  <w:tcBorders>
                    <w:bottom w:val="single" w:color="000000" w:sz="12" w:space="0"/>
                  </w:tcBorders>
                  <w:noWrap w:val="0"/>
                  <w:vAlign w:val="center"/>
                </w:tcPr>
                <w:p>
                  <w:pPr>
                    <w:autoSpaceDE w:val="0"/>
                    <w:autoSpaceDN w:val="0"/>
                    <w:adjustRightIn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112.6</w:t>
                  </w:r>
                </w:p>
              </w:tc>
              <w:tc>
                <w:tcPr>
                  <w:tcW w:w="0" w:type="auto"/>
                  <w:tcBorders>
                    <w:bottom w:val="single" w:color="000000" w:sz="12" w:space="0"/>
                  </w:tcBorders>
                  <w:noWrap w:val="0"/>
                  <w:vAlign w:val="center"/>
                </w:tcPr>
                <w:p>
                  <w:pPr>
                    <w:autoSpaceDE w:val="0"/>
                    <w:autoSpaceDN w:val="0"/>
                    <w:adjustRightIn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50</w:t>
                  </w:r>
                </w:p>
              </w:tc>
              <w:tc>
                <w:tcPr>
                  <w:tcW w:w="0" w:type="auto"/>
                  <w:tcBorders>
                    <w:bottom w:val="single" w:color="000000" w:sz="12"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0</w:t>
                  </w:r>
                </w:p>
              </w:tc>
              <w:tc>
                <w:tcPr>
                  <w:tcW w:w="0" w:type="auto"/>
                  <w:tcBorders>
                    <w:bottom w:val="single" w:color="000000" w:sz="12" w:space="0"/>
                  </w:tcBorders>
                  <w:noWrap w:val="0"/>
                  <w:vAlign w:val="center"/>
                </w:tcPr>
                <w:p>
                  <w:pPr>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lang w:val="en-US" w:eastAsia="zh-CN"/>
                    </w:rPr>
                    <w:t>8</w:t>
                  </w:r>
                </w:p>
              </w:tc>
              <w:tc>
                <w:tcPr>
                  <w:tcW w:w="0" w:type="auto"/>
                  <w:tcBorders>
                    <w:bottom w:val="single" w:color="000000" w:sz="12"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7200</w:t>
                  </w:r>
                </w:p>
              </w:tc>
              <w:tc>
                <w:tcPr>
                  <w:tcW w:w="0" w:type="auto"/>
                  <w:tcBorders>
                    <w:bottom w:val="single" w:color="000000" w:sz="12" w:space="0"/>
                  </w:tcBorders>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bCs/>
                      <w:szCs w:val="21"/>
                    </w:rPr>
                    <w:t>正常</w:t>
                  </w:r>
                </w:p>
              </w:tc>
              <w:tc>
                <w:tcPr>
                  <w:tcW w:w="0" w:type="auto"/>
                  <w:tcBorders>
                    <w:top w:val="single" w:color="auto" w:sz="4" w:space="0"/>
                    <w:bottom w:val="single" w:color="000000" w:sz="12" w:space="0"/>
                  </w:tcBorders>
                  <w:noWrap w:val="0"/>
                  <w:vAlign w:val="center"/>
                </w:tcPr>
                <w:p>
                  <w:pPr>
                    <w:autoSpaceDE w:val="0"/>
                    <w:autoSpaceDN w:val="0"/>
                    <w:adjustRightIn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0.053</w:t>
                  </w:r>
                </w:p>
              </w:tc>
              <w:tc>
                <w:tcPr>
                  <w:tcW w:w="0" w:type="auto"/>
                  <w:tcBorders>
                    <w:top w:val="single" w:color="auto" w:sz="4" w:space="0"/>
                    <w:bottom w:val="single" w:color="000000" w:sz="12" w:space="0"/>
                  </w:tcBorders>
                  <w:noWrap w:val="0"/>
                  <w:vAlign w:val="center"/>
                </w:tcPr>
                <w:p>
                  <w:pPr>
                    <w:autoSpaceDE w:val="0"/>
                    <w:autoSpaceDN w:val="0"/>
                    <w:adjustRightInd w:val="0"/>
                    <w:jc w:val="center"/>
                    <w:rPr>
                      <w:rFonts w:hint="default" w:ascii="Times New Roman" w:hAnsi="Times New Roman" w:eastAsia="宋体" w:cs="Times New Roman"/>
                      <w:bCs/>
                      <w:szCs w:val="21"/>
                      <w:lang w:val="en-US" w:eastAsia="zh-CN"/>
                    </w:rPr>
                  </w:pPr>
                  <w:r>
                    <w:rPr>
                      <w:rFonts w:hint="default" w:ascii="Times New Roman" w:hAnsi="Times New Roman" w:eastAsia="宋体" w:cs="Times New Roman"/>
                      <w:bCs/>
                      <w:szCs w:val="21"/>
                      <w:lang w:val="en-US" w:eastAsia="zh-CN"/>
                    </w:rPr>
                    <w:t>0.036</w:t>
                  </w:r>
                </w:p>
              </w:tc>
            </w:tr>
          </w:tbl>
          <w:p>
            <w:pPr>
              <w:pStyle w:val="2"/>
              <w:keepNext w:val="0"/>
              <w:keepLines w:val="0"/>
              <w:pageBreakBefore w:val="0"/>
              <w:widowControl/>
              <w:kinsoku/>
              <w:wordWrap/>
              <w:overflowPunct/>
              <w:topLinePunct w:val="0"/>
              <w:autoSpaceDE/>
              <w:autoSpaceDN/>
              <w:bidi w:val="0"/>
              <w:adjustRightInd/>
              <w:snapToGrid w:val="0"/>
              <w:spacing w:line="360" w:lineRule="auto"/>
              <w:ind w:right="113" w:firstLine="480" w:firstLineChars="200"/>
              <w:textAlignment w:val="auto"/>
              <w:rPr>
                <w:rFonts w:hint="eastAsia"/>
              </w:rPr>
            </w:pPr>
            <w:r>
              <w:rPr>
                <w:rFonts w:hint="default" w:ascii="Times New Roman" w:hAnsi="Times New Roman" w:eastAsia="宋体" w:cs="Times New Roman"/>
                <w:color w:val="000000"/>
                <w:sz w:val="24"/>
                <w:szCs w:val="24"/>
              </w:rPr>
              <w:t>根据表4-</w:t>
            </w:r>
            <w:r>
              <w:rPr>
                <w:rFonts w:hint="default"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rPr>
              <w:t>、表4-</w:t>
            </w:r>
            <w:r>
              <w:rPr>
                <w:rFonts w:hint="default" w:ascii="Times New Roman" w:hAnsi="Times New Roman" w:eastAsia="宋体" w:cs="Times New Roman"/>
                <w:color w:val="000000"/>
                <w:sz w:val="24"/>
                <w:szCs w:val="24"/>
                <w:lang w:val="en-US" w:eastAsia="zh-CN"/>
              </w:rPr>
              <w:t>6</w:t>
            </w:r>
            <w:r>
              <w:rPr>
                <w:rFonts w:hint="default" w:ascii="Times New Roman" w:hAnsi="Times New Roman" w:eastAsia="宋体" w:cs="Times New Roman"/>
                <w:color w:val="000000"/>
                <w:sz w:val="24"/>
                <w:szCs w:val="24"/>
              </w:rPr>
              <w:t>可知，本项目建成后</w:t>
            </w:r>
            <w:r>
              <w:rPr>
                <w:rFonts w:hint="default" w:ascii="Times New Roman" w:hAnsi="Times New Roman" w:eastAsia="宋体" w:cs="Times New Roman"/>
                <w:color w:val="000000"/>
                <w:sz w:val="24"/>
                <w:szCs w:val="24"/>
                <w:lang w:eastAsia="zh-CN"/>
              </w:rPr>
              <w:t>无组织排放的</w:t>
            </w:r>
            <w:r>
              <w:rPr>
                <w:rFonts w:hint="default" w:ascii="Times New Roman" w:hAnsi="Times New Roman" w:eastAsia="宋体" w:cs="Times New Roman"/>
                <w:color w:val="000000"/>
                <w:sz w:val="24"/>
                <w:szCs w:val="24"/>
              </w:rPr>
              <w:t xml:space="preserve"> VOCs可达到江苏省《大气污染物综合排放标准》（DB32/4041-2021）表</w:t>
            </w:r>
            <w:r>
              <w:rPr>
                <w:rFonts w:hint="default"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rPr>
              <w:t>中排放限值要求：</w:t>
            </w:r>
            <w:r>
              <w:rPr>
                <w:rFonts w:hint="default" w:ascii="Times New Roman" w:hAnsi="Times New Roman" w:eastAsia="宋体" w:cs="Times New Roman"/>
                <w:color w:val="000000"/>
                <w:sz w:val="24"/>
                <w:szCs w:val="24"/>
                <w:lang w:val="en-US" w:eastAsia="zh-CN"/>
              </w:rPr>
              <w:t>VOCs</w:t>
            </w:r>
            <w:r>
              <w:rPr>
                <w:rFonts w:hint="default" w:ascii="Times New Roman" w:hAnsi="Times New Roman" w:eastAsia="宋体" w:cs="Times New Roman"/>
                <w:color w:val="000000"/>
                <w:sz w:val="24"/>
              </w:rPr>
              <w:t>≤4.0mg/m</w:t>
            </w:r>
            <w:r>
              <w:rPr>
                <w:rFonts w:hint="default" w:ascii="Times New Roman" w:hAnsi="Times New Roman" w:eastAsia="宋体" w:cs="Times New Roman"/>
                <w:color w:val="000000"/>
                <w:sz w:val="24"/>
                <w:vertAlign w:val="superscript"/>
              </w:rPr>
              <w:t>3</w:t>
            </w:r>
            <w:r>
              <w:rPr>
                <w:rFonts w:hint="default" w:ascii="Times New Roman" w:hAnsi="Times New Roman" w:eastAsia="宋体" w:cs="Times New Roman"/>
                <w:color w:val="000000"/>
                <w:sz w:val="24"/>
                <w:vertAlign w:val="baseline"/>
                <w:lang w:eastAsia="zh-CN"/>
              </w:rPr>
              <w:t>。</w:t>
            </w:r>
            <w:r>
              <w:rPr>
                <w:rFonts w:hint="default" w:ascii="Times New Roman" w:hAnsi="Times New Roman" w:eastAsia="宋体" w:cs="Times New Roman"/>
                <w:sz w:val="24"/>
                <w:lang w:eastAsia="zh-CN"/>
              </w:rPr>
              <w:t>激光打孔</w:t>
            </w:r>
            <w:r>
              <w:rPr>
                <w:rFonts w:hint="default" w:ascii="Times New Roman" w:hAnsi="Times New Roman" w:eastAsia="宋体" w:cs="Times New Roman"/>
                <w:sz w:val="24"/>
              </w:rPr>
              <w:t>无组织厂界颗粒物可达《大气污染物综合排放标准》（DB32/4041—2021）中表3标准：颗粒物≤0.5mg/m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rPr>
            </w:pPr>
            <w:r>
              <w:rPr>
                <w:rFonts w:hint="eastAsia"/>
                <w:sz w:val="24"/>
              </w:rPr>
              <w:t>（</w:t>
            </w:r>
            <w:r>
              <w:rPr>
                <w:rFonts w:hint="eastAsia"/>
                <w:sz w:val="24"/>
                <w:lang w:val="en-US" w:eastAsia="zh-CN"/>
              </w:rPr>
              <w:t>4</w:t>
            </w:r>
            <w:r>
              <w:rPr>
                <w:rFonts w:hint="eastAsia"/>
                <w:sz w:val="24"/>
              </w:rPr>
              <w:t>）废气主要产污环节、污染物种类、排放形式及污染防治措施</w:t>
            </w:r>
          </w:p>
          <w:p>
            <w:pPr>
              <w:pStyle w:val="169"/>
              <w:keepNext w:val="0"/>
              <w:keepLines w:val="0"/>
              <w:pageBreakBefore w:val="0"/>
              <w:kinsoku/>
              <w:wordWrap/>
              <w:overflowPunct/>
              <w:topLinePunct w:val="0"/>
              <w:autoSpaceDE/>
              <w:autoSpaceDN/>
              <w:bidi w:val="0"/>
              <w:spacing w:line="360" w:lineRule="auto"/>
              <w:ind w:firstLine="480"/>
              <w:textAlignment w:val="auto"/>
              <w:rPr>
                <w:rFonts w:eastAsia="宋体"/>
                <w:bCs/>
                <w:spacing w:val="-10"/>
                <w:szCs w:val="24"/>
              </w:rPr>
            </w:pPr>
            <w:r>
              <w:rPr>
                <w:rFonts w:eastAsia="宋体"/>
              </w:rPr>
              <w:t xml:space="preserve">结合《排污许可证申请与核发技术规范 </w:t>
            </w:r>
            <w:r>
              <w:rPr>
                <w:rFonts w:hint="eastAsia" w:eastAsia="宋体"/>
              </w:rPr>
              <w:t>总则》</w:t>
            </w:r>
            <w:r>
              <w:rPr>
                <w:rFonts w:eastAsia="宋体"/>
              </w:rPr>
              <w:t>（HJ942-2018），本项目废气主要</w:t>
            </w:r>
            <w:r>
              <w:rPr>
                <w:rFonts w:eastAsia="宋体"/>
                <w:bCs/>
                <w:spacing w:val="-10"/>
                <w:szCs w:val="24"/>
              </w:rPr>
              <w:t>产污环节、污染物种类、排放形式及污染防治措施一览见表4-</w:t>
            </w:r>
            <w:r>
              <w:rPr>
                <w:rFonts w:hint="eastAsia" w:eastAsia="宋体"/>
                <w:bCs/>
                <w:spacing w:val="-10"/>
                <w:szCs w:val="24"/>
                <w:lang w:val="en-US" w:eastAsia="zh-CN"/>
              </w:rPr>
              <w:t>7</w:t>
            </w:r>
            <w:r>
              <w:rPr>
                <w:rFonts w:eastAsia="宋体"/>
                <w:bCs/>
                <w:spacing w:val="-10"/>
                <w:szCs w:val="24"/>
              </w:rPr>
              <w:t>。</w:t>
            </w:r>
          </w:p>
          <w:p>
            <w:pPr>
              <w:jc w:val="center"/>
              <w:rPr>
                <w:rFonts w:hint="eastAsia"/>
                <w:b/>
                <w:sz w:val="24"/>
                <w:szCs w:val="24"/>
              </w:rPr>
            </w:pPr>
            <w:r>
              <w:rPr>
                <w:rFonts w:hint="eastAsia"/>
                <w:b/>
                <w:sz w:val="24"/>
                <w:szCs w:val="24"/>
              </w:rPr>
              <w:t>表4-</w:t>
            </w:r>
            <w:r>
              <w:rPr>
                <w:rFonts w:hint="eastAsia"/>
                <w:b/>
                <w:sz w:val="24"/>
                <w:szCs w:val="24"/>
                <w:lang w:val="en-US" w:eastAsia="zh-CN"/>
              </w:rPr>
              <w:t>7</w:t>
            </w:r>
            <w:r>
              <w:rPr>
                <w:rFonts w:hint="eastAsia"/>
                <w:b/>
                <w:sz w:val="24"/>
                <w:szCs w:val="24"/>
              </w:rPr>
              <w:t xml:space="preserve"> 废气主要产污环节、污染物种类、排放形式及污染防治措施一览表</w:t>
            </w:r>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9"/>
              <w:gridCol w:w="928"/>
              <w:gridCol w:w="1188"/>
              <w:gridCol w:w="1059"/>
              <w:gridCol w:w="1059"/>
              <w:gridCol w:w="1196"/>
              <w:gridCol w:w="933"/>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jc w:val="center"/>
              </w:trPr>
              <w:tc>
                <w:tcPr>
                  <w:tcW w:w="624" w:type="pct"/>
                  <w:vMerge w:val="restart"/>
                  <w:tcBorders>
                    <w:top w:val="single" w:color="000000" w:sz="12" w:space="0"/>
                  </w:tcBorders>
                  <w:noWrap w:val="0"/>
                  <w:vAlign w:val="center"/>
                </w:tcPr>
                <w:p>
                  <w:pPr>
                    <w:pStyle w:val="170"/>
                    <w:snapToGrid w:val="0"/>
                    <w:rPr>
                      <w:rFonts w:eastAsia="宋体"/>
                      <w:b/>
                      <w:bCs/>
                    </w:rPr>
                  </w:pPr>
                  <w:r>
                    <w:rPr>
                      <w:rFonts w:eastAsia="宋体"/>
                      <w:b/>
                      <w:bCs/>
                    </w:rPr>
                    <w:t>行业类别</w:t>
                  </w:r>
                </w:p>
              </w:tc>
              <w:tc>
                <w:tcPr>
                  <w:tcW w:w="547" w:type="pct"/>
                  <w:vMerge w:val="restart"/>
                  <w:tcBorders>
                    <w:top w:val="single" w:color="000000" w:sz="12" w:space="0"/>
                  </w:tcBorders>
                  <w:noWrap w:val="0"/>
                  <w:vAlign w:val="center"/>
                </w:tcPr>
                <w:p>
                  <w:pPr>
                    <w:pStyle w:val="170"/>
                    <w:snapToGrid w:val="0"/>
                    <w:rPr>
                      <w:rFonts w:eastAsia="宋体"/>
                      <w:b/>
                      <w:bCs/>
                    </w:rPr>
                  </w:pPr>
                  <w:r>
                    <w:rPr>
                      <w:rFonts w:eastAsia="宋体"/>
                      <w:b/>
                      <w:bCs/>
                    </w:rPr>
                    <w:t>生产单元</w:t>
                  </w:r>
                </w:p>
              </w:tc>
              <w:tc>
                <w:tcPr>
                  <w:tcW w:w="700" w:type="pct"/>
                  <w:vMerge w:val="restart"/>
                  <w:tcBorders>
                    <w:top w:val="single" w:color="000000" w:sz="12" w:space="0"/>
                  </w:tcBorders>
                  <w:noWrap w:val="0"/>
                  <w:vAlign w:val="center"/>
                </w:tcPr>
                <w:p>
                  <w:pPr>
                    <w:pStyle w:val="170"/>
                    <w:snapToGrid w:val="0"/>
                    <w:rPr>
                      <w:rFonts w:eastAsia="宋体"/>
                      <w:b/>
                      <w:bCs/>
                    </w:rPr>
                  </w:pPr>
                  <w:r>
                    <w:rPr>
                      <w:rFonts w:eastAsia="宋体"/>
                      <w:b/>
                      <w:bCs/>
                    </w:rPr>
                    <w:t>废气产污环节</w:t>
                  </w:r>
                </w:p>
              </w:tc>
              <w:tc>
                <w:tcPr>
                  <w:tcW w:w="624" w:type="pct"/>
                  <w:vMerge w:val="restart"/>
                  <w:tcBorders>
                    <w:top w:val="single" w:color="000000" w:sz="12" w:space="0"/>
                  </w:tcBorders>
                  <w:noWrap w:val="0"/>
                  <w:vAlign w:val="center"/>
                </w:tcPr>
                <w:p>
                  <w:pPr>
                    <w:pStyle w:val="170"/>
                    <w:snapToGrid w:val="0"/>
                    <w:rPr>
                      <w:rFonts w:eastAsia="宋体"/>
                      <w:b/>
                      <w:bCs/>
                    </w:rPr>
                  </w:pPr>
                  <w:r>
                    <w:rPr>
                      <w:rFonts w:eastAsia="宋体"/>
                      <w:b/>
                      <w:bCs/>
                    </w:rPr>
                    <w:t>污染物种类</w:t>
                  </w:r>
                </w:p>
              </w:tc>
              <w:tc>
                <w:tcPr>
                  <w:tcW w:w="624" w:type="pct"/>
                  <w:vMerge w:val="restart"/>
                  <w:tcBorders>
                    <w:top w:val="single" w:color="000000" w:sz="12" w:space="0"/>
                  </w:tcBorders>
                  <w:noWrap w:val="0"/>
                  <w:vAlign w:val="center"/>
                </w:tcPr>
                <w:p>
                  <w:pPr>
                    <w:pStyle w:val="170"/>
                    <w:snapToGrid w:val="0"/>
                    <w:rPr>
                      <w:rFonts w:eastAsia="宋体"/>
                      <w:b/>
                      <w:bCs/>
                    </w:rPr>
                  </w:pPr>
                  <w:r>
                    <w:rPr>
                      <w:rFonts w:eastAsia="宋体"/>
                      <w:b/>
                      <w:bCs/>
                    </w:rPr>
                    <w:t>排放形式</w:t>
                  </w:r>
                </w:p>
              </w:tc>
              <w:tc>
                <w:tcPr>
                  <w:tcW w:w="1255" w:type="pct"/>
                  <w:gridSpan w:val="2"/>
                  <w:tcBorders>
                    <w:top w:val="single" w:color="000000" w:sz="12" w:space="0"/>
                  </w:tcBorders>
                  <w:noWrap w:val="0"/>
                  <w:vAlign w:val="center"/>
                </w:tcPr>
                <w:p>
                  <w:pPr>
                    <w:pStyle w:val="170"/>
                    <w:snapToGrid w:val="0"/>
                    <w:rPr>
                      <w:rFonts w:eastAsia="宋体"/>
                      <w:b/>
                      <w:bCs/>
                    </w:rPr>
                  </w:pPr>
                  <w:r>
                    <w:rPr>
                      <w:rFonts w:eastAsia="宋体"/>
                      <w:b/>
                      <w:bCs/>
                    </w:rPr>
                    <w:t>污染防治设施</w:t>
                  </w:r>
                </w:p>
              </w:tc>
              <w:tc>
                <w:tcPr>
                  <w:tcW w:w="624" w:type="pct"/>
                  <w:vMerge w:val="restart"/>
                  <w:tcBorders>
                    <w:top w:val="single" w:color="000000" w:sz="12" w:space="0"/>
                    <w:right w:val="nil"/>
                  </w:tcBorders>
                  <w:noWrap w:val="0"/>
                  <w:vAlign w:val="center"/>
                </w:tcPr>
                <w:p>
                  <w:pPr>
                    <w:pStyle w:val="170"/>
                    <w:snapToGrid w:val="0"/>
                    <w:rPr>
                      <w:rFonts w:eastAsia="宋体"/>
                    </w:rPr>
                  </w:pPr>
                  <w:r>
                    <w:rPr>
                      <w:rFonts w:eastAsia="宋体"/>
                      <w:b/>
                      <w:bCs/>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 w:hRule="atLeast"/>
                <w:jc w:val="center"/>
              </w:trPr>
              <w:tc>
                <w:tcPr>
                  <w:tcW w:w="624" w:type="pct"/>
                  <w:vMerge w:val="continue"/>
                  <w:tcBorders>
                    <w:left w:val="single" w:color="000000" w:sz="4" w:space="0"/>
                  </w:tcBorders>
                  <w:noWrap w:val="0"/>
                  <w:vAlign w:val="center"/>
                </w:tcPr>
                <w:p>
                  <w:pPr>
                    <w:pStyle w:val="170"/>
                    <w:snapToGrid w:val="0"/>
                    <w:rPr>
                      <w:rFonts w:eastAsia="宋体"/>
                      <w:b/>
                      <w:bCs/>
                    </w:rPr>
                  </w:pPr>
                </w:p>
              </w:tc>
              <w:tc>
                <w:tcPr>
                  <w:tcW w:w="547" w:type="pct"/>
                  <w:vMerge w:val="continue"/>
                  <w:noWrap w:val="0"/>
                  <w:vAlign w:val="center"/>
                </w:tcPr>
                <w:p>
                  <w:pPr>
                    <w:pStyle w:val="170"/>
                    <w:snapToGrid w:val="0"/>
                    <w:rPr>
                      <w:rFonts w:eastAsia="宋体"/>
                      <w:b/>
                      <w:bCs/>
                    </w:rPr>
                  </w:pPr>
                </w:p>
              </w:tc>
              <w:tc>
                <w:tcPr>
                  <w:tcW w:w="700" w:type="pct"/>
                  <w:vMerge w:val="continue"/>
                  <w:noWrap w:val="0"/>
                  <w:vAlign w:val="center"/>
                </w:tcPr>
                <w:p>
                  <w:pPr>
                    <w:pStyle w:val="170"/>
                    <w:snapToGrid w:val="0"/>
                    <w:rPr>
                      <w:rFonts w:eastAsia="宋体"/>
                      <w:b/>
                      <w:bCs/>
                    </w:rPr>
                  </w:pPr>
                </w:p>
              </w:tc>
              <w:tc>
                <w:tcPr>
                  <w:tcW w:w="624" w:type="pct"/>
                  <w:vMerge w:val="continue"/>
                  <w:noWrap w:val="0"/>
                  <w:vAlign w:val="center"/>
                </w:tcPr>
                <w:p>
                  <w:pPr>
                    <w:pStyle w:val="170"/>
                    <w:snapToGrid w:val="0"/>
                    <w:rPr>
                      <w:rFonts w:eastAsia="宋体"/>
                      <w:b/>
                      <w:bCs/>
                    </w:rPr>
                  </w:pPr>
                </w:p>
              </w:tc>
              <w:tc>
                <w:tcPr>
                  <w:tcW w:w="624" w:type="pct"/>
                  <w:vMerge w:val="continue"/>
                  <w:noWrap w:val="0"/>
                  <w:vAlign w:val="center"/>
                </w:tcPr>
                <w:p>
                  <w:pPr>
                    <w:pStyle w:val="170"/>
                    <w:snapToGrid w:val="0"/>
                    <w:rPr>
                      <w:rFonts w:eastAsia="宋体"/>
                      <w:b/>
                      <w:bCs/>
                    </w:rPr>
                  </w:pPr>
                </w:p>
              </w:tc>
              <w:tc>
                <w:tcPr>
                  <w:tcW w:w="705" w:type="pct"/>
                  <w:noWrap w:val="0"/>
                  <w:vAlign w:val="center"/>
                </w:tcPr>
                <w:p>
                  <w:pPr>
                    <w:pStyle w:val="170"/>
                    <w:snapToGrid w:val="0"/>
                    <w:rPr>
                      <w:rFonts w:eastAsia="宋体"/>
                      <w:b/>
                      <w:bCs/>
                    </w:rPr>
                  </w:pPr>
                  <w:r>
                    <w:rPr>
                      <w:rFonts w:eastAsia="宋体"/>
                      <w:b/>
                      <w:bCs/>
                    </w:rPr>
                    <w:t>污染防治设施名称及工艺</w:t>
                  </w:r>
                </w:p>
              </w:tc>
              <w:tc>
                <w:tcPr>
                  <w:tcW w:w="550" w:type="pct"/>
                  <w:noWrap w:val="0"/>
                  <w:vAlign w:val="center"/>
                </w:tcPr>
                <w:p>
                  <w:pPr>
                    <w:pStyle w:val="170"/>
                    <w:snapToGrid w:val="0"/>
                    <w:rPr>
                      <w:rFonts w:eastAsia="宋体"/>
                      <w:b/>
                      <w:bCs/>
                    </w:rPr>
                  </w:pPr>
                  <w:r>
                    <w:rPr>
                      <w:rFonts w:eastAsia="宋体"/>
                      <w:b/>
                      <w:bCs/>
                    </w:rPr>
                    <w:t>是否可行技术</w:t>
                  </w:r>
                </w:p>
              </w:tc>
              <w:tc>
                <w:tcPr>
                  <w:tcW w:w="624" w:type="pct"/>
                  <w:vMerge w:val="continue"/>
                  <w:tcBorders>
                    <w:right w:val="nil"/>
                  </w:tcBorders>
                  <w:noWrap w:val="0"/>
                  <w:vAlign w:val="center"/>
                </w:tcPr>
                <w:p>
                  <w:pPr>
                    <w:pStyle w:val="170"/>
                    <w:snapToGrid w:val="0"/>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24" w:type="pct"/>
                  <w:tcBorders>
                    <w:left w:val="single" w:color="000000" w:sz="4" w:space="0"/>
                    <w:bottom w:val="single" w:color="000000" w:sz="12" w:space="0"/>
                  </w:tcBorders>
                  <w:noWrap w:val="0"/>
                  <w:vAlign w:val="center"/>
                </w:tcPr>
                <w:p>
                  <w:pPr>
                    <w:spacing w:line="280" w:lineRule="exact"/>
                    <w:jc w:val="center"/>
                    <w:rPr>
                      <w:rFonts w:hint="default" w:eastAsia="宋体"/>
                      <w:kern w:val="2"/>
                      <w:sz w:val="21"/>
                      <w:szCs w:val="21"/>
                      <w:lang w:val="en-US" w:eastAsia="zh-CN" w:bidi="ar-SA"/>
                    </w:rPr>
                  </w:pPr>
                  <w:r>
                    <w:rPr>
                      <w:rFonts w:hint="eastAsia"/>
                      <w:kern w:val="2"/>
                      <w:sz w:val="21"/>
                      <w:szCs w:val="21"/>
                      <w:lang w:val="en-US" w:eastAsia="zh-CN" w:bidi="ar-SA"/>
                    </w:rPr>
                    <w:t>特种玻璃制造</w:t>
                  </w:r>
                </w:p>
              </w:tc>
              <w:tc>
                <w:tcPr>
                  <w:tcW w:w="547" w:type="pct"/>
                  <w:tcBorders>
                    <w:bottom w:val="single" w:color="000000" w:sz="12" w:space="0"/>
                  </w:tcBorders>
                  <w:noWrap w:val="0"/>
                  <w:vAlign w:val="center"/>
                </w:tcPr>
                <w:p>
                  <w:pPr>
                    <w:pStyle w:val="170"/>
                    <w:snapToGrid w:val="0"/>
                    <w:rPr>
                      <w:rFonts w:hint="eastAsia" w:eastAsia="宋体"/>
                      <w:lang w:val="en-US" w:eastAsia="zh-CN"/>
                    </w:rPr>
                  </w:pPr>
                  <w:r>
                    <w:rPr>
                      <w:rFonts w:hint="eastAsia" w:eastAsia="宋体"/>
                      <w:lang w:val="en-US" w:eastAsia="zh-CN"/>
                    </w:rPr>
                    <w:t>生产</w:t>
                  </w:r>
                </w:p>
                <w:p>
                  <w:pPr>
                    <w:pStyle w:val="170"/>
                    <w:snapToGrid w:val="0"/>
                    <w:rPr>
                      <w:rFonts w:hint="eastAsia" w:eastAsia="宋体"/>
                      <w:lang w:val="en-US" w:eastAsia="zh-CN"/>
                    </w:rPr>
                  </w:pPr>
                  <w:r>
                    <w:rPr>
                      <w:rFonts w:hint="eastAsia" w:eastAsia="宋体"/>
                      <w:lang w:val="en-US" w:eastAsia="zh-CN"/>
                    </w:rPr>
                    <w:t>车间</w:t>
                  </w:r>
                </w:p>
              </w:tc>
              <w:tc>
                <w:tcPr>
                  <w:tcW w:w="700" w:type="pct"/>
                  <w:tcBorders>
                    <w:bottom w:val="single" w:color="000000" w:sz="12" w:space="0"/>
                  </w:tcBorders>
                  <w:noWrap w:val="0"/>
                  <w:vAlign w:val="center"/>
                </w:tcPr>
                <w:p>
                  <w:pPr>
                    <w:pStyle w:val="170"/>
                    <w:snapToGrid w:val="0"/>
                    <w:rPr>
                      <w:rFonts w:hint="default" w:eastAsia="宋体"/>
                      <w:lang w:val="en-US" w:eastAsia="zh-CN"/>
                    </w:rPr>
                  </w:pPr>
                  <w:r>
                    <w:rPr>
                      <w:rFonts w:hint="eastAsia" w:eastAsia="宋体"/>
                      <w:lang w:val="en-US" w:eastAsia="zh-CN"/>
                    </w:rPr>
                    <w:t>丝网印刷、烘干工序</w:t>
                  </w:r>
                </w:p>
              </w:tc>
              <w:tc>
                <w:tcPr>
                  <w:tcW w:w="624" w:type="pct"/>
                  <w:tcBorders>
                    <w:bottom w:val="single" w:color="000000" w:sz="12" w:space="0"/>
                  </w:tcBorders>
                  <w:noWrap w:val="0"/>
                  <w:vAlign w:val="center"/>
                </w:tcPr>
                <w:p>
                  <w:pPr>
                    <w:pStyle w:val="170"/>
                    <w:snapToGrid w:val="0"/>
                    <w:rPr>
                      <w:rFonts w:hint="default" w:eastAsia="宋体"/>
                      <w:lang w:val="en-US" w:eastAsia="zh-CN"/>
                    </w:rPr>
                  </w:pPr>
                  <w:r>
                    <w:rPr>
                      <w:rFonts w:hint="eastAsia" w:eastAsia="宋体"/>
                      <w:lang w:val="en-US" w:eastAsia="zh-CN"/>
                    </w:rPr>
                    <w:t>VOCs</w:t>
                  </w:r>
                </w:p>
              </w:tc>
              <w:tc>
                <w:tcPr>
                  <w:tcW w:w="624" w:type="pct"/>
                  <w:tcBorders>
                    <w:bottom w:val="single" w:color="000000" w:sz="12" w:space="0"/>
                  </w:tcBorders>
                  <w:noWrap w:val="0"/>
                  <w:vAlign w:val="center"/>
                </w:tcPr>
                <w:p>
                  <w:pPr>
                    <w:pStyle w:val="170"/>
                    <w:snapToGrid w:val="0"/>
                    <w:rPr>
                      <w:rFonts w:eastAsia="宋体"/>
                    </w:rPr>
                  </w:pPr>
                  <w:r>
                    <w:rPr>
                      <w:rFonts w:eastAsia="宋体"/>
                    </w:rPr>
                    <w:t>有组织</w:t>
                  </w:r>
                </w:p>
              </w:tc>
              <w:tc>
                <w:tcPr>
                  <w:tcW w:w="705" w:type="pct"/>
                  <w:tcBorders>
                    <w:bottom w:val="single" w:color="000000" w:sz="12" w:space="0"/>
                  </w:tcBorders>
                  <w:noWrap w:val="0"/>
                  <w:vAlign w:val="center"/>
                </w:tcPr>
                <w:p>
                  <w:pPr>
                    <w:pStyle w:val="170"/>
                    <w:snapToGrid w:val="0"/>
                    <w:rPr>
                      <w:rFonts w:hint="default" w:eastAsia="宋体"/>
                      <w:lang w:val="en-US" w:eastAsia="zh-CN"/>
                    </w:rPr>
                  </w:pPr>
                  <w:r>
                    <w:rPr>
                      <w:rFonts w:hint="eastAsia" w:eastAsia="宋体"/>
                      <w:lang w:val="en-US" w:eastAsia="zh-CN"/>
                    </w:rPr>
                    <w:t>集气罩+二级活性炭吸附</w:t>
                  </w:r>
                </w:p>
              </w:tc>
              <w:tc>
                <w:tcPr>
                  <w:tcW w:w="550" w:type="pct"/>
                  <w:tcBorders>
                    <w:bottom w:val="single" w:color="000000" w:sz="12" w:space="0"/>
                  </w:tcBorders>
                  <w:noWrap w:val="0"/>
                  <w:vAlign w:val="center"/>
                </w:tcPr>
                <w:p>
                  <w:pPr>
                    <w:pStyle w:val="170"/>
                    <w:snapToGrid w:val="0"/>
                    <w:rPr>
                      <w:rFonts w:eastAsia="宋体"/>
                    </w:rPr>
                  </w:pPr>
                  <w:r>
                    <w:rPr>
                      <w:rFonts w:eastAsia="宋体"/>
                    </w:rPr>
                    <w:t>是</w:t>
                  </w:r>
                </w:p>
              </w:tc>
              <w:tc>
                <w:tcPr>
                  <w:tcW w:w="624" w:type="pct"/>
                  <w:tcBorders>
                    <w:bottom w:val="single" w:color="000000" w:sz="12" w:space="0"/>
                    <w:right w:val="nil"/>
                  </w:tcBorders>
                  <w:noWrap w:val="0"/>
                  <w:vAlign w:val="center"/>
                </w:tcPr>
                <w:p>
                  <w:pPr>
                    <w:pStyle w:val="170"/>
                    <w:snapToGrid w:val="0"/>
                    <w:rPr>
                      <w:rFonts w:eastAsia="宋体"/>
                    </w:rPr>
                  </w:pPr>
                  <w:r>
                    <w:rPr>
                      <w:rFonts w:eastAsia="宋体"/>
                    </w:rPr>
                    <w:t>一般排放口</w:t>
                  </w:r>
                </w:p>
              </w:tc>
            </w:tr>
          </w:tbl>
          <w:p>
            <w:pPr>
              <w:spacing w:line="360" w:lineRule="auto"/>
              <w:rPr>
                <w:b/>
                <w:bCs/>
                <w:sz w:val="24"/>
              </w:rPr>
            </w:pPr>
          </w:p>
          <w:p>
            <w:pPr>
              <w:spacing w:line="360" w:lineRule="auto"/>
              <w:ind w:firstLine="482" w:firstLineChars="200"/>
              <w:rPr>
                <w:b/>
                <w:kern w:val="0"/>
                <w:sz w:val="24"/>
              </w:rPr>
            </w:pPr>
            <w:r>
              <w:rPr>
                <w:rFonts w:hint="eastAsia"/>
                <w:b/>
                <w:snapToGrid w:val="0"/>
                <w:kern w:val="0"/>
                <w:sz w:val="24"/>
                <w:lang w:val="en-US" w:eastAsia="zh-CN"/>
              </w:rPr>
              <w:t>1.2</w:t>
            </w:r>
            <w:r>
              <w:rPr>
                <w:b/>
                <w:kern w:val="0"/>
                <w:sz w:val="24"/>
              </w:rPr>
              <w:t>防护距离</w:t>
            </w:r>
          </w:p>
          <w:p>
            <w:pPr>
              <w:adjustRightInd w:val="0"/>
              <w:snapToGrid w:val="0"/>
              <w:spacing w:line="360" w:lineRule="auto"/>
              <w:ind w:firstLine="480" w:firstLineChars="200"/>
              <w:rPr>
                <w:b/>
                <w:sz w:val="24"/>
              </w:rPr>
            </w:pPr>
            <w:r>
              <w:rPr>
                <w:rFonts w:hint="eastAsia"/>
                <w:snapToGrid w:val="0"/>
                <w:kern w:val="0"/>
                <w:sz w:val="24"/>
              </w:rPr>
              <w:t>（1）</w:t>
            </w:r>
            <w:r>
              <w:rPr>
                <w:snapToGrid w:val="0"/>
                <w:kern w:val="0"/>
                <w:sz w:val="24"/>
              </w:rPr>
              <w:t>大气环境防护距离</w:t>
            </w:r>
          </w:p>
          <w:p>
            <w:pPr>
              <w:adjustRightInd w:val="0"/>
              <w:snapToGrid w:val="0"/>
              <w:spacing w:line="360" w:lineRule="auto"/>
              <w:ind w:firstLine="480" w:firstLineChars="200"/>
              <w:rPr>
                <w:sz w:val="24"/>
              </w:rPr>
            </w:pPr>
            <w:r>
              <w:rPr>
                <w:sz w:val="24"/>
              </w:rPr>
              <w:t>根据《环境影响评价技术导则大气环境》（HJ2.2-2018），对于项目厂界浓度满足大气污染物厂界浓度限值，但厂界外大气污染物短期浓度贡献值超过环境质量浓度限值的，可以自厂界向外设置一定范围的大气环境防护区域，以确保大气环境防护区域外的污染物贡献浓度满足环境质量标准。</w:t>
            </w:r>
          </w:p>
          <w:p>
            <w:pPr>
              <w:spacing w:line="360" w:lineRule="auto"/>
              <w:ind w:firstLine="480" w:firstLineChars="200"/>
              <w:rPr>
                <w:sz w:val="24"/>
              </w:rPr>
            </w:pPr>
            <w:r>
              <w:rPr>
                <w:sz w:val="24"/>
              </w:rPr>
              <w:t>根据预测结果，建设项目厂界外大气污染物浓度未超过环境质量浓度限值，不需设置大气环境防护距离。</w:t>
            </w:r>
          </w:p>
          <w:p>
            <w:pPr>
              <w:spacing w:line="360" w:lineRule="auto"/>
              <w:ind w:firstLine="462" w:firstLineChars="196"/>
            </w:pPr>
            <w:r>
              <w:rPr>
                <w:rFonts w:hint="eastAsia" w:hAnsi="宋体"/>
                <w:spacing w:val="-2"/>
                <w:sz w:val="24"/>
              </w:rPr>
              <w:t>（2）</w:t>
            </w:r>
            <w:r>
              <w:rPr>
                <w:rFonts w:hAnsi="宋体"/>
                <w:sz w:val="24"/>
              </w:rPr>
              <w:t>卫生防护距离分析</w:t>
            </w:r>
          </w:p>
          <w:p>
            <w:pPr>
              <w:tabs>
                <w:tab w:val="left" w:pos="570"/>
              </w:tabs>
              <w:adjustRightInd w:val="0"/>
              <w:snapToGrid w:val="0"/>
              <w:spacing w:line="360" w:lineRule="auto"/>
              <w:ind w:firstLine="480" w:firstLineChars="200"/>
              <w:rPr>
                <w:bCs/>
                <w:snapToGrid w:val="0"/>
                <w:kern w:val="0"/>
                <w:sz w:val="24"/>
                <w:szCs w:val="22"/>
              </w:rPr>
            </w:pPr>
            <w:r>
              <w:rPr>
                <w:bCs/>
                <w:snapToGrid w:val="0"/>
                <w:kern w:val="0"/>
                <w:sz w:val="24"/>
                <w:szCs w:val="22"/>
              </w:rPr>
              <w:t>根据《大气有害物质无组织排放卫生防护距离推导技术导则》（ GB/T 39499-2020），各类工业企业卫生防护距离按下式计算：</w:t>
            </w:r>
          </w:p>
          <w:p>
            <w:pPr>
              <w:adjustRightInd w:val="0"/>
              <w:snapToGrid w:val="0"/>
              <w:spacing w:line="360" w:lineRule="auto"/>
              <w:jc w:val="center"/>
              <w:rPr>
                <w:sz w:val="24"/>
              </w:rPr>
            </w:pPr>
            <w:r>
              <w:drawing>
                <wp:inline distT="0" distB="0" distL="114300" distR="114300">
                  <wp:extent cx="2067560" cy="447675"/>
                  <wp:effectExtent l="0" t="0" r="0" b="8255"/>
                  <wp:docPr id="18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6"/>
                          <pic:cNvPicPr>
                            <a:picLocks noChangeAspect="1"/>
                          </pic:cNvPicPr>
                        </pic:nvPicPr>
                        <pic:blipFill>
                          <a:blip r:embed="rId8"/>
                          <a:stretch>
                            <a:fillRect/>
                          </a:stretch>
                        </pic:blipFill>
                        <pic:spPr>
                          <a:xfrm>
                            <a:off x="0" y="0"/>
                            <a:ext cx="2067560" cy="447675"/>
                          </a:xfrm>
                          <a:prstGeom prst="rect">
                            <a:avLst/>
                          </a:prstGeom>
                          <a:noFill/>
                          <a:ln>
                            <a:noFill/>
                          </a:ln>
                        </pic:spPr>
                      </pic:pic>
                    </a:graphicData>
                  </a:graphic>
                </wp:inline>
              </w:drawing>
            </w:r>
          </w:p>
          <w:p>
            <w:pPr>
              <w:spacing w:line="360" w:lineRule="auto"/>
              <w:rPr>
                <w:kern w:val="0"/>
                <w:sz w:val="24"/>
              </w:rPr>
            </w:pPr>
            <w:r>
              <w:rPr>
                <w:kern w:val="0"/>
                <w:sz w:val="24"/>
              </w:rPr>
              <w:t>式中：C</w:t>
            </w:r>
            <w:r>
              <w:rPr>
                <w:kern w:val="0"/>
                <w:sz w:val="24"/>
                <w:vertAlign w:val="subscript"/>
              </w:rPr>
              <w:t>m</w:t>
            </w:r>
            <w:r>
              <w:rPr>
                <w:kern w:val="0"/>
                <w:sz w:val="24"/>
              </w:rPr>
              <w:t>—标准浓度限值，mg/m</w:t>
            </w:r>
            <w:r>
              <w:rPr>
                <w:kern w:val="0"/>
                <w:sz w:val="24"/>
                <w:vertAlign w:val="superscript"/>
              </w:rPr>
              <w:t>3</w:t>
            </w:r>
            <w:r>
              <w:rPr>
                <w:kern w:val="0"/>
                <w:sz w:val="24"/>
              </w:rPr>
              <w:t>；</w:t>
            </w:r>
          </w:p>
          <w:p>
            <w:pPr>
              <w:spacing w:line="360" w:lineRule="auto"/>
              <w:ind w:firstLine="720" w:firstLineChars="300"/>
              <w:jc w:val="left"/>
              <w:rPr>
                <w:kern w:val="0"/>
                <w:sz w:val="24"/>
              </w:rPr>
            </w:pPr>
            <w:r>
              <w:rPr>
                <w:kern w:val="0"/>
                <w:sz w:val="24"/>
              </w:rPr>
              <w:t>Q</w:t>
            </w:r>
            <w:r>
              <w:rPr>
                <w:kern w:val="0"/>
                <w:sz w:val="24"/>
                <w:vertAlign w:val="subscript"/>
              </w:rPr>
              <w:t>c</w:t>
            </w:r>
            <w:r>
              <w:rPr>
                <w:kern w:val="0"/>
                <w:sz w:val="24"/>
              </w:rPr>
              <w:t>—工业企业有害气体无组织排放量可以达到的控制水平，kg/h；</w:t>
            </w:r>
          </w:p>
          <w:p>
            <w:pPr>
              <w:spacing w:line="360" w:lineRule="auto"/>
              <w:ind w:firstLine="720" w:firstLineChars="300"/>
              <w:jc w:val="left"/>
              <w:rPr>
                <w:kern w:val="0"/>
                <w:sz w:val="24"/>
              </w:rPr>
            </w:pPr>
            <w:r>
              <w:rPr>
                <w:kern w:val="0"/>
                <w:sz w:val="24"/>
              </w:rPr>
              <w:t>r—有害气体无组织排放源所在生产单元的等效半径，m；根据该单元面积S(m</w:t>
            </w:r>
            <w:r>
              <w:rPr>
                <w:kern w:val="0"/>
                <w:sz w:val="24"/>
                <w:vertAlign w:val="superscript"/>
              </w:rPr>
              <w:t>2</w:t>
            </w:r>
            <w:r>
              <w:rPr>
                <w:kern w:val="0"/>
                <w:sz w:val="24"/>
              </w:rPr>
              <w:t>)计算；</w:t>
            </w:r>
          </w:p>
          <w:p>
            <w:pPr>
              <w:spacing w:line="360" w:lineRule="auto"/>
              <w:ind w:firstLine="840" w:firstLineChars="350"/>
              <w:jc w:val="left"/>
              <w:rPr>
                <w:kern w:val="0"/>
                <w:sz w:val="24"/>
              </w:rPr>
            </w:pPr>
            <w:r>
              <w:rPr>
                <w:kern w:val="0"/>
                <w:sz w:val="24"/>
              </w:rPr>
              <w:t>L—工业企业所需的卫生防护距离，m；</w:t>
            </w:r>
          </w:p>
          <w:p>
            <w:pPr>
              <w:numPr>
                <w:ilvl w:val="0"/>
                <w:numId w:val="6"/>
              </w:numPr>
              <w:spacing w:line="360" w:lineRule="auto"/>
              <w:ind w:firstLine="840" w:firstLineChars="350"/>
              <w:jc w:val="left"/>
            </w:pPr>
            <w:r>
              <w:rPr>
                <w:kern w:val="0"/>
                <w:sz w:val="24"/>
              </w:rPr>
              <w:t>B、C、D—卫生防护距离计算系数；</w:t>
            </w:r>
          </w:p>
          <w:p>
            <w:pPr>
              <w:tabs>
                <w:tab w:val="left" w:pos="570"/>
              </w:tabs>
              <w:adjustRightInd w:val="0"/>
              <w:snapToGrid w:val="0"/>
              <w:spacing w:line="360" w:lineRule="auto"/>
              <w:ind w:firstLine="480" w:firstLineChars="200"/>
              <w:rPr>
                <w:bCs/>
                <w:snapToGrid w:val="0"/>
                <w:kern w:val="0"/>
                <w:sz w:val="24"/>
                <w:szCs w:val="22"/>
              </w:rPr>
            </w:pPr>
            <w:r>
              <w:rPr>
                <w:bCs/>
                <w:snapToGrid w:val="0"/>
                <w:kern w:val="0"/>
                <w:sz w:val="24"/>
                <w:szCs w:val="22"/>
              </w:rPr>
              <w:t>项目所在地年平均风</w:t>
            </w:r>
            <w:r>
              <w:rPr>
                <w:rFonts w:ascii="Times New Roman" w:hAnsi="Times New Roman" w:cs="Times New Roman"/>
                <w:bCs/>
                <w:snapToGrid w:val="0"/>
                <w:kern w:val="0"/>
                <w:sz w:val="24"/>
                <w:szCs w:val="22"/>
              </w:rPr>
              <w:t>速为3.1m/s，</w:t>
            </w:r>
            <w:r>
              <w:rPr>
                <w:bCs/>
                <w:snapToGrid w:val="0"/>
                <w:kern w:val="0"/>
                <w:sz w:val="24"/>
                <w:szCs w:val="22"/>
              </w:rPr>
              <w:t>A、B、C、D参数选取见表</w:t>
            </w:r>
            <w:r>
              <w:rPr>
                <w:rFonts w:hint="eastAsia"/>
                <w:bCs/>
                <w:snapToGrid w:val="0"/>
                <w:kern w:val="0"/>
                <w:sz w:val="24"/>
                <w:szCs w:val="22"/>
              </w:rPr>
              <w:t>4-</w:t>
            </w:r>
            <w:r>
              <w:rPr>
                <w:rFonts w:hint="eastAsia"/>
                <w:bCs/>
                <w:snapToGrid w:val="0"/>
                <w:kern w:val="0"/>
                <w:sz w:val="24"/>
                <w:szCs w:val="22"/>
                <w:lang w:val="en-US" w:eastAsia="zh-CN"/>
              </w:rPr>
              <w:t>8</w:t>
            </w:r>
            <w:r>
              <w:rPr>
                <w:bCs/>
                <w:snapToGrid w:val="0"/>
                <w:kern w:val="0"/>
                <w:sz w:val="24"/>
                <w:szCs w:val="22"/>
              </w:rPr>
              <w:t>，计算结果见表</w:t>
            </w:r>
            <w:r>
              <w:rPr>
                <w:rFonts w:hint="eastAsia"/>
                <w:bCs/>
                <w:snapToGrid w:val="0"/>
                <w:kern w:val="0"/>
                <w:sz w:val="24"/>
                <w:szCs w:val="22"/>
              </w:rPr>
              <w:t>4-</w:t>
            </w:r>
            <w:r>
              <w:rPr>
                <w:rFonts w:hint="eastAsia"/>
                <w:bCs/>
                <w:snapToGrid w:val="0"/>
                <w:kern w:val="0"/>
                <w:sz w:val="24"/>
                <w:szCs w:val="22"/>
                <w:lang w:val="en-US" w:eastAsia="zh-CN"/>
              </w:rPr>
              <w:t>9</w:t>
            </w:r>
            <w:r>
              <w:rPr>
                <w:bCs/>
                <w:snapToGrid w:val="0"/>
                <w:kern w:val="0"/>
                <w:sz w:val="24"/>
                <w:szCs w:val="22"/>
              </w:rPr>
              <w:t>。</w:t>
            </w:r>
          </w:p>
          <w:p>
            <w:pPr>
              <w:adjustRightInd w:val="0"/>
              <w:snapToGrid w:val="0"/>
              <w:ind w:firstLine="482" w:firstLineChars="200"/>
              <w:jc w:val="center"/>
              <w:textAlignment w:val="baseline"/>
              <w:rPr>
                <w:b/>
                <w:sz w:val="24"/>
              </w:rPr>
            </w:pPr>
            <w:r>
              <w:rPr>
                <w:b/>
                <w:sz w:val="24"/>
              </w:rPr>
              <w:t>表</w:t>
            </w:r>
            <w:r>
              <w:rPr>
                <w:rFonts w:hint="eastAsia"/>
                <w:b/>
                <w:sz w:val="24"/>
              </w:rPr>
              <w:t>4-</w:t>
            </w:r>
            <w:r>
              <w:rPr>
                <w:rFonts w:hint="eastAsia"/>
                <w:b/>
                <w:sz w:val="24"/>
                <w:lang w:val="en-US" w:eastAsia="zh-CN"/>
              </w:rPr>
              <w:t>8</w:t>
            </w:r>
            <w:r>
              <w:rPr>
                <w:rFonts w:hint="eastAsia"/>
                <w:b/>
                <w:sz w:val="24"/>
              </w:rPr>
              <w:t xml:space="preserve">   </w:t>
            </w:r>
            <w:r>
              <w:rPr>
                <w:b/>
                <w:sz w:val="24"/>
              </w:rPr>
              <w:t>卫生防护距离计算系数</w:t>
            </w:r>
          </w:p>
          <w:tbl>
            <w:tblPr>
              <w:tblStyle w:val="36"/>
              <w:tblpPr w:leftFromText="180" w:rightFromText="180" w:vertAnchor="text" w:horzAnchor="page" w:tblpX="162" w:tblpY="1"/>
              <w:tblOverlap w:val="never"/>
              <w:tblW w:w="837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154"/>
              <w:gridCol w:w="700"/>
              <w:gridCol w:w="700"/>
              <w:gridCol w:w="700"/>
              <w:gridCol w:w="283"/>
              <w:gridCol w:w="417"/>
              <w:gridCol w:w="700"/>
              <w:gridCol w:w="700"/>
              <w:gridCol w:w="64"/>
              <w:gridCol w:w="636"/>
              <w:gridCol w:w="700"/>
              <w:gridCol w:w="7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restart"/>
                  <w:vAlign w:val="center"/>
                </w:tcPr>
                <w:p>
                  <w:pPr>
                    <w:jc w:val="center"/>
                    <w:rPr>
                      <w:b/>
                      <w:bCs/>
                      <w:szCs w:val="21"/>
                    </w:rPr>
                  </w:pPr>
                  <w:r>
                    <w:rPr>
                      <w:b/>
                      <w:bCs/>
                      <w:szCs w:val="21"/>
                    </w:rPr>
                    <w:t>计算系数</w:t>
                  </w:r>
                </w:p>
              </w:tc>
              <w:tc>
                <w:tcPr>
                  <w:tcW w:w="1154" w:type="dxa"/>
                  <w:vMerge w:val="restart"/>
                  <w:vAlign w:val="center"/>
                </w:tcPr>
                <w:p>
                  <w:pPr>
                    <w:jc w:val="center"/>
                    <w:rPr>
                      <w:b/>
                      <w:bCs/>
                      <w:szCs w:val="21"/>
                    </w:rPr>
                  </w:pPr>
                  <w:r>
                    <w:rPr>
                      <w:b/>
                      <w:bCs/>
                      <w:szCs w:val="21"/>
                    </w:rPr>
                    <w:t>5年平均风速，m/s</w:t>
                  </w:r>
                </w:p>
              </w:tc>
              <w:tc>
                <w:tcPr>
                  <w:tcW w:w="6301" w:type="dxa"/>
                  <w:gridSpan w:val="11"/>
                  <w:vAlign w:val="center"/>
                </w:tcPr>
                <w:p>
                  <w:pPr>
                    <w:jc w:val="center"/>
                    <w:rPr>
                      <w:b/>
                      <w:bCs/>
                      <w:szCs w:val="21"/>
                    </w:rPr>
                  </w:pPr>
                  <w:r>
                    <w:rPr>
                      <w:b/>
                      <w:bCs/>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continue"/>
                  <w:vAlign w:val="center"/>
                </w:tcPr>
                <w:p>
                  <w:pPr>
                    <w:jc w:val="center"/>
                    <w:rPr>
                      <w:szCs w:val="21"/>
                    </w:rPr>
                  </w:pPr>
                </w:p>
              </w:tc>
              <w:tc>
                <w:tcPr>
                  <w:tcW w:w="1154" w:type="dxa"/>
                  <w:vMerge w:val="continue"/>
                  <w:vAlign w:val="center"/>
                </w:tcPr>
                <w:p>
                  <w:pPr>
                    <w:jc w:val="center"/>
                    <w:rPr>
                      <w:szCs w:val="21"/>
                    </w:rPr>
                  </w:pPr>
                </w:p>
              </w:tc>
              <w:tc>
                <w:tcPr>
                  <w:tcW w:w="2383" w:type="dxa"/>
                  <w:gridSpan w:val="4"/>
                  <w:vAlign w:val="center"/>
                </w:tcPr>
                <w:p>
                  <w:pPr>
                    <w:jc w:val="center"/>
                    <w:rPr>
                      <w:szCs w:val="21"/>
                    </w:rPr>
                  </w:pPr>
                  <w:r>
                    <w:rPr>
                      <w:szCs w:val="21"/>
                    </w:rPr>
                    <w:t>L≤1000</w:t>
                  </w:r>
                </w:p>
              </w:tc>
              <w:tc>
                <w:tcPr>
                  <w:tcW w:w="1881" w:type="dxa"/>
                  <w:gridSpan w:val="4"/>
                  <w:vAlign w:val="center"/>
                </w:tcPr>
                <w:p>
                  <w:pPr>
                    <w:jc w:val="center"/>
                    <w:rPr>
                      <w:szCs w:val="21"/>
                    </w:rPr>
                  </w:pPr>
                  <w:r>
                    <w:rPr>
                      <w:szCs w:val="21"/>
                    </w:rPr>
                    <w:t>1000＜L≤2000</w:t>
                  </w:r>
                </w:p>
              </w:tc>
              <w:tc>
                <w:tcPr>
                  <w:tcW w:w="2037" w:type="dxa"/>
                  <w:gridSpan w:val="3"/>
                  <w:vAlign w:val="center"/>
                </w:tcPr>
                <w:p>
                  <w:pPr>
                    <w:jc w:val="center"/>
                    <w:rPr>
                      <w:szCs w:val="21"/>
                    </w:rPr>
                  </w:pPr>
                  <w:r>
                    <w:rPr>
                      <w:szCs w:val="21"/>
                    </w:rPr>
                    <w:t>L＞2000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continue"/>
                  <w:vAlign w:val="center"/>
                </w:tcPr>
                <w:p>
                  <w:pPr>
                    <w:jc w:val="center"/>
                    <w:rPr>
                      <w:szCs w:val="21"/>
                    </w:rPr>
                  </w:pPr>
                </w:p>
              </w:tc>
              <w:tc>
                <w:tcPr>
                  <w:tcW w:w="1154" w:type="dxa"/>
                  <w:vMerge w:val="continue"/>
                  <w:vAlign w:val="center"/>
                </w:tcPr>
                <w:p>
                  <w:pPr>
                    <w:jc w:val="center"/>
                    <w:rPr>
                      <w:szCs w:val="21"/>
                    </w:rPr>
                  </w:pPr>
                </w:p>
              </w:tc>
              <w:tc>
                <w:tcPr>
                  <w:tcW w:w="6301" w:type="dxa"/>
                  <w:gridSpan w:val="11"/>
                  <w:vAlign w:val="center"/>
                </w:tcPr>
                <w:p>
                  <w:pPr>
                    <w:jc w:val="center"/>
                    <w:rPr>
                      <w:b/>
                      <w:bCs/>
                      <w:szCs w:val="21"/>
                    </w:rPr>
                  </w:pPr>
                  <w:r>
                    <w:rPr>
                      <w:b/>
                      <w:bCs/>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continue"/>
                  <w:vAlign w:val="center"/>
                </w:tcPr>
                <w:p>
                  <w:pPr>
                    <w:jc w:val="center"/>
                    <w:rPr>
                      <w:szCs w:val="21"/>
                    </w:rPr>
                  </w:pPr>
                </w:p>
              </w:tc>
              <w:tc>
                <w:tcPr>
                  <w:tcW w:w="1154" w:type="dxa"/>
                  <w:vMerge w:val="continue"/>
                  <w:vAlign w:val="center"/>
                </w:tcPr>
                <w:p>
                  <w:pPr>
                    <w:jc w:val="center"/>
                    <w:rPr>
                      <w:szCs w:val="21"/>
                    </w:rPr>
                  </w:pPr>
                </w:p>
              </w:tc>
              <w:tc>
                <w:tcPr>
                  <w:tcW w:w="700" w:type="dxa"/>
                  <w:vAlign w:val="center"/>
                </w:tcPr>
                <w:p>
                  <w:pPr>
                    <w:jc w:val="center"/>
                    <w:rPr>
                      <w:szCs w:val="21"/>
                    </w:rPr>
                  </w:pPr>
                  <w:r>
                    <w:rPr>
                      <w:szCs w:val="21"/>
                    </w:rPr>
                    <w:t>Ⅰ</w:t>
                  </w:r>
                </w:p>
              </w:tc>
              <w:tc>
                <w:tcPr>
                  <w:tcW w:w="700" w:type="dxa"/>
                  <w:vAlign w:val="center"/>
                </w:tcPr>
                <w:p>
                  <w:pPr>
                    <w:jc w:val="center"/>
                    <w:rPr>
                      <w:szCs w:val="21"/>
                    </w:rPr>
                  </w:pPr>
                  <w:r>
                    <w:rPr>
                      <w:szCs w:val="21"/>
                    </w:rPr>
                    <w:t>Ⅱ</w:t>
                  </w:r>
                </w:p>
              </w:tc>
              <w:tc>
                <w:tcPr>
                  <w:tcW w:w="700" w:type="dxa"/>
                  <w:vAlign w:val="center"/>
                </w:tcPr>
                <w:p>
                  <w:pPr>
                    <w:jc w:val="center"/>
                    <w:rPr>
                      <w:szCs w:val="21"/>
                    </w:rPr>
                  </w:pPr>
                  <w:r>
                    <w:rPr>
                      <w:szCs w:val="21"/>
                    </w:rPr>
                    <w:t>Ⅲ</w:t>
                  </w:r>
                </w:p>
              </w:tc>
              <w:tc>
                <w:tcPr>
                  <w:tcW w:w="700" w:type="dxa"/>
                  <w:gridSpan w:val="2"/>
                  <w:vAlign w:val="center"/>
                </w:tcPr>
                <w:p>
                  <w:pPr>
                    <w:jc w:val="center"/>
                    <w:rPr>
                      <w:szCs w:val="21"/>
                    </w:rPr>
                  </w:pPr>
                  <w:r>
                    <w:rPr>
                      <w:szCs w:val="21"/>
                    </w:rPr>
                    <w:t>Ⅰ</w:t>
                  </w:r>
                </w:p>
              </w:tc>
              <w:tc>
                <w:tcPr>
                  <w:tcW w:w="700" w:type="dxa"/>
                  <w:vAlign w:val="center"/>
                </w:tcPr>
                <w:p>
                  <w:pPr>
                    <w:jc w:val="center"/>
                    <w:rPr>
                      <w:szCs w:val="21"/>
                    </w:rPr>
                  </w:pPr>
                  <w:r>
                    <w:rPr>
                      <w:szCs w:val="21"/>
                    </w:rPr>
                    <w:t>Ⅱ</w:t>
                  </w:r>
                </w:p>
              </w:tc>
              <w:tc>
                <w:tcPr>
                  <w:tcW w:w="700" w:type="dxa"/>
                  <w:vAlign w:val="center"/>
                </w:tcPr>
                <w:p>
                  <w:pPr>
                    <w:jc w:val="center"/>
                    <w:rPr>
                      <w:szCs w:val="21"/>
                    </w:rPr>
                  </w:pPr>
                  <w:r>
                    <w:rPr>
                      <w:szCs w:val="21"/>
                    </w:rPr>
                    <w:t>Ⅲ</w:t>
                  </w:r>
                </w:p>
              </w:tc>
              <w:tc>
                <w:tcPr>
                  <w:tcW w:w="700" w:type="dxa"/>
                  <w:gridSpan w:val="2"/>
                  <w:vAlign w:val="center"/>
                </w:tcPr>
                <w:p>
                  <w:pPr>
                    <w:jc w:val="center"/>
                    <w:rPr>
                      <w:szCs w:val="21"/>
                    </w:rPr>
                  </w:pPr>
                  <w:r>
                    <w:rPr>
                      <w:szCs w:val="21"/>
                    </w:rPr>
                    <w:t>Ⅰ</w:t>
                  </w:r>
                </w:p>
              </w:tc>
              <w:tc>
                <w:tcPr>
                  <w:tcW w:w="700" w:type="dxa"/>
                  <w:vAlign w:val="center"/>
                </w:tcPr>
                <w:p>
                  <w:pPr>
                    <w:jc w:val="center"/>
                    <w:rPr>
                      <w:szCs w:val="21"/>
                    </w:rPr>
                  </w:pPr>
                  <w:r>
                    <w:rPr>
                      <w:szCs w:val="21"/>
                    </w:rPr>
                    <w:t>Ⅱ</w:t>
                  </w:r>
                </w:p>
              </w:tc>
              <w:tc>
                <w:tcPr>
                  <w:tcW w:w="701" w:type="dxa"/>
                  <w:vAlign w:val="center"/>
                </w:tcPr>
                <w:p>
                  <w:pPr>
                    <w:jc w:val="center"/>
                    <w:rPr>
                      <w:szCs w:val="21"/>
                    </w:rPr>
                  </w:pPr>
                  <w:r>
                    <w:rPr>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restart"/>
                  <w:vAlign w:val="center"/>
                </w:tcPr>
                <w:p>
                  <w:pPr>
                    <w:jc w:val="center"/>
                    <w:rPr>
                      <w:szCs w:val="21"/>
                    </w:rPr>
                  </w:pPr>
                  <w:r>
                    <w:rPr>
                      <w:szCs w:val="21"/>
                    </w:rPr>
                    <w:t>A</w:t>
                  </w:r>
                </w:p>
              </w:tc>
              <w:tc>
                <w:tcPr>
                  <w:tcW w:w="1154" w:type="dxa"/>
                  <w:vAlign w:val="center"/>
                </w:tcPr>
                <w:p>
                  <w:pPr>
                    <w:jc w:val="center"/>
                    <w:rPr>
                      <w:szCs w:val="21"/>
                    </w:rPr>
                  </w:pPr>
                  <w:r>
                    <w:rPr>
                      <w:szCs w:val="21"/>
                    </w:rPr>
                    <w:t>&lt;2</w:t>
                  </w:r>
                </w:p>
              </w:tc>
              <w:tc>
                <w:tcPr>
                  <w:tcW w:w="700" w:type="dxa"/>
                  <w:vAlign w:val="center"/>
                </w:tcPr>
                <w:p>
                  <w:pPr>
                    <w:jc w:val="center"/>
                    <w:rPr>
                      <w:szCs w:val="21"/>
                    </w:rPr>
                  </w:pPr>
                  <w:r>
                    <w:rPr>
                      <w:szCs w:val="21"/>
                    </w:rPr>
                    <w:t>400</w:t>
                  </w:r>
                </w:p>
              </w:tc>
              <w:tc>
                <w:tcPr>
                  <w:tcW w:w="700" w:type="dxa"/>
                  <w:vAlign w:val="center"/>
                </w:tcPr>
                <w:p>
                  <w:pPr>
                    <w:jc w:val="center"/>
                    <w:rPr>
                      <w:szCs w:val="21"/>
                    </w:rPr>
                  </w:pPr>
                  <w:r>
                    <w:rPr>
                      <w:szCs w:val="21"/>
                    </w:rPr>
                    <w:t>400</w:t>
                  </w:r>
                </w:p>
              </w:tc>
              <w:tc>
                <w:tcPr>
                  <w:tcW w:w="700" w:type="dxa"/>
                  <w:vAlign w:val="center"/>
                </w:tcPr>
                <w:p>
                  <w:pPr>
                    <w:jc w:val="center"/>
                    <w:rPr>
                      <w:szCs w:val="21"/>
                    </w:rPr>
                  </w:pPr>
                  <w:r>
                    <w:rPr>
                      <w:szCs w:val="21"/>
                    </w:rPr>
                    <w:t>400</w:t>
                  </w:r>
                </w:p>
              </w:tc>
              <w:tc>
                <w:tcPr>
                  <w:tcW w:w="700" w:type="dxa"/>
                  <w:gridSpan w:val="2"/>
                  <w:vAlign w:val="center"/>
                </w:tcPr>
                <w:p>
                  <w:pPr>
                    <w:jc w:val="center"/>
                    <w:rPr>
                      <w:szCs w:val="21"/>
                    </w:rPr>
                  </w:pPr>
                  <w:r>
                    <w:rPr>
                      <w:szCs w:val="21"/>
                    </w:rPr>
                    <w:t>400</w:t>
                  </w:r>
                </w:p>
              </w:tc>
              <w:tc>
                <w:tcPr>
                  <w:tcW w:w="700" w:type="dxa"/>
                  <w:vAlign w:val="center"/>
                </w:tcPr>
                <w:p>
                  <w:pPr>
                    <w:jc w:val="center"/>
                    <w:rPr>
                      <w:szCs w:val="21"/>
                    </w:rPr>
                  </w:pPr>
                  <w:r>
                    <w:rPr>
                      <w:szCs w:val="21"/>
                    </w:rPr>
                    <w:t>400</w:t>
                  </w:r>
                </w:p>
              </w:tc>
              <w:tc>
                <w:tcPr>
                  <w:tcW w:w="700" w:type="dxa"/>
                  <w:vAlign w:val="center"/>
                </w:tcPr>
                <w:p>
                  <w:pPr>
                    <w:jc w:val="center"/>
                    <w:rPr>
                      <w:szCs w:val="21"/>
                    </w:rPr>
                  </w:pPr>
                  <w:r>
                    <w:rPr>
                      <w:szCs w:val="21"/>
                    </w:rPr>
                    <w:t>400</w:t>
                  </w:r>
                </w:p>
              </w:tc>
              <w:tc>
                <w:tcPr>
                  <w:tcW w:w="700" w:type="dxa"/>
                  <w:gridSpan w:val="2"/>
                  <w:vAlign w:val="center"/>
                </w:tcPr>
                <w:p>
                  <w:pPr>
                    <w:jc w:val="center"/>
                    <w:rPr>
                      <w:szCs w:val="21"/>
                    </w:rPr>
                  </w:pPr>
                  <w:r>
                    <w:rPr>
                      <w:szCs w:val="21"/>
                    </w:rPr>
                    <w:t>80</w:t>
                  </w:r>
                </w:p>
              </w:tc>
              <w:tc>
                <w:tcPr>
                  <w:tcW w:w="700" w:type="dxa"/>
                  <w:vAlign w:val="center"/>
                </w:tcPr>
                <w:p>
                  <w:pPr>
                    <w:jc w:val="center"/>
                    <w:rPr>
                      <w:szCs w:val="21"/>
                    </w:rPr>
                  </w:pPr>
                  <w:r>
                    <w:rPr>
                      <w:szCs w:val="21"/>
                    </w:rPr>
                    <w:t>80</w:t>
                  </w:r>
                </w:p>
              </w:tc>
              <w:tc>
                <w:tcPr>
                  <w:tcW w:w="701" w:type="dxa"/>
                  <w:vAlign w:val="center"/>
                </w:tcPr>
                <w:p>
                  <w:pPr>
                    <w:jc w:val="center"/>
                    <w:rPr>
                      <w:szCs w:val="21"/>
                    </w:rPr>
                  </w:pPr>
                  <w:r>
                    <w:rPr>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continue"/>
                  <w:vAlign w:val="center"/>
                </w:tcPr>
                <w:p>
                  <w:pPr>
                    <w:jc w:val="center"/>
                    <w:rPr>
                      <w:szCs w:val="21"/>
                    </w:rPr>
                  </w:pPr>
                </w:p>
              </w:tc>
              <w:tc>
                <w:tcPr>
                  <w:tcW w:w="1154" w:type="dxa"/>
                  <w:vAlign w:val="center"/>
                </w:tcPr>
                <w:p>
                  <w:pPr>
                    <w:jc w:val="center"/>
                    <w:rPr>
                      <w:szCs w:val="21"/>
                    </w:rPr>
                  </w:pPr>
                  <w:r>
                    <w:rPr>
                      <w:szCs w:val="21"/>
                    </w:rPr>
                    <w:t>2-4</w:t>
                  </w:r>
                </w:p>
              </w:tc>
              <w:tc>
                <w:tcPr>
                  <w:tcW w:w="700" w:type="dxa"/>
                  <w:vAlign w:val="center"/>
                </w:tcPr>
                <w:p>
                  <w:pPr>
                    <w:jc w:val="center"/>
                    <w:rPr>
                      <w:szCs w:val="21"/>
                    </w:rPr>
                  </w:pPr>
                  <w:r>
                    <w:rPr>
                      <w:szCs w:val="21"/>
                    </w:rPr>
                    <w:t>700</w:t>
                  </w:r>
                </w:p>
              </w:tc>
              <w:tc>
                <w:tcPr>
                  <w:tcW w:w="700" w:type="dxa"/>
                  <w:vAlign w:val="center"/>
                </w:tcPr>
                <w:p>
                  <w:pPr>
                    <w:jc w:val="center"/>
                    <w:rPr>
                      <w:szCs w:val="21"/>
                    </w:rPr>
                  </w:pPr>
                  <w:r>
                    <w:rPr>
                      <w:szCs w:val="21"/>
                    </w:rPr>
                    <w:t>470</w:t>
                  </w:r>
                </w:p>
              </w:tc>
              <w:tc>
                <w:tcPr>
                  <w:tcW w:w="700" w:type="dxa"/>
                  <w:vAlign w:val="center"/>
                </w:tcPr>
                <w:p>
                  <w:pPr>
                    <w:jc w:val="center"/>
                    <w:rPr>
                      <w:szCs w:val="21"/>
                    </w:rPr>
                  </w:pPr>
                  <w:r>
                    <w:rPr>
                      <w:szCs w:val="21"/>
                    </w:rPr>
                    <w:t>350</w:t>
                  </w:r>
                </w:p>
              </w:tc>
              <w:tc>
                <w:tcPr>
                  <w:tcW w:w="700" w:type="dxa"/>
                  <w:gridSpan w:val="2"/>
                  <w:vAlign w:val="center"/>
                </w:tcPr>
                <w:p>
                  <w:pPr>
                    <w:jc w:val="center"/>
                    <w:rPr>
                      <w:szCs w:val="21"/>
                    </w:rPr>
                  </w:pPr>
                  <w:r>
                    <w:rPr>
                      <w:szCs w:val="21"/>
                    </w:rPr>
                    <w:t>700</w:t>
                  </w:r>
                </w:p>
              </w:tc>
              <w:tc>
                <w:tcPr>
                  <w:tcW w:w="700" w:type="dxa"/>
                  <w:vAlign w:val="center"/>
                </w:tcPr>
                <w:p>
                  <w:pPr>
                    <w:jc w:val="center"/>
                    <w:rPr>
                      <w:szCs w:val="21"/>
                    </w:rPr>
                  </w:pPr>
                  <w:r>
                    <w:rPr>
                      <w:szCs w:val="21"/>
                    </w:rPr>
                    <w:t>470</w:t>
                  </w:r>
                </w:p>
              </w:tc>
              <w:tc>
                <w:tcPr>
                  <w:tcW w:w="700" w:type="dxa"/>
                  <w:vAlign w:val="center"/>
                </w:tcPr>
                <w:p>
                  <w:pPr>
                    <w:jc w:val="center"/>
                    <w:rPr>
                      <w:szCs w:val="21"/>
                    </w:rPr>
                  </w:pPr>
                  <w:r>
                    <w:rPr>
                      <w:szCs w:val="21"/>
                    </w:rPr>
                    <w:t>350</w:t>
                  </w:r>
                </w:p>
              </w:tc>
              <w:tc>
                <w:tcPr>
                  <w:tcW w:w="700" w:type="dxa"/>
                  <w:gridSpan w:val="2"/>
                  <w:vAlign w:val="center"/>
                </w:tcPr>
                <w:p>
                  <w:pPr>
                    <w:jc w:val="center"/>
                    <w:rPr>
                      <w:szCs w:val="21"/>
                    </w:rPr>
                  </w:pPr>
                  <w:r>
                    <w:rPr>
                      <w:szCs w:val="21"/>
                    </w:rPr>
                    <w:t>380</w:t>
                  </w:r>
                </w:p>
              </w:tc>
              <w:tc>
                <w:tcPr>
                  <w:tcW w:w="700" w:type="dxa"/>
                  <w:vAlign w:val="center"/>
                </w:tcPr>
                <w:p>
                  <w:pPr>
                    <w:jc w:val="center"/>
                    <w:rPr>
                      <w:szCs w:val="21"/>
                    </w:rPr>
                  </w:pPr>
                  <w:r>
                    <w:rPr>
                      <w:szCs w:val="21"/>
                    </w:rPr>
                    <w:t>250</w:t>
                  </w:r>
                </w:p>
              </w:tc>
              <w:tc>
                <w:tcPr>
                  <w:tcW w:w="701" w:type="dxa"/>
                  <w:vAlign w:val="center"/>
                </w:tcPr>
                <w:p>
                  <w:pPr>
                    <w:jc w:val="center"/>
                    <w:rPr>
                      <w:szCs w:val="21"/>
                    </w:rPr>
                  </w:pPr>
                  <w:r>
                    <w:rPr>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continue"/>
                  <w:vAlign w:val="center"/>
                </w:tcPr>
                <w:p>
                  <w:pPr>
                    <w:jc w:val="center"/>
                    <w:rPr>
                      <w:szCs w:val="21"/>
                    </w:rPr>
                  </w:pPr>
                </w:p>
              </w:tc>
              <w:tc>
                <w:tcPr>
                  <w:tcW w:w="1154" w:type="dxa"/>
                  <w:vAlign w:val="center"/>
                </w:tcPr>
                <w:p>
                  <w:pPr>
                    <w:jc w:val="center"/>
                    <w:rPr>
                      <w:szCs w:val="21"/>
                    </w:rPr>
                  </w:pPr>
                  <w:r>
                    <w:rPr>
                      <w:szCs w:val="21"/>
                    </w:rPr>
                    <w:t>&gt;4</w:t>
                  </w:r>
                </w:p>
              </w:tc>
              <w:tc>
                <w:tcPr>
                  <w:tcW w:w="700" w:type="dxa"/>
                  <w:vAlign w:val="center"/>
                </w:tcPr>
                <w:p>
                  <w:pPr>
                    <w:jc w:val="center"/>
                    <w:rPr>
                      <w:szCs w:val="21"/>
                    </w:rPr>
                  </w:pPr>
                  <w:r>
                    <w:rPr>
                      <w:szCs w:val="21"/>
                    </w:rPr>
                    <w:t>530</w:t>
                  </w:r>
                </w:p>
              </w:tc>
              <w:tc>
                <w:tcPr>
                  <w:tcW w:w="700" w:type="dxa"/>
                  <w:vAlign w:val="center"/>
                </w:tcPr>
                <w:p>
                  <w:pPr>
                    <w:jc w:val="center"/>
                    <w:rPr>
                      <w:szCs w:val="21"/>
                    </w:rPr>
                  </w:pPr>
                  <w:r>
                    <w:rPr>
                      <w:szCs w:val="21"/>
                    </w:rPr>
                    <w:t>350</w:t>
                  </w:r>
                </w:p>
              </w:tc>
              <w:tc>
                <w:tcPr>
                  <w:tcW w:w="700" w:type="dxa"/>
                  <w:vAlign w:val="center"/>
                </w:tcPr>
                <w:p>
                  <w:pPr>
                    <w:jc w:val="center"/>
                    <w:rPr>
                      <w:szCs w:val="21"/>
                    </w:rPr>
                  </w:pPr>
                  <w:r>
                    <w:rPr>
                      <w:szCs w:val="21"/>
                    </w:rPr>
                    <w:t>260</w:t>
                  </w:r>
                </w:p>
              </w:tc>
              <w:tc>
                <w:tcPr>
                  <w:tcW w:w="700" w:type="dxa"/>
                  <w:gridSpan w:val="2"/>
                  <w:vAlign w:val="center"/>
                </w:tcPr>
                <w:p>
                  <w:pPr>
                    <w:jc w:val="center"/>
                    <w:rPr>
                      <w:szCs w:val="21"/>
                    </w:rPr>
                  </w:pPr>
                  <w:r>
                    <w:rPr>
                      <w:szCs w:val="21"/>
                    </w:rPr>
                    <w:t>530</w:t>
                  </w:r>
                </w:p>
              </w:tc>
              <w:tc>
                <w:tcPr>
                  <w:tcW w:w="700" w:type="dxa"/>
                  <w:vAlign w:val="center"/>
                </w:tcPr>
                <w:p>
                  <w:pPr>
                    <w:jc w:val="center"/>
                    <w:rPr>
                      <w:szCs w:val="21"/>
                    </w:rPr>
                  </w:pPr>
                  <w:r>
                    <w:rPr>
                      <w:szCs w:val="21"/>
                    </w:rPr>
                    <w:t>350</w:t>
                  </w:r>
                </w:p>
              </w:tc>
              <w:tc>
                <w:tcPr>
                  <w:tcW w:w="700" w:type="dxa"/>
                  <w:vAlign w:val="center"/>
                </w:tcPr>
                <w:p>
                  <w:pPr>
                    <w:jc w:val="center"/>
                    <w:rPr>
                      <w:szCs w:val="21"/>
                    </w:rPr>
                  </w:pPr>
                  <w:r>
                    <w:rPr>
                      <w:szCs w:val="21"/>
                    </w:rPr>
                    <w:t>260</w:t>
                  </w:r>
                </w:p>
              </w:tc>
              <w:tc>
                <w:tcPr>
                  <w:tcW w:w="700" w:type="dxa"/>
                  <w:gridSpan w:val="2"/>
                  <w:vAlign w:val="center"/>
                </w:tcPr>
                <w:p>
                  <w:pPr>
                    <w:jc w:val="center"/>
                    <w:rPr>
                      <w:szCs w:val="21"/>
                    </w:rPr>
                  </w:pPr>
                  <w:r>
                    <w:rPr>
                      <w:szCs w:val="21"/>
                    </w:rPr>
                    <w:t>290</w:t>
                  </w:r>
                </w:p>
              </w:tc>
              <w:tc>
                <w:tcPr>
                  <w:tcW w:w="700" w:type="dxa"/>
                  <w:vAlign w:val="center"/>
                </w:tcPr>
                <w:p>
                  <w:pPr>
                    <w:jc w:val="center"/>
                    <w:rPr>
                      <w:szCs w:val="21"/>
                    </w:rPr>
                  </w:pPr>
                  <w:r>
                    <w:rPr>
                      <w:szCs w:val="21"/>
                    </w:rPr>
                    <w:t>190</w:t>
                  </w:r>
                </w:p>
              </w:tc>
              <w:tc>
                <w:tcPr>
                  <w:tcW w:w="701" w:type="dxa"/>
                  <w:vAlign w:val="center"/>
                </w:tcPr>
                <w:p>
                  <w:pPr>
                    <w:jc w:val="center"/>
                    <w:rPr>
                      <w:szCs w:val="21"/>
                    </w:rPr>
                  </w:pPr>
                  <w:r>
                    <w:rPr>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restart"/>
                  <w:vAlign w:val="center"/>
                </w:tcPr>
                <w:p>
                  <w:pPr>
                    <w:jc w:val="center"/>
                    <w:rPr>
                      <w:szCs w:val="21"/>
                    </w:rPr>
                  </w:pPr>
                  <w:r>
                    <w:rPr>
                      <w:szCs w:val="21"/>
                    </w:rPr>
                    <w:t>B</w:t>
                  </w:r>
                </w:p>
              </w:tc>
              <w:tc>
                <w:tcPr>
                  <w:tcW w:w="1154" w:type="dxa"/>
                  <w:vAlign w:val="center"/>
                </w:tcPr>
                <w:p>
                  <w:pPr>
                    <w:jc w:val="center"/>
                    <w:rPr>
                      <w:szCs w:val="21"/>
                    </w:rPr>
                  </w:pPr>
                  <w:r>
                    <w:rPr>
                      <w:szCs w:val="21"/>
                    </w:rPr>
                    <w:t>&lt;2</w:t>
                  </w:r>
                </w:p>
              </w:tc>
              <w:tc>
                <w:tcPr>
                  <w:tcW w:w="2100" w:type="dxa"/>
                  <w:gridSpan w:val="3"/>
                  <w:vAlign w:val="center"/>
                </w:tcPr>
                <w:p>
                  <w:pPr>
                    <w:jc w:val="center"/>
                    <w:rPr>
                      <w:szCs w:val="21"/>
                    </w:rPr>
                  </w:pPr>
                  <w:r>
                    <w:rPr>
                      <w:szCs w:val="21"/>
                    </w:rPr>
                    <w:t>0.01</w:t>
                  </w:r>
                </w:p>
              </w:tc>
              <w:tc>
                <w:tcPr>
                  <w:tcW w:w="2100" w:type="dxa"/>
                  <w:gridSpan w:val="4"/>
                  <w:vAlign w:val="center"/>
                </w:tcPr>
                <w:p>
                  <w:pPr>
                    <w:jc w:val="center"/>
                    <w:rPr>
                      <w:szCs w:val="21"/>
                    </w:rPr>
                  </w:pPr>
                  <w:r>
                    <w:rPr>
                      <w:szCs w:val="21"/>
                    </w:rPr>
                    <w:t>0.015</w:t>
                  </w:r>
                </w:p>
              </w:tc>
              <w:tc>
                <w:tcPr>
                  <w:tcW w:w="2101" w:type="dxa"/>
                  <w:gridSpan w:val="4"/>
                  <w:vAlign w:val="center"/>
                </w:tcPr>
                <w:p>
                  <w:pPr>
                    <w:jc w:val="center"/>
                    <w:rPr>
                      <w:szCs w:val="21"/>
                    </w:rPr>
                  </w:pPr>
                  <w:r>
                    <w:rPr>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continue"/>
                  <w:vAlign w:val="center"/>
                </w:tcPr>
                <w:p>
                  <w:pPr>
                    <w:jc w:val="center"/>
                    <w:rPr>
                      <w:szCs w:val="21"/>
                    </w:rPr>
                  </w:pPr>
                </w:p>
              </w:tc>
              <w:tc>
                <w:tcPr>
                  <w:tcW w:w="1154" w:type="dxa"/>
                  <w:vAlign w:val="center"/>
                </w:tcPr>
                <w:p>
                  <w:pPr>
                    <w:jc w:val="center"/>
                    <w:rPr>
                      <w:szCs w:val="21"/>
                    </w:rPr>
                  </w:pPr>
                  <w:r>
                    <w:rPr>
                      <w:szCs w:val="21"/>
                    </w:rPr>
                    <w:t>&gt;2</w:t>
                  </w:r>
                </w:p>
              </w:tc>
              <w:tc>
                <w:tcPr>
                  <w:tcW w:w="2100" w:type="dxa"/>
                  <w:gridSpan w:val="3"/>
                  <w:vAlign w:val="center"/>
                </w:tcPr>
                <w:p>
                  <w:pPr>
                    <w:jc w:val="center"/>
                    <w:rPr>
                      <w:szCs w:val="21"/>
                    </w:rPr>
                  </w:pPr>
                  <w:r>
                    <w:rPr>
                      <w:szCs w:val="21"/>
                    </w:rPr>
                    <w:t>0.021</w:t>
                  </w:r>
                </w:p>
              </w:tc>
              <w:tc>
                <w:tcPr>
                  <w:tcW w:w="2100" w:type="dxa"/>
                  <w:gridSpan w:val="4"/>
                  <w:vAlign w:val="center"/>
                </w:tcPr>
                <w:p>
                  <w:pPr>
                    <w:jc w:val="center"/>
                    <w:rPr>
                      <w:szCs w:val="21"/>
                    </w:rPr>
                  </w:pPr>
                  <w:r>
                    <w:rPr>
                      <w:szCs w:val="21"/>
                    </w:rPr>
                    <w:t>0.036</w:t>
                  </w:r>
                </w:p>
              </w:tc>
              <w:tc>
                <w:tcPr>
                  <w:tcW w:w="2101" w:type="dxa"/>
                  <w:gridSpan w:val="4"/>
                  <w:vAlign w:val="center"/>
                </w:tcPr>
                <w:p>
                  <w:pPr>
                    <w:jc w:val="center"/>
                    <w:rPr>
                      <w:szCs w:val="21"/>
                    </w:rPr>
                  </w:pPr>
                  <w:r>
                    <w:rPr>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restart"/>
                  <w:vAlign w:val="center"/>
                </w:tcPr>
                <w:p>
                  <w:pPr>
                    <w:jc w:val="center"/>
                    <w:rPr>
                      <w:szCs w:val="21"/>
                    </w:rPr>
                  </w:pPr>
                  <w:r>
                    <w:rPr>
                      <w:szCs w:val="21"/>
                    </w:rPr>
                    <w:t>C</w:t>
                  </w:r>
                </w:p>
              </w:tc>
              <w:tc>
                <w:tcPr>
                  <w:tcW w:w="1154" w:type="dxa"/>
                  <w:vAlign w:val="center"/>
                </w:tcPr>
                <w:p>
                  <w:pPr>
                    <w:jc w:val="center"/>
                    <w:rPr>
                      <w:szCs w:val="21"/>
                    </w:rPr>
                  </w:pPr>
                  <w:r>
                    <w:rPr>
                      <w:szCs w:val="21"/>
                    </w:rPr>
                    <w:t>&lt;2</w:t>
                  </w:r>
                </w:p>
              </w:tc>
              <w:tc>
                <w:tcPr>
                  <w:tcW w:w="2100" w:type="dxa"/>
                  <w:gridSpan w:val="3"/>
                  <w:vAlign w:val="center"/>
                </w:tcPr>
                <w:p>
                  <w:pPr>
                    <w:jc w:val="center"/>
                    <w:rPr>
                      <w:szCs w:val="21"/>
                    </w:rPr>
                  </w:pPr>
                  <w:r>
                    <w:rPr>
                      <w:szCs w:val="21"/>
                    </w:rPr>
                    <w:t>1.85</w:t>
                  </w:r>
                </w:p>
              </w:tc>
              <w:tc>
                <w:tcPr>
                  <w:tcW w:w="2100" w:type="dxa"/>
                  <w:gridSpan w:val="4"/>
                  <w:vAlign w:val="center"/>
                </w:tcPr>
                <w:p>
                  <w:pPr>
                    <w:jc w:val="center"/>
                    <w:rPr>
                      <w:szCs w:val="21"/>
                    </w:rPr>
                  </w:pPr>
                  <w:r>
                    <w:rPr>
                      <w:szCs w:val="21"/>
                    </w:rPr>
                    <w:t>1.79</w:t>
                  </w:r>
                </w:p>
              </w:tc>
              <w:tc>
                <w:tcPr>
                  <w:tcW w:w="2101" w:type="dxa"/>
                  <w:gridSpan w:val="4"/>
                  <w:vAlign w:val="center"/>
                </w:tcPr>
                <w:p>
                  <w:pPr>
                    <w:jc w:val="center"/>
                    <w:rPr>
                      <w:szCs w:val="21"/>
                    </w:rPr>
                  </w:pPr>
                  <w:r>
                    <w:rPr>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continue"/>
                  <w:vAlign w:val="center"/>
                </w:tcPr>
                <w:p>
                  <w:pPr>
                    <w:jc w:val="center"/>
                    <w:rPr>
                      <w:szCs w:val="21"/>
                    </w:rPr>
                  </w:pPr>
                </w:p>
              </w:tc>
              <w:tc>
                <w:tcPr>
                  <w:tcW w:w="1154" w:type="dxa"/>
                  <w:vAlign w:val="center"/>
                </w:tcPr>
                <w:p>
                  <w:pPr>
                    <w:jc w:val="center"/>
                    <w:rPr>
                      <w:szCs w:val="21"/>
                    </w:rPr>
                  </w:pPr>
                  <w:r>
                    <w:rPr>
                      <w:szCs w:val="21"/>
                    </w:rPr>
                    <w:t>&gt;2</w:t>
                  </w:r>
                </w:p>
              </w:tc>
              <w:tc>
                <w:tcPr>
                  <w:tcW w:w="2100" w:type="dxa"/>
                  <w:gridSpan w:val="3"/>
                  <w:vAlign w:val="center"/>
                </w:tcPr>
                <w:p>
                  <w:pPr>
                    <w:jc w:val="center"/>
                    <w:rPr>
                      <w:szCs w:val="21"/>
                    </w:rPr>
                  </w:pPr>
                  <w:r>
                    <w:rPr>
                      <w:szCs w:val="21"/>
                    </w:rPr>
                    <w:t>1.85</w:t>
                  </w:r>
                </w:p>
              </w:tc>
              <w:tc>
                <w:tcPr>
                  <w:tcW w:w="2100" w:type="dxa"/>
                  <w:gridSpan w:val="4"/>
                  <w:vAlign w:val="center"/>
                </w:tcPr>
                <w:p>
                  <w:pPr>
                    <w:jc w:val="center"/>
                    <w:rPr>
                      <w:szCs w:val="21"/>
                    </w:rPr>
                  </w:pPr>
                  <w:r>
                    <w:rPr>
                      <w:szCs w:val="21"/>
                    </w:rPr>
                    <w:t>1.77</w:t>
                  </w:r>
                </w:p>
              </w:tc>
              <w:tc>
                <w:tcPr>
                  <w:tcW w:w="2101" w:type="dxa"/>
                  <w:gridSpan w:val="4"/>
                  <w:vAlign w:val="center"/>
                </w:tcPr>
                <w:p>
                  <w:pPr>
                    <w:jc w:val="center"/>
                    <w:rPr>
                      <w:szCs w:val="21"/>
                    </w:rPr>
                  </w:pPr>
                  <w:r>
                    <w:rPr>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restart"/>
                  <w:vAlign w:val="center"/>
                </w:tcPr>
                <w:p>
                  <w:pPr>
                    <w:jc w:val="center"/>
                    <w:rPr>
                      <w:szCs w:val="21"/>
                    </w:rPr>
                  </w:pPr>
                  <w:r>
                    <w:rPr>
                      <w:szCs w:val="21"/>
                    </w:rPr>
                    <w:t>D</w:t>
                  </w:r>
                </w:p>
              </w:tc>
              <w:tc>
                <w:tcPr>
                  <w:tcW w:w="1154" w:type="dxa"/>
                  <w:vAlign w:val="center"/>
                </w:tcPr>
                <w:p>
                  <w:pPr>
                    <w:jc w:val="center"/>
                    <w:rPr>
                      <w:szCs w:val="21"/>
                    </w:rPr>
                  </w:pPr>
                  <w:r>
                    <w:rPr>
                      <w:szCs w:val="21"/>
                    </w:rPr>
                    <w:t>&lt;2</w:t>
                  </w:r>
                </w:p>
              </w:tc>
              <w:tc>
                <w:tcPr>
                  <w:tcW w:w="2100" w:type="dxa"/>
                  <w:gridSpan w:val="3"/>
                  <w:vAlign w:val="center"/>
                </w:tcPr>
                <w:p>
                  <w:pPr>
                    <w:jc w:val="center"/>
                    <w:rPr>
                      <w:szCs w:val="21"/>
                    </w:rPr>
                  </w:pPr>
                  <w:r>
                    <w:rPr>
                      <w:szCs w:val="21"/>
                    </w:rPr>
                    <w:t>0.78</w:t>
                  </w:r>
                </w:p>
              </w:tc>
              <w:tc>
                <w:tcPr>
                  <w:tcW w:w="2100" w:type="dxa"/>
                  <w:gridSpan w:val="4"/>
                  <w:vAlign w:val="center"/>
                </w:tcPr>
                <w:p>
                  <w:pPr>
                    <w:jc w:val="center"/>
                    <w:rPr>
                      <w:szCs w:val="21"/>
                    </w:rPr>
                  </w:pPr>
                  <w:r>
                    <w:rPr>
                      <w:szCs w:val="21"/>
                    </w:rPr>
                    <w:t>0.78</w:t>
                  </w:r>
                </w:p>
              </w:tc>
              <w:tc>
                <w:tcPr>
                  <w:tcW w:w="2101" w:type="dxa"/>
                  <w:gridSpan w:val="4"/>
                  <w:vAlign w:val="center"/>
                </w:tcPr>
                <w:p>
                  <w:pPr>
                    <w:jc w:val="center"/>
                    <w:rPr>
                      <w:szCs w:val="21"/>
                    </w:rPr>
                  </w:pPr>
                  <w:r>
                    <w:rPr>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3" w:hRule="atLeast"/>
              </w:trPr>
              <w:tc>
                <w:tcPr>
                  <w:tcW w:w="915" w:type="dxa"/>
                  <w:vMerge w:val="continue"/>
                  <w:vAlign w:val="center"/>
                </w:tcPr>
                <w:p>
                  <w:pPr>
                    <w:jc w:val="center"/>
                    <w:rPr>
                      <w:szCs w:val="21"/>
                    </w:rPr>
                  </w:pPr>
                </w:p>
              </w:tc>
              <w:tc>
                <w:tcPr>
                  <w:tcW w:w="1154" w:type="dxa"/>
                  <w:vAlign w:val="center"/>
                </w:tcPr>
                <w:p>
                  <w:pPr>
                    <w:jc w:val="center"/>
                    <w:rPr>
                      <w:szCs w:val="21"/>
                    </w:rPr>
                  </w:pPr>
                  <w:r>
                    <w:rPr>
                      <w:szCs w:val="21"/>
                    </w:rPr>
                    <w:t>&gt;2</w:t>
                  </w:r>
                </w:p>
              </w:tc>
              <w:tc>
                <w:tcPr>
                  <w:tcW w:w="2100" w:type="dxa"/>
                  <w:gridSpan w:val="3"/>
                  <w:vAlign w:val="center"/>
                </w:tcPr>
                <w:p>
                  <w:pPr>
                    <w:jc w:val="center"/>
                    <w:rPr>
                      <w:szCs w:val="21"/>
                    </w:rPr>
                  </w:pPr>
                  <w:r>
                    <w:rPr>
                      <w:szCs w:val="21"/>
                    </w:rPr>
                    <w:t>0.84</w:t>
                  </w:r>
                </w:p>
              </w:tc>
              <w:tc>
                <w:tcPr>
                  <w:tcW w:w="2100" w:type="dxa"/>
                  <w:gridSpan w:val="4"/>
                  <w:vAlign w:val="center"/>
                </w:tcPr>
                <w:p>
                  <w:pPr>
                    <w:jc w:val="center"/>
                    <w:rPr>
                      <w:szCs w:val="21"/>
                    </w:rPr>
                  </w:pPr>
                  <w:r>
                    <w:rPr>
                      <w:szCs w:val="21"/>
                    </w:rPr>
                    <w:t>0.84</w:t>
                  </w:r>
                </w:p>
              </w:tc>
              <w:tc>
                <w:tcPr>
                  <w:tcW w:w="2101" w:type="dxa"/>
                  <w:gridSpan w:val="4"/>
                  <w:vAlign w:val="center"/>
                </w:tcPr>
                <w:p>
                  <w:pPr>
                    <w:jc w:val="center"/>
                    <w:rPr>
                      <w:szCs w:val="21"/>
                    </w:rPr>
                  </w:pPr>
                  <w:r>
                    <w:rPr>
                      <w:szCs w:val="21"/>
                    </w:rPr>
                    <w:t>0.76</w:t>
                  </w:r>
                </w:p>
              </w:tc>
            </w:tr>
          </w:tbl>
          <w:p>
            <w:pPr>
              <w:adjustRightInd w:val="0"/>
              <w:snapToGrid w:val="0"/>
              <w:ind w:firstLine="482" w:firstLineChars="200"/>
              <w:jc w:val="center"/>
              <w:textAlignment w:val="baseline"/>
              <w:rPr>
                <w:b/>
                <w:sz w:val="24"/>
              </w:rPr>
            </w:pPr>
            <w:r>
              <w:rPr>
                <w:b/>
                <w:sz w:val="24"/>
              </w:rPr>
              <w:t>表</w:t>
            </w:r>
            <w:r>
              <w:rPr>
                <w:rFonts w:hint="eastAsia"/>
                <w:b/>
                <w:sz w:val="24"/>
              </w:rPr>
              <w:t>4-</w:t>
            </w:r>
            <w:r>
              <w:rPr>
                <w:rFonts w:hint="eastAsia"/>
                <w:b/>
                <w:sz w:val="24"/>
                <w:lang w:val="en-US" w:eastAsia="zh-CN"/>
              </w:rPr>
              <w:t>9</w:t>
            </w:r>
            <w:r>
              <w:rPr>
                <w:b/>
                <w:sz w:val="24"/>
              </w:rPr>
              <w:t xml:space="preserve"> 卫生防护距离计算结果</w:t>
            </w:r>
          </w:p>
          <w:tbl>
            <w:tblPr>
              <w:tblStyle w:val="36"/>
              <w:tblW w:w="844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853"/>
              <w:gridCol w:w="559"/>
              <w:gridCol w:w="723"/>
              <w:gridCol w:w="613"/>
              <w:gridCol w:w="668"/>
              <w:gridCol w:w="723"/>
              <w:gridCol w:w="873"/>
              <w:gridCol w:w="978"/>
              <w:gridCol w:w="826"/>
              <w:gridCol w:w="5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127" w:type="dxa"/>
                  <w:vMerge w:val="restart"/>
                  <w:vAlign w:val="center"/>
                </w:tcPr>
                <w:p>
                  <w:pPr>
                    <w:adjustRightInd w:val="0"/>
                    <w:snapToGrid w:val="0"/>
                    <w:jc w:val="center"/>
                    <w:rPr>
                      <w:b/>
                      <w:bCs/>
                      <w:szCs w:val="21"/>
                    </w:rPr>
                  </w:pPr>
                  <w:r>
                    <w:rPr>
                      <w:b/>
                      <w:bCs/>
                      <w:szCs w:val="21"/>
                    </w:rPr>
                    <w:t>无组织</w:t>
                  </w:r>
                </w:p>
                <w:p>
                  <w:pPr>
                    <w:adjustRightInd w:val="0"/>
                    <w:snapToGrid w:val="0"/>
                    <w:jc w:val="center"/>
                    <w:rPr>
                      <w:b/>
                      <w:bCs/>
                      <w:szCs w:val="21"/>
                    </w:rPr>
                  </w:pPr>
                  <w:r>
                    <w:rPr>
                      <w:b/>
                      <w:bCs/>
                      <w:szCs w:val="21"/>
                    </w:rPr>
                    <w:t>排放源</w:t>
                  </w:r>
                </w:p>
              </w:tc>
              <w:tc>
                <w:tcPr>
                  <w:tcW w:w="853" w:type="dxa"/>
                  <w:vMerge w:val="restart"/>
                  <w:vAlign w:val="center"/>
                </w:tcPr>
                <w:p>
                  <w:pPr>
                    <w:adjustRightInd w:val="0"/>
                    <w:snapToGrid w:val="0"/>
                    <w:jc w:val="center"/>
                    <w:rPr>
                      <w:b/>
                      <w:bCs/>
                      <w:szCs w:val="21"/>
                    </w:rPr>
                  </w:pPr>
                  <w:r>
                    <w:rPr>
                      <w:b/>
                      <w:bCs/>
                      <w:szCs w:val="21"/>
                    </w:rPr>
                    <w:t>污染物</w:t>
                  </w:r>
                </w:p>
                <w:p>
                  <w:pPr>
                    <w:adjustRightInd w:val="0"/>
                    <w:snapToGrid w:val="0"/>
                    <w:jc w:val="center"/>
                    <w:rPr>
                      <w:b/>
                      <w:bCs/>
                      <w:szCs w:val="21"/>
                    </w:rPr>
                  </w:pPr>
                  <w:r>
                    <w:rPr>
                      <w:b/>
                      <w:bCs/>
                      <w:szCs w:val="21"/>
                    </w:rPr>
                    <w:t>名称</w:t>
                  </w:r>
                </w:p>
              </w:tc>
              <w:tc>
                <w:tcPr>
                  <w:tcW w:w="2563" w:type="dxa"/>
                  <w:gridSpan w:val="4"/>
                  <w:vAlign w:val="center"/>
                </w:tcPr>
                <w:p>
                  <w:pPr>
                    <w:adjustRightInd w:val="0"/>
                    <w:snapToGrid w:val="0"/>
                    <w:jc w:val="center"/>
                    <w:rPr>
                      <w:b/>
                      <w:bCs/>
                      <w:szCs w:val="21"/>
                    </w:rPr>
                  </w:pPr>
                  <w:r>
                    <w:rPr>
                      <w:b/>
                      <w:bCs/>
                      <w:szCs w:val="21"/>
                    </w:rPr>
                    <w:t>卫生防护距离计算系数</w:t>
                  </w:r>
                </w:p>
              </w:tc>
              <w:tc>
                <w:tcPr>
                  <w:tcW w:w="723" w:type="dxa"/>
                  <w:vMerge w:val="restart"/>
                  <w:vAlign w:val="center"/>
                </w:tcPr>
                <w:p>
                  <w:pPr>
                    <w:adjustRightInd w:val="0"/>
                    <w:snapToGrid w:val="0"/>
                    <w:jc w:val="center"/>
                    <w:rPr>
                      <w:b/>
                      <w:bCs/>
                      <w:szCs w:val="21"/>
                    </w:rPr>
                  </w:pPr>
                  <w:r>
                    <w:rPr>
                      <w:b/>
                      <w:bCs/>
                      <w:szCs w:val="21"/>
                    </w:rPr>
                    <w:t>S</w:t>
                  </w:r>
                </w:p>
                <w:p>
                  <w:pPr>
                    <w:adjustRightInd w:val="0"/>
                    <w:snapToGrid w:val="0"/>
                    <w:jc w:val="center"/>
                    <w:rPr>
                      <w:b/>
                      <w:bCs/>
                      <w:szCs w:val="21"/>
                    </w:rPr>
                  </w:pPr>
                  <w:r>
                    <w:rPr>
                      <w:b/>
                      <w:bCs/>
                      <w:szCs w:val="21"/>
                    </w:rPr>
                    <w:t>(m</w:t>
                  </w:r>
                  <w:r>
                    <w:rPr>
                      <w:b/>
                      <w:bCs/>
                      <w:szCs w:val="21"/>
                      <w:vertAlign w:val="superscript"/>
                    </w:rPr>
                    <w:t>2</w:t>
                  </w:r>
                  <w:r>
                    <w:rPr>
                      <w:b/>
                      <w:bCs/>
                      <w:szCs w:val="21"/>
                    </w:rPr>
                    <w:t>)</w:t>
                  </w:r>
                </w:p>
              </w:tc>
              <w:tc>
                <w:tcPr>
                  <w:tcW w:w="873" w:type="dxa"/>
                  <w:vMerge w:val="restart"/>
                  <w:vAlign w:val="center"/>
                </w:tcPr>
                <w:p>
                  <w:pPr>
                    <w:adjustRightInd w:val="0"/>
                    <w:snapToGrid w:val="0"/>
                    <w:jc w:val="center"/>
                    <w:rPr>
                      <w:b/>
                      <w:bCs/>
                      <w:szCs w:val="21"/>
                      <w:vertAlign w:val="subscript"/>
                    </w:rPr>
                  </w:pPr>
                  <w:r>
                    <w:rPr>
                      <w:b/>
                      <w:bCs/>
                      <w:szCs w:val="21"/>
                    </w:rPr>
                    <w:t>Q</w:t>
                  </w:r>
                  <w:r>
                    <w:rPr>
                      <w:b/>
                      <w:bCs/>
                      <w:szCs w:val="21"/>
                      <w:vertAlign w:val="subscript"/>
                    </w:rPr>
                    <w:t>c</w:t>
                  </w:r>
                </w:p>
                <w:p>
                  <w:pPr>
                    <w:adjustRightInd w:val="0"/>
                    <w:snapToGrid w:val="0"/>
                    <w:jc w:val="center"/>
                    <w:rPr>
                      <w:b/>
                      <w:bCs/>
                      <w:szCs w:val="21"/>
                    </w:rPr>
                  </w:pPr>
                  <w:r>
                    <w:rPr>
                      <w:b/>
                      <w:bCs/>
                      <w:szCs w:val="21"/>
                    </w:rPr>
                    <w:t>(kg/h)</w:t>
                  </w:r>
                </w:p>
              </w:tc>
              <w:tc>
                <w:tcPr>
                  <w:tcW w:w="978" w:type="dxa"/>
                  <w:vMerge w:val="restart"/>
                  <w:vAlign w:val="center"/>
                </w:tcPr>
                <w:p>
                  <w:pPr>
                    <w:adjustRightInd w:val="0"/>
                    <w:snapToGrid w:val="0"/>
                    <w:jc w:val="center"/>
                    <w:rPr>
                      <w:b/>
                      <w:bCs/>
                      <w:snapToGrid w:val="0"/>
                      <w:szCs w:val="21"/>
                    </w:rPr>
                  </w:pPr>
                  <w:r>
                    <w:rPr>
                      <w:b/>
                      <w:bCs/>
                      <w:snapToGrid w:val="0"/>
                      <w:szCs w:val="21"/>
                    </w:rPr>
                    <w:t>Cm</w:t>
                  </w:r>
                </w:p>
                <w:p>
                  <w:pPr>
                    <w:adjustRightInd w:val="0"/>
                    <w:snapToGrid w:val="0"/>
                    <w:jc w:val="center"/>
                    <w:rPr>
                      <w:b/>
                      <w:bCs/>
                      <w:snapToGrid w:val="0"/>
                      <w:szCs w:val="21"/>
                    </w:rPr>
                  </w:pPr>
                  <w:r>
                    <w:rPr>
                      <w:b/>
                      <w:bCs/>
                      <w:snapToGrid w:val="0"/>
                      <w:szCs w:val="21"/>
                    </w:rPr>
                    <w:t>(mg/m</w:t>
                  </w:r>
                  <w:r>
                    <w:rPr>
                      <w:b/>
                      <w:bCs/>
                      <w:snapToGrid w:val="0"/>
                      <w:szCs w:val="21"/>
                      <w:vertAlign w:val="superscript"/>
                    </w:rPr>
                    <w:t>3</w:t>
                  </w:r>
                  <w:r>
                    <w:rPr>
                      <w:b/>
                      <w:bCs/>
                      <w:snapToGrid w:val="0"/>
                      <w:szCs w:val="21"/>
                    </w:rPr>
                    <w:t>)</w:t>
                  </w:r>
                </w:p>
              </w:tc>
              <w:tc>
                <w:tcPr>
                  <w:tcW w:w="1331" w:type="dxa"/>
                  <w:gridSpan w:val="2"/>
                  <w:vAlign w:val="center"/>
                </w:tcPr>
                <w:p>
                  <w:pPr>
                    <w:adjustRightInd w:val="0"/>
                    <w:snapToGrid w:val="0"/>
                    <w:jc w:val="center"/>
                    <w:rPr>
                      <w:b/>
                      <w:bCs/>
                      <w:snapToGrid w:val="0"/>
                      <w:szCs w:val="21"/>
                    </w:rPr>
                  </w:pPr>
                  <w:r>
                    <w:rPr>
                      <w:b/>
                      <w:bCs/>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127" w:type="dxa"/>
                  <w:vMerge w:val="continue"/>
                  <w:vAlign w:val="center"/>
                </w:tcPr>
                <w:p>
                  <w:pPr>
                    <w:adjustRightInd w:val="0"/>
                    <w:snapToGrid w:val="0"/>
                    <w:jc w:val="center"/>
                    <w:rPr>
                      <w:b/>
                      <w:bCs/>
                      <w:szCs w:val="21"/>
                    </w:rPr>
                  </w:pPr>
                </w:p>
              </w:tc>
              <w:tc>
                <w:tcPr>
                  <w:tcW w:w="853" w:type="dxa"/>
                  <w:vMerge w:val="continue"/>
                  <w:vAlign w:val="center"/>
                </w:tcPr>
                <w:p>
                  <w:pPr>
                    <w:adjustRightInd w:val="0"/>
                    <w:snapToGrid w:val="0"/>
                    <w:jc w:val="center"/>
                    <w:rPr>
                      <w:b/>
                      <w:bCs/>
                      <w:szCs w:val="21"/>
                    </w:rPr>
                  </w:pPr>
                </w:p>
              </w:tc>
              <w:tc>
                <w:tcPr>
                  <w:tcW w:w="559" w:type="dxa"/>
                  <w:vAlign w:val="center"/>
                </w:tcPr>
                <w:p>
                  <w:pPr>
                    <w:adjustRightInd w:val="0"/>
                    <w:snapToGrid w:val="0"/>
                    <w:jc w:val="center"/>
                    <w:rPr>
                      <w:b/>
                      <w:bCs/>
                      <w:szCs w:val="21"/>
                    </w:rPr>
                  </w:pPr>
                  <w:r>
                    <w:rPr>
                      <w:b/>
                      <w:bCs/>
                      <w:szCs w:val="21"/>
                    </w:rPr>
                    <w:t>A</w:t>
                  </w:r>
                </w:p>
              </w:tc>
              <w:tc>
                <w:tcPr>
                  <w:tcW w:w="723" w:type="dxa"/>
                  <w:vAlign w:val="center"/>
                </w:tcPr>
                <w:p>
                  <w:pPr>
                    <w:adjustRightInd w:val="0"/>
                    <w:snapToGrid w:val="0"/>
                    <w:jc w:val="center"/>
                    <w:rPr>
                      <w:b/>
                      <w:bCs/>
                      <w:szCs w:val="21"/>
                    </w:rPr>
                  </w:pPr>
                  <w:r>
                    <w:rPr>
                      <w:b/>
                      <w:bCs/>
                      <w:szCs w:val="21"/>
                    </w:rPr>
                    <w:t>B</w:t>
                  </w:r>
                </w:p>
              </w:tc>
              <w:tc>
                <w:tcPr>
                  <w:tcW w:w="613" w:type="dxa"/>
                  <w:vAlign w:val="center"/>
                </w:tcPr>
                <w:p>
                  <w:pPr>
                    <w:adjustRightInd w:val="0"/>
                    <w:snapToGrid w:val="0"/>
                    <w:jc w:val="center"/>
                    <w:rPr>
                      <w:b/>
                      <w:bCs/>
                      <w:szCs w:val="21"/>
                    </w:rPr>
                  </w:pPr>
                  <w:r>
                    <w:rPr>
                      <w:b/>
                      <w:bCs/>
                      <w:szCs w:val="21"/>
                    </w:rPr>
                    <w:t>C</w:t>
                  </w:r>
                </w:p>
              </w:tc>
              <w:tc>
                <w:tcPr>
                  <w:tcW w:w="668" w:type="dxa"/>
                  <w:vAlign w:val="center"/>
                </w:tcPr>
                <w:p>
                  <w:pPr>
                    <w:adjustRightInd w:val="0"/>
                    <w:snapToGrid w:val="0"/>
                    <w:jc w:val="center"/>
                    <w:rPr>
                      <w:b/>
                      <w:bCs/>
                      <w:szCs w:val="21"/>
                    </w:rPr>
                  </w:pPr>
                  <w:r>
                    <w:rPr>
                      <w:b/>
                      <w:bCs/>
                      <w:szCs w:val="21"/>
                    </w:rPr>
                    <w:t>D</w:t>
                  </w:r>
                </w:p>
              </w:tc>
              <w:tc>
                <w:tcPr>
                  <w:tcW w:w="723" w:type="dxa"/>
                  <w:vMerge w:val="continue"/>
                  <w:vAlign w:val="center"/>
                </w:tcPr>
                <w:p>
                  <w:pPr>
                    <w:adjustRightInd w:val="0"/>
                    <w:snapToGrid w:val="0"/>
                    <w:jc w:val="center"/>
                    <w:rPr>
                      <w:b/>
                      <w:bCs/>
                      <w:szCs w:val="21"/>
                    </w:rPr>
                  </w:pPr>
                </w:p>
              </w:tc>
              <w:tc>
                <w:tcPr>
                  <w:tcW w:w="873" w:type="dxa"/>
                  <w:vMerge w:val="continue"/>
                  <w:vAlign w:val="center"/>
                </w:tcPr>
                <w:p>
                  <w:pPr>
                    <w:adjustRightInd w:val="0"/>
                    <w:snapToGrid w:val="0"/>
                    <w:jc w:val="center"/>
                    <w:rPr>
                      <w:b/>
                      <w:bCs/>
                      <w:szCs w:val="21"/>
                    </w:rPr>
                  </w:pPr>
                </w:p>
              </w:tc>
              <w:tc>
                <w:tcPr>
                  <w:tcW w:w="978" w:type="dxa"/>
                  <w:vMerge w:val="continue"/>
                  <w:vAlign w:val="center"/>
                </w:tcPr>
                <w:p>
                  <w:pPr>
                    <w:adjustRightInd w:val="0"/>
                    <w:snapToGrid w:val="0"/>
                    <w:jc w:val="center"/>
                    <w:rPr>
                      <w:b/>
                      <w:bCs/>
                      <w:snapToGrid w:val="0"/>
                      <w:szCs w:val="21"/>
                    </w:rPr>
                  </w:pPr>
                </w:p>
              </w:tc>
              <w:tc>
                <w:tcPr>
                  <w:tcW w:w="826" w:type="dxa"/>
                  <w:vAlign w:val="center"/>
                </w:tcPr>
                <w:p>
                  <w:pPr>
                    <w:adjustRightInd w:val="0"/>
                    <w:snapToGrid w:val="0"/>
                    <w:jc w:val="center"/>
                    <w:rPr>
                      <w:b/>
                      <w:bCs/>
                      <w:snapToGrid w:val="0"/>
                      <w:szCs w:val="21"/>
                    </w:rPr>
                  </w:pPr>
                  <w:r>
                    <w:rPr>
                      <w:b/>
                      <w:bCs/>
                      <w:snapToGrid w:val="0"/>
                      <w:szCs w:val="21"/>
                    </w:rPr>
                    <w:t>L</w:t>
                  </w:r>
                  <w:r>
                    <w:rPr>
                      <w:b/>
                      <w:bCs/>
                      <w:snapToGrid w:val="0"/>
                      <w:szCs w:val="21"/>
                      <w:vertAlign w:val="subscript"/>
                    </w:rPr>
                    <w:t>计</w:t>
                  </w:r>
                </w:p>
              </w:tc>
              <w:tc>
                <w:tcPr>
                  <w:tcW w:w="505" w:type="dxa"/>
                  <w:vAlign w:val="center"/>
                </w:tcPr>
                <w:p>
                  <w:pPr>
                    <w:adjustRightInd w:val="0"/>
                    <w:snapToGrid w:val="0"/>
                    <w:jc w:val="center"/>
                    <w:rPr>
                      <w:b/>
                      <w:bCs/>
                      <w:snapToGrid w:val="0"/>
                      <w:szCs w:val="21"/>
                    </w:rPr>
                  </w:pPr>
                  <w:r>
                    <w:rPr>
                      <w:b/>
                      <w:bCs/>
                      <w:snapToGrid w:val="0"/>
                      <w:szCs w:val="21"/>
                    </w:rPr>
                    <w:t>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127" w:type="dxa"/>
                  <w:vMerge w:val="restart"/>
                  <w:vAlign w:val="center"/>
                </w:tcPr>
                <w:p>
                  <w:pPr>
                    <w:adjustRightInd w:val="0"/>
                    <w:snapToGrid w:val="0"/>
                    <w:jc w:val="center"/>
                    <w:rPr>
                      <w:bCs/>
                      <w:color w:val="auto"/>
                      <w:szCs w:val="21"/>
                      <w:highlight w:val="none"/>
                    </w:rPr>
                  </w:pPr>
                  <w:r>
                    <w:rPr>
                      <w:color w:val="auto"/>
                      <w:szCs w:val="21"/>
                      <w:highlight w:val="none"/>
                    </w:rPr>
                    <w:t>生产车间</w:t>
                  </w:r>
                </w:p>
              </w:tc>
              <w:tc>
                <w:tcPr>
                  <w:tcW w:w="853"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VOCs</w:t>
                  </w:r>
                </w:p>
              </w:tc>
              <w:tc>
                <w:tcPr>
                  <w:tcW w:w="559" w:type="dxa"/>
                  <w:vAlign w:val="center"/>
                </w:tcPr>
                <w:p>
                  <w:pPr>
                    <w:adjustRightInd w:val="0"/>
                    <w:snapToGrid w:val="0"/>
                    <w:jc w:val="center"/>
                    <w:rPr>
                      <w:rFonts w:hint="default" w:eastAsia="宋体"/>
                      <w:bCs/>
                      <w:color w:val="auto"/>
                      <w:szCs w:val="21"/>
                      <w:highlight w:val="none"/>
                      <w:lang w:val="en-US" w:eastAsia="zh-CN"/>
                    </w:rPr>
                  </w:pPr>
                  <w:r>
                    <w:rPr>
                      <w:rFonts w:hint="eastAsia"/>
                      <w:bCs/>
                      <w:color w:val="auto"/>
                      <w:szCs w:val="21"/>
                      <w:highlight w:val="none"/>
                      <w:lang w:val="en-US" w:eastAsia="zh-CN"/>
                    </w:rPr>
                    <w:t>470</w:t>
                  </w:r>
                </w:p>
              </w:tc>
              <w:tc>
                <w:tcPr>
                  <w:tcW w:w="723" w:type="dxa"/>
                  <w:vAlign w:val="center"/>
                </w:tcPr>
                <w:p>
                  <w:pPr>
                    <w:adjustRightInd w:val="0"/>
                    <w:snapToGrid w:val="0"/>
                    <w:jc w:val="center"/>
                    <w:rPr>
                      <w:rFonts w:hint="default" w:eastAsia="宋体"/>
                      <w:bCs/>
                      <w:color w:val="auto"/>
                      <w:szCs w:val="21"/>
                      <w:highlight w:val="none"/>
                      <w:lang w:val="en-US" w:eastAsia="zh-CN"/>
                    </w:rPr>
                  </w:pPr>
                  <w:r>
                    <w:rPr>
                      <w:rFonts w:hint="eastAsia"/>
                      <w:bCs/>
                      <w:color w:val="auto"/>
                      <w:szCs w:val="21"/>
                      <w:highlight w:val="none"/>
                      <w:lang w:val="en-US" w:eastAsia="zh-CN"/>
                    </w:rPr>
                    <w:t>0.021</w:t>
                  </w:r>
                </w:p>
              </w:tc>
              <w:tc>
                <w:tcPr>
                  <w:tcW w:w="613" w:type="dxa"/>
                  <w:vAlign w:val="center"/>
                </w:tcPr>
                <w:p>
                  <w:pPr>
                    <w:adjustRightInd w:val="0"/>
                    <w:snapToGrid w:val="0"/>
                    <w:jc w:val="center"/>
                    <w:rPr>
                      <w:rFonts w:hint="default" w:eastAsia="宋体"/>
                      <w:bCs/>
                      <w:color w:val="auto"/>
                      <w:szCs w:val="21"/>
                      <w:highlight w:val="none"/>
                      <w:lang w:val="en-US" w:eastAsia="zh-CN"/>
                    </w:rPr>
                  </w:pPr>
                  <w:r>
                    <w:rPr>
                      <w:rFonts w:hint="eastAsia"/>
                      <w:bCs/>
                      <w:color w:val="auto"/>
                      <w:szCs w:val="21"/>
                      <w:highlight w:val="none"/>
                      <w:lang w:val="en-US" w:eastAsia="zh-CN"/>
                    </w:rPr>
                    <w:t>1.85</w:t>
                  </w:r>
                </w:p>
              </w:tc>
              <w:tc>
                <w:tcPr>
                  <w:tcW w:w="668" w:type="dxa"/>
                  <w:vAlign w:val="center"/>
                </w:tcPr>
                <w:p>
                  <w:pPr>
                    <w:adjustRightInd w:val="0"/>
                    <w:snapToGrid w:val="0"/>
                    <w:jc w:val="center"/>
                    <w:rPr>
                      <w:rFonts w:hint="default" w:eastAsia="宋体"/>
                      <w:bCs/>
                      <w:color w:val="auto"/>
                      <w:szCs w:val="21"/>
                      <w:highlight w:val="none"/>
                      <w:lang w:val="en-US" w:eastAsia="zh-CN"/>
                    </w:rPr>
                  </w:pPr>
                  <w:r>
                    <w:rPr>
                      <w:rFonts w:hint="eastAsia"/>
                      <w:bCs/>
                      <w:color w:val="auto"/>
                      <w:szCs w:val="21"/>
                      <w:highlight w:val="none"/>
                      <w:lang w:val="en-US" w:eastAsia="zh-CN"/>
                    </w:rPr>
                    <w:t>0.84</w:t>
                  </w:r>
                </w:p>
              </w:tc>
              <w:tc>
                <w:tcPr>
                  <w:tcW w:w="723" w:type="dxa"/>
                  <w:vAlign w:val="center"/>
                </w:tcPr>
                <w:p>
                  <w:pPr>
                    <w:adjustRightInd w:val="0"/>
                    <w:snapToGrid w:val="0"/>
                    <w:jc w:val="center"/>
                    <w:rPr>
                      <w:rFonts w:hint="default" w:eastAsia="宋体"/>
                      <w:bCs/>
                      <w:color w:val="auto"/>
                      <w:szCs w:val="21"/>
                      <w:highlight w:val="none"/>
                      <w:lang w:val="en-US" w:eastAsia="zh-CN"/>
                    </w:rPr>
                  </w:pPr>
                  <w:r>
                    <w:rPr>
                      <w:rFonts w:hint="eastAsia"/>
                      <w:bCs/>
                      <w:color w:val="auto"/>
                      <w:szCs w:val="21"/>
                      <w:highlight w:val="none"/>
                      <w:lang w:val="en-US" w:eastAsia="zh-CN"/>
                    </w:rPr>
                    <w:t>5630</w:t>
                  </w:r>
                </w:p>
              </w:tc>
              <w:tc>
                <w:tcPr>
                  <w:tcW w:w="873"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0.053</w:t>
                  </w:r>
                </w:p>
              </w:tc>
              <w:tc>
                <w:tcPr>
                  <w:tcW w:w="978"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10.6</w:t>
                  </w:r>
                </w:p>
              </w:tc>
              <w:tc>
                <w:tcPr>
                  <w:tcW w:w="826" w:type="dxa"/>
                  <w:vAlign w:val="center"/>
                </w:tcPr>
                <w:p>
                  <w:pPr>
                    <w:adjustRightInd w:val="0"/>
                    <w:snapToGrid w:val="0"/>
                    <w:jc w:val="center"/>
                    <w:rPr>
                      <w:rFonts w:hint="default" w:eastAsia="宋体"/>
                      <w:bCs/>
                      <w:snapToGrid w:val="0"/>
                      <w:color w:val="auto"/>
                      <w:szCs w:val="21"/>
                      <w:highlight w:val="none"/>
                      <w:lang w:val="en-US" w:eastAsia="zh-CN"/>
                    </w:rPr>
                  </w:pPr>
                  <w:r>
                    <w:rPr>
                      <w:rFonts w:hint="eastAsia"/>
                      <w:bCs/>
                      <w:snapToGrid w:val="0"/>
                      <w:color w:val="auto"/>
                      <w:szCs w:val="21"/>
                      <w:highlight w:val="none"/>
                      <w:lang w:val="en-US" w:eastAsia="zh-CN"/>
                    </w:rPr>
                    <w:t>0.532</w:t>
                  </w:r>
                </w:p>
              </w:tc>
              <w:tc>
                <w:tcPr>
                  <w:tcW w:w="505" w:type="dxa"/>
                  <w:vAlign w:val="center"/>
                </w:tcPr>
                <w:p>
                  <w:pPr>
                    <w:adjustRightInd w:val="0"/>
                    <w:snapToGrid w:val="0"/>
                    <w:jc w:val="center"/>
                    <w:rPr>
                      <w:bCs/>
                      <w:snapToGrid w:val="0"/>
                      <w:color w:val="auto"/>
                      <w:szCs w:val="21"/>
                      <w:highlight w:val="none"/>
                    </w:rPr>
                  </w:pPr>
                  <w:r>
                    <w:rPr>
                      <w:bCs/>
                      <w:snapToGrid w:val="0"/>
                      <w:color w:val="auto"/>
                      <w:szCs w:val="21"/>
                      <w:highlight w:val="none"/>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127" w:type="dxa"/>
                  <w:vMerge w:val="continue"/>
                  <w:vAlign w:val="center"/>
                </w:tcPr>
                <w:p>
                  <w:pPr>
                    <w:adjustRightInd w:val="0"/>
                    <w:snapToGrid w:val="0"/>
                    <w:jc w:val="center"/>
                    <w:rPr>
                      <w:color w:val="auto"/>
                      <w:szCs w:val="21"/>
                      <w:highlight w:val="none"/>
                    </w:rPr>
                  </w:pPr>
                </w:p>
              </w:tc>
              <w:tc>
                <w:tcPr>
                  <w:tcW w:w="853" w:type="dxa"/>
                  <w:vAlign w:val="center"/>
                </w:tcPr>
                <w:p>
                  <w:pPr>
                    <w:adjustRightInd w:val="0"/>
                    <w:snapToGrid w:val="0"/>
                    <w:jc w:val="center"/>
                    <w:rPr>
                      <w:rFonts w:hint="eastAsia" w:eastAsia="宋体"/>
                      <w:color w:val="auto"/>
                      <w:szCs w:val="21"/>
                      <w:highlight w:val="none"/>
                      <w:lang w:eastAsia="zh-CN"/>
                    </w:rPr>
                  </w:pPr>
                  <w:r>
                    <w:rPr>
                      <w:rFonts w:hint="eastAsia"/>
                      <w:color w:val="auto"/>
                      <w:szCs w:val="21"/>
                      <w:highlight w:val="none"/>
                      <w:lang w:eastAsia="zh-CN"/>
                    </w:rPr>
                    <w:t>颗粒物</w:t>
                  </w:r>
                </w:p>
              </w:tc>
              <w:tc>
                <w:tcPr>
                  <w:tcW w:w="559" w:type="dxa"/>
                  <w:vAlign w:val="center"/>
                </w:tcPr>
                <w:p>
                  <w:pPr>
                    <w:adjustRightInd w:val="0"/>
                    <w:snapToGrid w:val="0"/>
                    <w:jc w:val="center"/>
                    <w:rPr>
                      <w:rFonts w:hint="default" w:eastAsia="宋体"/>
                      <w:bCs/>
                      <w:color w:val="auto"/>
                      <w:szCs w:val="21"/>
                      <w:highlight w:val="none"/>
                      <w:lang w:val="en-US" w:eastAsia="zh-CN"/>
                    </w:rPr>
                  </w:pPr>
                  <w:r>
                    <w:rPr>
                      <w:rFonts w:hint="eastAsia"/>
                      <w:bCs/>
                      <w:color w:val="auto"/>
                      <w:szCs w:val="21"/>
                      <w:highlight w:val="none"/>
                      <w:lang w:val="en-US" w:eastAsia="zh-CN"/>
                    </w:rPr>
                    <w:t>470</w:t>
                  </w:r>
                </w:p>
              </w:tc>
              <w:tc>
                <w:tcPr>
                  <w:tcW w:w="723" w:type="dxa"/>
                  <w:vAlign w:val="center"/>
                </w:tcPr>
                <w:p>
                  <w:pPr>
                    <w:adjustRightInd w:val="0"/>
                    <w:snapToGrid w:val="0"/>
                    <w:jc w:val="center"/>
                    <w:rPr>
                      <w:rFonts w:hint="default" w:eastAsia="宋体"/>
                      <w:bCs/>
                      <w:color w:val="auto"/>
                      <w:szCs w:val="21"/>
                      <w:highlight w:val="none"/>
                      <w:lang w:val="en-US" w:eastAsia="zh-CN"/>
                    </w:rPr>
                  </w:pPr>
                  <w:r>
                    <w:rPr>
                      <w:rFonts w:hint="eastAsia"/>
                      <w:bCs/>
                      <w:color w:val="auto"/>
                      <w:szCs w:val="21"/>
                      <w:highlight w:val="none"/>
                      <w:lang w:val="en-US" w:eastAsia="zh-CN"/>
                    </w:rPr>
                    <w:t>0.021</w:t>
                  </w:r>
                </w:p>
              </w:tc>
              <w:tc>
                <w:tcPr>
                  <w:tcW w:w="613" w:type="dxa"/>
                  <w:vAlign w:val="center"/>
                </w:tcPr>
                <w:p>
                  <w:pPr>
                    <w:adjustRightInd w:val="0"/>
                    <w:snapToGrid w:val="0"/>
                    <w:jc w:val="center"/>
                    <w:rPr>
                      <w:rFonts w:hint="default" w:eastAsia="宋体"/>
                      <w:bCs/>
                      <w:color w:val="auto"/>
                      <w:szCs w:val="21"/>
                      <w:highlight w:val="none"/>
                      <w:lang w:val="en-US" w:eastAsia="zh-CN"/>
                    </w:rPr>
                  </w:pPr>
                  <w:r>
                    <w:rPr>
                      <w:rFonts w:hint="eastAsia"/>
                      <w:bCs/>
                      <w:color w:val="auto"/>
                      <w:szCs w:val="21"/>
                      <w:highlight w:val="none"/>
                      <w:lang w:val="en-US" w:eastAsia="zh-CN"/>
                    </w:rPr>
                    <w:t>1.85</w:t>
                  </w:r>
                </w:p>
              </w:tc>
              <w:tc>
                <w:tcPr>
                  <w:tcW w:w="668" w:type="dxa"/>
                  <w:vAlign w:val="center"/>
                </w:tcPr>
                <w:p>
                  <w:pPr>
                    <w:adjustRightInd w:val="0"/>
                    <w:snapToGrid w:val="0"/>
                    <w:jc w:val="center"/>
                    <w:rPr>
                      <w:rFonts w:hint="default" w:eastAsia="宋体"/>
                      <w:bCs/>
                      <w:color w:val="auto"/>
                      <w:szCs w:val="21"/>
                      <w:highlight w:val="none"/>
                      <w:lang w:val="en-US" w:eastAsia="zh-CN"/>
                    </w:rPr>
                  </w:pPr>
                  <w:r>
                    <w:rPr>
                      <w:rFonts w:hint="eastAsia"/>
                      <w:bCs/>
                      <w:color w:val="auto"/>
                      <w:szCs w:val="21"/>
                      <w:highlight w:val="none"/>
                      <w:lang w:val="en-US" w:eastAsia="zh-CN"/>
                    </w:rPr>
                    <w:t>0.84</w:t>
                  </w:r>
                </w:p>
              </w:tc>
              <w:tc>
                <w:tcPr>
                  <w:tcW w:w="723" w:type="dxa"/>
                  <w:vAlign w:val="center"/>
                </w:tcPr>
                <w:p>
                  <w:pPr>
                    <w:adjustRightInd w:val="0"/>
                    <w:snapToGrid w:val="0"/>
                    <w:jc w:val="center"/>
                    <w:rPr>
                      <w:rFonts w:hint="default" w:eastAsia="宋体"/>
                      <w:bCs/>
                      <w:color w:val="auto"/>
                      <w:szCs w:val="21"/>
                      <w:highlight w:val="none"/>
                      <w:lang w:val="en-US" w:eastAsia="zh-CN"/>
                    </w:rPr>
                  </w:pPr>
                  <w:r>
                    <w:rPr>
                      <w:rFonts w:hint="eastAsia"/>
                      <w:bCs/>
                      <w:color w:val="auto"/>
                      <w:szCs w:val="21"/>
                      <w:highlight w:val="none"/>
                      <w:lang w:val="en-US" w:eastAsia="zh-CN"/>
                    </w:rPr>
                    <w:t>5630</w:t>
                  </w:r>
                </w:p>
              </w:tc>
              <w:tc>
                <w:tcPr>
                  <w:tcW w:w="873"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0.036</w:t>
                  </w:r>
                </w:p>
              </w:tc>
              <w:tc>
                <w:tcPr>
                  <w:tcW w:w="978" w:type="dxa"/>
                  <w:vAlign w:val="center"/>
                </w:tcPr>
                <w:p>
                  <w:pPr>
                    <w:adjustRightInd w:val="0"/>
                    <w:snapToGrid w:val="0"/>
                    <w:jc w:val="center"/>
                    <w:rPr>
                      <w:rFonts w:hint="default"/>
                      <w:color w:val="auto"/>
                      <w:szCs w:val="21"/>
                      <w:highlight w:val="none"/>
                      <w:lang w:val="en-US" w:eastAsia="zh-CN"/>
                    </w:rPr>
                  </w:pPr>
                  <w:r>
                    <w:rPr>
                      <w:rFonts w:hint="eastAsia"/>
                      <w:color w:val="auto"/>
                      <w:szCs w:val="21"/>
                      <w:highlight w:val="none"/>
                      <w:lang w:val="en-US" w:eastAsia="zh-CN"/>
                    </w:rPr>
                    <w:t>7.2</w:t>
                  </w:r>
                </w:p>
              </w:tc>
              <w:tc>
                <w:tcPr>
                  <w:tcW w:w="826" w:type="dxa"/>
                  <w:vAlign w:val="center"/>
                </w:tcPr>
                <w:p>
                  <w:pPr>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0.868</w:t>
                  </w:r>
                </w:p>
              </w:tc>
              <w:tc>
                <w:tcPr>
                  <w:tcW w:w="505" w:type="dxa"/>
                  <w:vAlign w:val="center"/>
                </w:tcPr>
                <w:p>
                  <w:pPr>
                    <w:adjustRightInd w:val="0"/>
                    <w:snapToGrid w:val="0"/>
                    <w:jc w:val="center"/>
                    <w:rPr>
                      <w:rFonts w:hint="default" w:eastAsia="宋体"/>
                      <w:bCs/>
                      <w:snapToGrid w:val="0"/>
                      <w:color w:val="auto"/>
                      <w:szCs w:val="21"/>
                      <w:highlight w:val="none"/>
                      <w:lang w:val="en-US" w:eastAsia="zh-CN"/>
                    </w:rPr>
                  </w:pPr>
                  <w:r>
                    <w:rPr>
                      <w:rFonts w:hint="eastAsia"/>
                      <w:bCs/>
                      <w:snapToGrid w:val="0"/>
                      <w:color w:val="auto"/>
                      <w:szCs w:val="21"/>
                      <w:highlight w:val="none"/>
                      <w:lang w:val="en-US" w:eastAsia="zh-CN"/>
                    </w:rPr>
                    <w:t>50</w:t>
                  </w:r>
                </w:p>
              </w:tc>
            </w:tr>
          </w:tbl>
          <w:p>
            <w:pPr>
              <w:spacing w:line="360" w:lineRule="auto"/>
              <w:ind w:firstLine="480" w:firstLineChars="200"/>
              <w:rPr>
                <w:rFonts w:ascii="宋体" w:hAnsi="宋体" w:eastAsia="宋体" w:cs="宋体"/>
                <w:sz w:val="24"/>
                <w:szCs w:val="24"/>
              </w:rPr>
            </w:pPr>
            <w:r>
              <w:rPr>
                <w:rFonts w:hint="default" w:ascii="Times New Roman" w:hAnsi="Times New Roman" w:eastAsia="宋体" w:cs="Times New Roman"/>
                <w:sz w:val="24"/>
                <w:szCs w:val="24"/>
              </w:rPr>
              <w:t>根据以上计算结果和《大气有害物质无组织排放卫生防护距离推导技术导则》（GB/T 39499-2020）的规定，</w:t>
            </w:r>
            <w:r>
              <w:rPr>
                <w:rFonts w:hint="eastAsia"/>
                <w:kern w:val="0"/>
                <w:sz w:val="24"/>
              </w:rPr>
              <w:t>企业某生产单元的无组织排放存在多种特征大气有害物质时，如果分别推导出的卫生防护距离初值在同一级别时，则该企业的卫生防护距离终值应提高一级。</w:t>
            </w:r>
            <w:r>
              <w:rPr>
                <w:rFonts w:hint="default" w:ascii="Times New Roman" w:hAnsi="Times New Roman" w:eastAsia="宋体" w:cs="Times New Roman"/>
                <w:sz w:val="24"/>
                <w:szCs w:val="24"/>
              </w:rPr>
              <w:t>本项目需以生产车间四边界设置</w:t>
            </w:r>
            <w:r>
              <w:rPr>
                <w:rFonts w:hint="eastAsia" w:cs="Times New Roman"/>
                <w:sz w:val="24"/>
                <w:szCs w:val="24"/>
                <w:lang w:val="en-US" w:eastAsia="zh-CN"/>
              </w:rPr>
              <w:t>100m</w:t>
            </w:r>
            <w:r>
              <w:rPr>
                <w:rFonts w:hint="default" w:ascii="Times New Roman" w:hAnsi="Times New Roman" w:eastAsia="宋体" w:cs="Times New Roman"/>
                <w:sz w:val="24"/>
                <w:szCs w:val="24"/>
              </w:rPr>
              <w:t>卫生防护距离。目前该距离范围内无居民、</w:t>
            </w:r>
            <w:r>
              <w:rPr>
                <w:rFonts w:ascii="宋体" w:hAnsi="宋体" w:eastAsia="宋体" w:cs="宋体"/>
                <w:sz w:val="24"/>
                <w:szCs w:val="24"/>
              </w:rPr>
              <w:t>学校等敏感点，项目建成后，该范围内也不得建设类似敏感建筑。</w:t>
            </w:r>
          </w:p>
          <w:p>
            <w:pPr>
              <w:spacing w:line="360" w:lineRule="auto"/>
              <w:ind w:firstLine="480" w:firstLineChars="200"/>
              <w:rPr>
                <w:bCs/>
                <w:sz w:val="24"/>
                <w:szCs w:val="22"/>
              </w:rPr>
            </w:pPr>
            <w:r>
              <w:rPr>
                <w:bCs/>
                <w:sz w:val="24"/>
                <w:szCs w:val="22"/>
              </w:rPr>
              <w:t>综上所述，本项目对周围大气环境影响可接受。</w:t>
            </w:r>
          </w:p>
          <w:p>
            <w:pPr>
              <w:spacing w:line="360" w:lineRule="auto"/>
              <w:ind w:firstLine="482" w:firstLineChars="200"/>
              <w:rPr>
                <w:b/>
                <w:sz w:val="24"/>
                <w:szCs w:val="21"/>
              </w:rPr>
            </w:pPr>
            <w:r>
              <w:rPr>
                <w:rFonts w:hint="eastAsia"/>
                <w:b/>
                <w:sz w:val="24"/>
                <w:szCs w:val="21"/>
              </w:rPr>
              <w:t>2、废水</w:t>
            </w:r>
          </w:p>
          <w:p>
            <w:pPr>
              <w:spacing w:line="360" w:lineRule="auto"/>
              <w:ind w:firstLine="482" w:firstLineChars="200"/>
              <w:rPr>
                <w:b/>
                <w:bCs/>
                <w:sz w:val="24"/>
              </w:rPr>
            </w:pPr>
            <w:r>
              <w:rPr>
                <w:rFonts w:hint="eastAsia"/>
                <w:b/>
                <w:bCs/>
                <w:sz w:val="24"/>
              </w:rPr>
              <w:t>2</w:t>
            </w:r>
            <w:r>
              <w:rPr>
                <w:b/>
                <w:bCs/>
                <w:sz w:val="24"/>
              </w:rPr>
              <w:t>.1</w:t>
            </w:r>
            <w:r>
              <w:rPr>
                <w:rFonts w:hint="eastAsia"/>
                <w:b/>
                <w:bCs/>
                <w:sz w:val="24"/>
              </w:rPr>
              <w:t>废水产排情况</w:t>
            </w:r>
          </w:p>
          <w:p>
            <w:pPr>
              <w:spacing w:line="360" w:lineRule="auto"/>
              <w:ind w:firstLine="480" w:firstLineChars="200"/>
              <w:rPr>
                <w:sz w:val="24"/>
              </w:rPr>
            </w:pPr>
            <w:r>
              <w:rPr>
                <w:rFonts w:hint="eastAsia"/>
                <w:sz w:val="24"/>
              </w:rPr>
              <w:t>（1）用水</w:t>
            </w:r>
            <w:r>
              <w:rPr>
                <w:sz w:val="24"/>
              </w:rPr>
              <w:t>量估算</w:t>
            </w:r>
          </w:p>
          <w:p>
            <w:pPr>
              <w:adjustRightInd w:val="0"/>
              <w:snapToGrid w:val="0"/>
              <w:spacing w:line="360" w:lineRule="auto"/>
              <w:ind w:firstLine="480" w:firstLineChars="200"/>
              <w:rPr>
                <w:sz w:val="24"/>
              </w:rPr>
            </w:pPr>
            <w:r>
              <w:rPr>
                <w:rFonts w:hint="eastAsia"/>
                <w:sz w:val="24"/>
              </w:rPr>
              <w:t>本</w:t>
            </w:r>
            <w:r>
              <w:rPr>
                <w:sz w:val="24"/>
              </w:rPr>
              <w:t>项目营运期用水环节主要为职工生活用水、</w:t>
            </w:r>
            <w:r>
              <w:rPr>
                <w:rFonts w:hint="eastAsia"/>
                <w:sz w:val="24"/>
                <w:lang w:eastAsia="zh-CN"/>
              </w:rPr>
              <w:t>磨边、清洗废水</w:t>
            </w:r>
            <w:r>
              <w:rPr>
                <w:sz w:val="24"/>
              </w:rPr>
              <w:t>。</w:t>
            </w:r>
          </w:p>
          <w:p>
            <w:pPr>
              <w:adjustRightInd w:val="0"/>
              <w:snapToGrid w:val="0"/>
              <w:spacing w:line="360" w:lineRule="auto"/>
              <w:ind w:firstLine="480" w:firstLineChars="200"/>
              <w:rPr>
                <w:sz w:val="24"/>
              </w:rPr>
            </w:pPr>
            <w:r>
              <w:rPr>
                <w:sz w:val="24"/>
              </w:rPr>
              <w:t xml:space="preserve">（1）职工生活污水  </w:t>
            </w:r>
          </w:p>
          <w:p>
            <w:pPr>
              <w:adjustRightInd w:val="0"/>
              <w:snapToGrid w:val="0"/>
              <w:spacing w:line="360" w:lineRule="auto"/>
              <w:ind w:firstLine="480" w:firstLineChars="200"/>
              <w:rPr>
                <w:sz w:val="24"/>
              </w:rPr>
            </w:pPr>
            <w:r>
              <w:rPr>
                <w:sz w:val="24"/>
              </w:rPr>
              <w:t>项目劳动定员</w:t>
            </w:r>
            <w:r>
              <w:rPr>
                <w:rFonts w:hint="eastAsia"/>
                <w:sz w:val="24"/>
                <w:lang w:val="en-US" w:eastAsia="zh-CN"/>
              </w:rPr>
              <w:t>100</w:t>
            </w:r>
            <w:r>
              <w:rPr>
                <w:sz w:val="24"/>
              </w:rPr>
              <w:t>人，年工作300天，根据《江苏省城市生活与公共用水定额(2016年修订)》，用水量以50L/人·天计算，则生活用水量为</w:t>
            </w:r>
            <w:r>
              <w:rPr>
                <w:rFonts w:hint="eastAsia"/>
                <w:sz w:val="24"/>
                <w:lang w:val="en-US" w:eastAsia="zh-CN"/>
              </w:rPr>
              <w:t>1500</w:t>
            </w:r>
            <w:r>
              <w:rPr>
                <w:sz w:val="24"/>
              </w:rPr>
              <w:t>t/a，排污系数按照80%计算，则废水排放量为</w:t>
            </w:r>
            <w:r>
              <w:rPr>
                <w:rFonts w:hint="eastAsia"/>
                <w:sz w:val="24"/>
                <w:lang w:val="en-US" w:eastAsia="zh-CN"/>
              </w:rPr>
              <w:t>1200t</w:t>
            </w:r>
            <w:r>
              <w:rPr>
                <w:sz w:val="24"/>
              </w:rPr>
              <w:t>/a，主要污染物为COD、氨氮、SS、TP。生活污水经化粪池预处理后排入市政污水管网，接入</w:t>
            </w:r>
            <w:r>
              <w:rPr>
                <w:rFonts w:hint="eastAsia"/>
                <w:sz w:val="24"/>
                <w:lang w:eastAsia="zh-CN"/>
              </w:rPr>
              <w:t>城市污水处理厂</w:t>
            </w:r>
            <w:r>
              <w:rPr>
                <w:sz w:val="24"/>
              </w:rPr>
              <w:t>集中处理。</w:t>
            </w:r>
          </w:p>
          <w:p>
            <w:pPr>
              <w:adjustRightInd w:val="0"/>
              <w:snapToGrid w:val="0"/>
              <w:spacing w:line="360" w:lineRule="auto"/>
              <w:ind w:firstLine="480" w:firstLineChars="200"/>
              <w:rPr>
                <w:rFonts w:hint="eastAsia" w:eastAsia="宋体"/>
                <w:sz w:val="24"/>
                <w:lang w:eastAsia="zh-CN"/>
              </w:rPr>
            </w:pPr>
            <w:r>
              <w:rPr>
                <w:sz w:val="24"/>
              </w:rPr>
              <w:t>（2）</w:t>
            </w:r>
            <w:r>
              <w:rPr>
                <w:rFonts w:hint="eastAsia"/>
                <w:sz w:val="24"/>
                <w:lang w:eastAsia="zh-CN"/>
              </w:rPr>
              <w:t>磨边、清洗废水</w:t>
            </w:r>
          </w:p>
          <w:p>
            <w:pPr>
              <w:adjustRightInd w:val="0"/>
              <w:snapToGrid w:val="0"/>
              <w:spacing w:line="360" w:lineRule="auto"/>
              <w:ind w:firstLine="480" w:firstLineChars="200"/>
              <w:rPr>
                <w:sz w:val="24"/>
              </w:rPr>
            </w:pPr>
            <w:r>
              <w:rPr>
                <w:rFonts w:hint="eastAsia"/>
                <w:sz w:val="24"/>
                <w:lang w:eastAsia="zh-CN"/>
              </w:rPr>
              <w:t>本项目磨边、清洗工序采用自来水清洗，产生废水经厂内水处理系统（混凝沉淀）处理后循环使用，由于蒸发、损耗等原因，企业需定期补充新鲜自来水，补</w:t>
            </w:r>
            <w:r>
              <w:rPr>
                <w:rFonts w:hint="eastAsia"/>
                <w:sz w:val="24"/>
                <w:highlight w:val="none"/>
                <w:lang w:eastAsia="zh-CN"/>
              </w:rPr>
              <w:t>充量为</w:t>
            </w:r>
            <w:r>
              <w:rPr>
                <w:rFonts w:hint="eastAsia"/>
                <w:sz w:val="24"/>
                <w:highlight w:val="none"/>
                <w:lang w:val="en-US" w:eastAsia="zh-CN"/>
              </w:rPr>
              <w:t>1300t/a</w:t>
            </w:r>
            <w:r>
              <w:rPr>
                <w:sz w:val="24"/>
                <w:highlight w:val="none"/>
              </w:rPr>
              <w:t>。</w:t>
            </w:r>
          </w:p>
          <w:p>
            <w:pPr>
              <w:adjustRightInd w:val="0"/>
              <w:snapToGrid w:val="0"/>
              <w:spacing w:line="360" w:lineRule="auto"/>
              <w:ind w:firstLine="480" w:firstLineChars="200"/>
              <w:rPr>
                <w:sz w:val="24"/>
              </w:rPr>
            </w:pPr>
            <w:r>
              <w:rPr>
                <w:sz w:val="24"/>
              </w:rPr>
              <w:t>项目水平衡见下图</w:t>
            </w:r>
            <w:r>
              <w:rPr>
                <w:rFonts w:hint="eastAsia"/>
                <w:sz w:val="24"/>
                <w:lang w:val="en-US" w:eastAsia="zh-CN"/>
              </w:rPr>
              <w:t>4</w:t>
            </w:r>
            <w:r>
              <w:rPr>
                <w:sz w:val="24"/>
              </w:rPr>
              <w:t>-</w:t>
            </w:r>
            <w:r>
              <w:rPr>
                <w:rFonts w:hint="eastAsia"/>
                <w:sz w:val="24"/>
                <w:lang w:val="en-US" w:eastAsia="zh-CN"/>
              </w:rPr>
              <w:t>10</w:t>
            </w:r>
            <w:r>
              <w:rPr>
                <w:sz w:val="24"/>
              </w:rPr>
              <w:t>。</w:t>
            </w:r>
          </w:p>
          <w:p>
            <w:pPr>
              <w:rPr>
                <w:b/>
                <w:sz w:val="24"/>
              </w:rPr>
            </w:pPr>
            <w:r>
              <mc:AlternateContent>
                <mc:Choice Requires="wpc">
                  <w:drawing>
                    <wp:inline distT="0" distB="0" distL="114300" distR="114300">
                      <wp:extent cx="5738495" cy="1997710"/>
                      <wp:effectExtent l="0" t="0" r="0" b="0"/>
                      <wp:docPr id="216" name="画布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7" name="矩形 187"/>
                              <wps:cNvSpPr/>
                              <wps:spPr>
                                <a:xfrm>
                                  <a:off x="1503846" y="439987"/>
                                  <a:ext cx="818606" cy="2810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hAnsi="宋体"/>
                                        <w:szCs w:val="21"/>
                                      </w:rPr>
                                    </w:pPr>
                                    <w:r>
                                      <w:rPr>
                                        <w:rFonts w:hint="eastAsia" w:ascii="宋体" w:hAnsi="宋体"/>
                                        <w:szCs w:val="21"/>
                                      </w:rPr>
                                      <w:t>生活用水水</w:t>
                                    </w:r>
                                  </w:p>
                                </w:txbxContent>
                              </wps:txbx>
                              <wps:bodyPr upright="1"/>
                            </wps:wsp>
                            <wps:wsp>
                              <wps:cNvPr id="188" name="文本框 188"/>
                              <wps:cNvSpPr txBox="1"/>
                              <wps:spPr>
                                <a:xfrm>
                                  <a:off x="129554" y="776335"/>
                                  <a:ext cx="621099" cy="214271"/>
                                </a:xfrm>
                                <a:prstGeom prst="rect">
                                  <a:avLst/>
                                </a:prstGeom>
                                <a:noFill/>
                                <a:ln>
                                  <a:noFill/>
                                </a:ln>
                              </wps:spPr>
                              <wps:txbx>
                                <w:txbxContent>
                                  <w:p>
                                    <w:pPr>
                                      <w:adjustRightInd w:val="0"/>
                                      <w:snapToGrid w:val="0"/>
                                      <w:jc w:val="center"/>
                                      <w:rPr>
                                        <w:rFonts w:ascii="宋体" w:hAnsi="宋体"/>
                                        <w:szCs w:val="21"/>
                                      </w:rPr>
                                    </w:pPr>
                                    <w:r>
                                      <w:rPr>
                                        <w:rFonts w:hint="eastAsia" w:ascii="宋体" w:hAnsi="宋体"/>
                                        <w:szCs w:val="21"/>
                                      </w:rPr>
                                      <w:t>自来水</w:t>
                                    </w:r>
                                  </w:p>
                                </w:txbxContent>
                              </wps:txbx>
                              <wps:bodyPr lIns="0" tIns="0" rIns="0" bIns="0" upright="1"/>
                            </wps:wsp>
                            <wps:wsp>
                              <wps:cNvPr id="189" name="直接连接符 189"/>
                              <wps:cNvCnPr/>
                              <wps:spPr>
                                <a:xfrm flipV="1">
                                  <a:off x="1122804" y="599578"/>
                                  <a:ext cx="358180" cy="5087"/>
                                </a:xfrm>
                                <a:prstGeom prst="line">
                                  <a:avLst/>
                                </a:prstGeom>
                                <a:ln w="9525" cap="flat" cmpd="sng">
                                  <a:solidFill>
                                    <a:srgbClr val="000000"/>
                                  </a:solidFill>
                                  <a:prstDash val="solid"/>
                                  <a:headEnd type="none" w="med" len="med"/>
                                  <a:tailEnd type="triangle" w="med" len="med"/>
                                </a:ln>
                              </wps:spPr>
                              <wps:bodyPr/>
                            </wps:wsp>
                            <wps:wsp>
                              <wps:cNvPr id="190" name="任意多边形 190"/>
                              <wps:cNvSpPr/>
                              <wps:spPr>
                                <a:xfrm>
                                  <a:off x="1629590" y="246062"/>
                                  <a:ext cx="196872" cy="163406"/>
                                </a:xfrm>
                                <a:custGeom>
                                  <a:avLst/>
                                  <a:gdLst/>
                                  <a:ahLst/>
                                  <a:cxnLst/>
                                  <a:rect l="0" t="0" r="0" b="0"/>
                                  <a:pathLst>
                                    <a:path w="474" h="460">
                                      <a:moveTo>
                                        <a:pt x="0" y="460"/>
                                      </a:moveTo>
                                      <a:cubicBezTo>
                                        <a:pt x="26" y="359"/>
                                        <a:pt x="37" y="271"/>
                                        <a:pt x="93" y="239"/>
                                      </a:cubicBezTo>
                                      <a:cubicBezTo>
                                        <a:pt x="149" y="207"/>
                                        <a:pt x="270" y="306"/>
                                        <a:pt x="333" y="266"/>
                                      </a:cubicBezTo>
                                      <a:cubicBezTo>
                                        <a:pt x="396" y="226"/>
                                        <a:pt x="445" y="56"/>
                                        <a:pt x="474" y="0"/>
                                      </a:cubicBezTo>
                                    </a:path>
                                  </a:pathLst>
                                </a:custGeom>
                                <a:noFill/>
                                <a:ln w="9525" cap="flat" cmpd="sng">
                                  <a:solidFill>
                                    <a:srgbClr val="000000"/>
                                  </a:solidFill>
                                  <a:prstDash val="dash"/>
                                  <a:headEnd type="none" w="med" len="med"/>
                                  <a:tailEnd type="triangle" w="med" len="med"/>
                                </a:ln>
                              </wps:spPr>
                              <wps:bodyPr upright="1"/>
                            </wps:wsp>
                            <wps:wsp>
                              <wps:cNvPr id="191" name="文本框 191"/>
                              <wps:cNvSpPr txBox="1"/>
                              <wps:spPr>
                                <a:xfrm>
                                  <a:off x="1520358" y="80113"/>
                                  <a:ext cx="853534" cy="216814"/>
                                </a:xfrm>
                                <a:prstGeom prst="rect">
                                  <a:avLst/>
                                </a:prstGeom>
                                <a:noFill/>
                                <a:ln>
                                  <a:noFill/>
                                </a:ln>
                              </wps:spPr>
                              <wps:txbx>
                                <w:txbxContent>
                                  <w:p>
                                    <w:pPr>
                                      <w:adjustRightInd w:val="0"/>
                                      <w:snapToGrid w:val="0"/>
                                      <w:jc w:val="center"/>
                                      <w:rPr>
                                        <w:rFonts w:hint="default" w:eastAsia="宋体"/>
                                        <w:szCs w:val="21"/>
                                        <w:lang w:val="en-US" w:eastAsia="zh-CN"/>
                                      </w:rPr>
                                    </w:pPr>
                                    <w:r>
                                      <w:rPr>
                                        <w:szCs w:val="21"/>
                                      </w:rPr>
                                      <w:t>损耗</w:t>
                                    </w:r>
                                    <w:r>
                                      <w:rPr>
                                        <w:rFonts w:hint="eastAsia"/>
                                        <w:szCs w:val="21"/>
                                        <w:lang w:val="en-US" w:eastAsia="zh-CN"/>
                                      </w:rPr>
                                      <w:t>300</w:t>
                                    </w:r>
                                  </w:p>
                                </w:txbxContent>
                              </wps:txbx>
                              <wps:bodyPr lIns="0" tIns="0" rIns="0" bIns="0" upright="1"/>
                            </wps:wsp>
                            <wps:wsp>
                              <wps:cNvPr id="192" name="文本框 192"/>
                              <wps:cNvSpPr txBox="1"/>
                              <wps:spPr>
                                <a:xfrm>
                                  <a:off x="2221476" y="357330"/>
                                  <a:ext cx="534094" cy="161498"/>
                                </a:xfrm>
                                <a:prstGeom prst="rect">
                                  <a:avLst/>
                                </a:prstGeom>
                                <a:noFill/>
                                <a:ln>
                                  <a:noFill/>
                                </a:ln>
                              </wps:spPr>
                              <wps:txbx>
                                <w:txbxContent>
                                  <w:p>
                                    <w:pPr>
                                      <w:adjustRightInd w:val="0"/>
                                      <w:snapToGrid w:val="0"/>
                                      <w:jc w:val="center"/>
                                      <w:rPr>
                                        <w:rFonts w:hint="default" w:eastAsia="宋体"/>
                                        <w:szCs w:val="21"/>
                                        <w:lang w:val="en-US" w:eastAsia="zh-CN"/>
                                      </w:rPr>
                                    </w:pPr>
                                    <w:r>
                                      <w:rPr>
                                        <w:rFonts w:hint="eastAsia"/>
                                        <w:szCs w:val="21"/>
                                        <w:lang w:val="en-US" w:eastAsia="zh-CN"/>
                                      </w:rPr>
                                      <w:t>1200</w:t>
                                    </w:r>
                                  </w:p>
                                </w:txbxContent>
                              </wps:txbx>
                              <wps:bodyPr lIns="0" tIns="0" rIns="0" bIns="0" upright="1"/>
                            </wps:wsp>
                            <wps:wsp>
                              <wps:cNvPr id="193" name="矩形 193"/>
                              <wps:cNvSpPr/>
                              <wps:spPr>
                                <a:xfrm>
                                  <a:off x="2678091" y="441894"/>
                                  <a:ext cx="616018" cy="2810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Wingdings" w:hAnsi="Wingdings"/>
                                        <w:szCs w:val="21"/>
                                      </w:rPr>
                                    </w:pPr>
                                    <w:r>
                                      <w:rPr>
                                        <w:rFonts w:hint="eastAsia" w:ascii="宋体" w:hAnsi="宋体"/>
                                        <w:szCs w:val="21"/>
                                      </w:rPr>
                                      <w:t>化粪池</w:t>
                                    </w:r>
                                    <w:r>
                                      <w:rPr>
                                        <w:rFonts w:ascii="Wingdings" w:hAnsi="Wingdings"/>
                                        <w:szCs w:val="21"/>
                                      </w:rPr>
                                      <w:t>池活用水</w:t>
                                    </w:r>
                                  </w:p>
                                </w:txbxContent>
                              </wps:txbx>
                              <wps:bodyPr upright="1"/>
                            </wps:wsp>
                            <wps:wsp>
                              <wps:cNvPr id="194" name="直接连接符 194"/>
                              <wps:cNvCnPr/>
                              <wps:spPr>
                                <a:xfrm flipV="1">
                                  <a:off x="3299825" y="579231"/>
                                  <a:ext cx="339128" cy="636"/>
                                </a:xfrm>
                                <a:prstGeom prst="line">
                                  <a:avLst/>
                                </a:prstGeom>
                                <a:ln w="9525" cap="flat" cmpd="sng">
                                  <a:solidFill>
                                    <a:srgbClr val="000000"/>
                                  </a:solidFill>
                                  <a:prstDash val="solid"/>
                                  <a:headEnd type="none" w="med" len="med"/>
                                  <a:tailEnd type="triangle" w="med" len="med"/>
                                </a:ln>
                              </wps:spPr>
                              <wps:bodyPr/>
                            </wps:wsp>
                            <wps:wsp>
                              <wps:cNvPr id="195" name="直接连接符 195"/>
                              <wps:cNvCnPr/>
                              <wps:spPr>
                                <a:xfrm>
                                  <a:off x="2335153" y="579231"/>
                                  <a:ext cx="352464" cy="636"/>
                                </a:xfrm>
                                <a:prstGeom prst="line">
                                  <a:avLst/>
                                </a:prstGeom>
                                <a:ln w="9525" cap="flat" cmpd="sng">
                                  <a:solidFill>
                                    <a:srgbClr val="000000"/>
                                  </a:solidFill>
                                  <a:prstDash val="solid"/>
                                  <a:headEnd type="none" w="med" len="med"/>
                                  <a:tailEnd type="triangle" w="med" len="med"/>
                                </a:ln>
                              </wps:spPr>
                              <wps:bodyPr/>
                            </wps:wsp>
                            <wps:wsp>
                              <wps:cNvPr id="196" name="文本框 196"/>
                              <wps:cNvSpPr txBox="1"/>
                              <wps:spPr>
                                <a:xfrm>
                                  <a:off x="1075809" y="386578"/>
                                  <a:ext cx="413431" cy="161498"/>
                                </a:xfrm>
                                <a:prstGeom prst="rect">
                                  <a:avLst/>
                                </a:prstGeom>
                                <a:noFill/>
                                <a:ln>
                                  <a:noFill/>
                                </a:ln>
                              </wps:spPr>
                              <wps:txbx>
                                <w:txbxContent>
                                  <w:p>
                                    <w:pPr>
                                      <w:adjustRightInd w:val="0"/>
                                      <w:snapToGrid w:val="0"/>
                                      <w:jc w:val="center"/>
                                      <w:rPr>
                                        <w:rFonts w:hint="default" w:eastAsia="宋体"/>
                                        <w:szCs w:val="21"/>
                                        <w:lang w:val="en-US" w:eastAsia="zh-CN"/>
                                      </w:rPr>
                                    </w:pPr>
                                    <w:r>
                                      <w:rPr>
                                        <w:rFonts w:hint="eastAsia"/>
                                        <w:szCs w:val="21"/>
                                        <w:lang w:val="en-US" w:eastAsia="zh-CN"/>
                                      </w:rPr>
                                      <w:t>1500</w:t>
                                    </w:r>
                                  </w:p>
                                </w:txbxContent>
                              </wps:txbx>
                              <wps:bodyPr lIns="0" tIns="0" rIns="0" bIns="0" upright="1"/>
                            </wps:wsp>
                            <wps:wsp>
                              <wps:cNvPr id="197" name="文本框 197"/>
                              <wps:cNvSpPr txBox="1"/>
                              <wps:spPr>
                                <a:xfrm>
                                  <a:off x="3670071" y="453975"/>
                                  <a:ext cx="1947125" cy="274038"/>
                                </a:xfrm>
                                <a:prstGeom prst="rect">
                                  <a:avLst/>
                                </a:prstGeom>
                                <a:noFill/>
                                <a:ln>
                                  <a:noFill/>
                                </a:ln>
                              </wps:spPr>
                              <wps:txbx>
                                <w:txbxContent>
                                  <w:p>
                                    <w:pPr>
                                      <w:rPr>
                                        <w:rFonts w:hint="eastAsia" w:eastAsia="宋体"/>
                                        <w:szCs w:val="21"/>
                                        <w:lang w:eastAsia="zh-CN"/>
                                      </w:rPr>
                                    </w:pPr>
                                    <w:r>
                                      <w:rPr>
                                        <w:rFonts w:hint="eastAsia" w:ascii="宋体" w:hAnsi="宋体" w:cs="宋体"/>
                                        <w:szCs w:val="21"/>
                                        <w:lang w:eastAsia="zh-CN"/>
                                      </w:rPr>
                                      <w:t>城市污水处理厂</w:t>
                                    </w:r>
                                  </w:p>
                                </w:txbxContent>
                              </wps:txbx>
                              <wps:bodyPr lIns="0" tIns="0" rIns="0" bIns="0" upright="1"/>
                            </wps:wsp>
                            <wps:wsp>
                              <wps:cNvPr id="198" name="文本框 198"/>
                              <wps:cNvSpPr txBox="1"/>
                              <wps:spPr>
                                <a:xfrm>
                                  <a:off x="3208375" y="357330"/>
                                  <a:ext cx="533459" cy="152597"/>
                                </a:xfrm>
                                <a:prstGeom prst="rect">
                                  <a:avLst/>
                                </a:prstGeom>
                                <a:noFill/>
                                <a:ln>
                                  <a:noFill/>
                                </a:ln>
                              </wps:spPr>
                              <wps:txbx>
                                <w:txbxContent>
                                  <w:p>
                                    <w:pPr>
                                      <w:adjustRightInd w:val="0"/>
                                      <w:snapToGrid w:val="0"/>
                                      <w:jc w:val="center"/>
                                      <w:rPr>
                                        <w:rFonts w:hint="default" w:eastAsia="宋体"/>
                                        <w:szCs w:val="21"/>
                                        <w:lang w:val="en-US" w:eastAsia="zh-CN"/>
                                      </w:rPr>
                                    </w:pPr>
                                    <w:r>
                                      <w:rPr>
                                        <w:rFonts w:hint="eastAsia"/>
                                        <w:szCs w:val="21"/>
                                        <w:lang w:val="en-US" w:eastAsia="zh-CN"/>
                                      </w:rPr>
                                      <w:t>1200</w:t>
                                    </w:r>
                                  </w:p>
                                </w:txbxContent>
                              </wps:txbx>
                              <wps:bodyPr lIns="0" tIns="0" rIns="0" bIns="0" upright="1"/>
                            </wps:wsp>
                            <wps:wsp>
                              <wps:cNvPr id="199" name="直接连接符 199"/>
                              <wps:cNvCnPr/>
                              <wps:spPr>
                                <a:xfrm flipV="1">
                                  <a:off x="1123315" y="1346835"/>
                                  <a:ext cx="355600" cy="0"/>
                                </a:xfrm>
                                <a:prstGeom prst="line">
                                  <a:avLst/>
                                </a:prstGeom>
                                <a:ln w="9525" cap="flat" cmpd="sng">
                                  <a:solidFill>
                                    <a:srgbClr val="000000"/>
                                  </a:solidFill>
                                  <a:prstDash val="solid"/>
                                  <a:headEnd type="none" w="med" len="med"/>
                                  <a:tailEnd type="triangle" w="med" len="med"/>
                                </a:ln>
                              </wps:spPr>
                              <wps:bodyPr/>
                            </wps:wsp>
                            <wps:wsp>
                              <wps:cNvPr id="200" name="直接连接符 200"/>
                              <wps:cNvCnPr/>
                              <wps:spPr>
                                <a:xfrm flipV="1">
                                  <a:off x="1121410" y="594360"/>
                                  <a:ext cx="635" cy="757555"/>
                                </a:xfrm>
                                <a:prstGeom prst="line">
                                  <a:avLst/>
                                </a:prstGeom>
                                <a:ln w="9525" cap="flat" cmpd="sng">
                                  <a:solidFill>
                                    <a:srgbClr val="000000"/>
                                  </a:solidFill>
                                  <a:prstDash val="solid"/>
                                  <a:headEnd type="none" w="med" len="med"/>
                                  <a:tailEnd type="none" w="med" len="med"/>
                                </a:ln>
                              </wps:spPr>
                              <wps:bodyPr/>
                            </wps:wsp>
                            <wps:wsp>
                              <wps:cNvPr id="201" name="直接连接符 201"/>
                              <wps:cNvCnPr/>
                              <wps:spPr>
                                <a:xfrm>
                                  <a:off x="654122" y="872344"/>
                                  <a:ext cx="459156" cy="636"/>
                                </a:xfrm>
                                <a:prstGeom prst="line">
                                  <a:avLst/>
                                </a:prstGeom>
                                <a:ln w="9525" cap="flat" cmpd="sng">
                                  <a:solidFill>
                                    <a:srgbClr val="000000"/>
                                  </a:solidFill>
                                  <a:prstDash val="solid"/>
                                  <a:headEnd type="none" w="med" len="med"/>
                                  <a:tailEnd type="arrow" w="med" len="med"/>
                                </a:ln>
                              </wps:spPr>
                              <wps:bodyPr/>
                            </wps:wsp>
                            <wps:wsp>
                              <wps:cNvPr id="202" name="文本框 202"/>
                              <wps:cNvSpPr txBox="1"/>
                              <wps:spPr>
                                <a:xfrm>
                                  <a:off x="664284" y="673333"/>
                                  <a:ext cx="406445" cy="152597"/>
                                </a:xfrm>
                                <a:prstGeom prst="rect">
                                  <a:avLst/>
                                </a:prstGeom>
                                <a:noFill/>
                                <a:ln>
                                  <a:noFill/>
                                </a:ln>
                              </wps:spPr>
                              <wps:txbx>
                                <w:txbxContent>
                                  <w:p>
                                    <w:pPr>
                                      <w:adjustRightInd w:val="0"/>
                                      <w:snapToGrid w:val="0"/>
                                      <w:jc w:val="center"/>
                                      <w:rPr>
                                        <w:rFonts w:hint="default" w:eastAsia="宋体"/>
                                        <w:szCs w:val="21"/>
                                        <w:lang w:val="en-US" w:eastAsia="zh-CN"/>
                                      </w:rPr>
                                    </w:pPr>
                                    <w:r>
                                      <w:rPr>
                                        <w:rFonts w:hint="eastAsia"/>
                                        <w:szCs w:val="21"/>
                                        <w:lang w:val="en-US" w:eastAsia="zh-CN"/>
                                      </w:rPr>
                                      <w:t>2700</w:t>
                                    </w:r>
                                  </w:p>
                                </w:txbxContent>
                              </wps:txbx>
                              <wps:bodyPr lIns="0" tIns="0" rIns="0" bIns="0" upright="1"/>
                            </wps:wsp>
                            <wps:wsp>
                              <wps:cNvPr id="205" name="任意多边形 205"/>
                              <wps:cNvSpPr/>
                              <wps:spPr>
                                <a:xfrm>
                                  <a:off x="2222746" y="1040200"/>
                                  <a:ext cx="190521" cy="152597"/>
                                </a:xfrm>
                                <a:custGeom>
                                  <a:avLst/>
                                  <a:gdLst/>
                                  <a:ahLst/>
                                  <a:cxnLst/>
                                  <a:rect l="0" t="0" r="0" b="0"/>
                                  <a:pathLst>
                                    <a:path w="474" h="460">
                                      <a:moveTo>
                                        <a:pt x="0" y="460"/>
                                      </a:moveTo>
                                      <a:cubicBezTo>
                                        <a:pt x="26" y="359"/>
                                        <a:pt x="37" y="271"/>
                                        <a:pt x="93" y="239"/>
                                      </a:cubicBezTo>
                                      <a:cubicBezTo>
                                        <a:pt x="149" y="207"/>
                                        <a:pt x="270" y="306"/>
                                        <a:pt x="333" y="266"/>
                                      </a:cubicBezTo>
                                      <a:cubicBezTo>
                                        <a:pt x="396" y="226"/>
                                        <a:pt x="445" y="56"/>
                                        <a:pt x="474" y="0"/>
                                      </a:cubicBezTo>
                                    </a:path>
                                  </a:pathLst>
                                </a:custGeom>
                                <a:noFill/>
                                <a:ln w="9525" cap="flat" cmpd="sng">
                                  <a:solidFill>
                                    <a:srgbClr val="000000"/>
                                  </a:solidFill>
                                  <a:prstDash val="dash"/>
                                  <a:headEnd type="none" w="med" len="med"/>
                                  <a:tailEnd type="triangle" w="med" len="med"/>
                                </a:ln>
                              </wps:spPr>
                              <wps:bodyPr upright="1"/>
                            </wps:wsp>
                            <wps:wsp>
                              <wps:cNvPr id="206" name="文本框 206"/>
                              <wps:cNvSpPr txBox="1"/>
                              <wps:spPr>
                                <a:xfrm>
                                  <a:off x="2152650" y="794385"/>
                                  <a:ext cx="1046480" cy="258445"/>
                                </a:xfrm>
                                <a:prstGeom prst="rect">
                                  <a:avLst/>
                                </a:prstGeom>
                                <a:noFill/>
                                <a:ln>
                                  <a:noFill/>
                                </a:ln>
                              </wps:spPr>
                              <wps:txbx>
                                <w:txbxContent>
                                  <w:p>
                                    <w:pPr>
                                      <w:adjustRightInd w:val="0"/>
                                      <w:snapToGrid w:val="0"/>
                                      <w:jc w:val="center"/>
                                      <w:rPr>
                                        <w:rFonts w:hint="default" w:eastAsia="宋体"/>
                                        <w:szCs w:val="21"/>
                                        <w:lang w:val="en-US" w:eastAsia="zh-CN"/>
                                      </w:rPr>
                                    </w:pPr>
                                    <w:r>
                                      <w:rPr>
                                        <w:rFonts w:hint="eastAsia" w:ascii="Wingdings" w:hAnsi="Wingdings"/>
                                        <w:szCs w:val="21"/>
                                        <w:lang w:eastAsia="zh-CN"/>
                                      </w:rPr>
                                      <w:t>消耗</w:t>
                                    </w:r>
                                    <w:r>
                                      <w:rPr>
                                        <w:rFonts w:hint="eastAsia"/>
                                        <w:szCs w:val="21"/>
                                        <w:lang w:val="en-US" w:eastAsia="zh-CN"/>
                                      </w:rPr>
                                      <w:t>780</w:t>
                                    </w:r>
                                  </w:p>
                                  <w:p>
                                    <w:pPr>
                                      <w:adjustRightInd w:val="0"/>
                                      <w:snapToGrid w:val="0"/>
                                      <w:jc w:val="center"/>
                                      <w:rPr>
                                        <w:rFonts w:hint="default" w:ascii="Wingdings" w:hAnsi="Wingdings" w:eastAsia="宋体"/>
                                        <w:szCs w:val="21"/>
                                        <w:lang w:val="en-US" w:eastAsia="zh-CN"/>
                                      </w:rPr>
                                    </w:pPr>
                                  </w:p>
                                </w:txbxContent>
                              </wps:txbx>
                              <wps:bodyPr lIns="0" tIns="0" rIns="0" bIns="0" upright="1"/>
                            </wps:wsp>
                            <wps:wsp>
                              <wps:cNvPr id="208" name="矩形 208"/>
                              <wps:cNvSpPr/>
                              <wps:spPr>
                                <a:xfrm>
                                  <a:off x="1504481" y="1192797"/>
                                  <a:ext cx="823051" cy="279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宋体" w:hAnsi="宋体" w:eastAsia="宋体"/>
                                        <w:szCs w:val="21"/>
                                        <w:lang w:eastAsia="zh-CN"/>
                                      </w:rPr>
                                    </w:pPr>
                                    <w:r>
                                      <w:rPr>
                                        <w:rFonts w:hint="eastAsia" w:ascii="宋体" w:hAnsi="宋体"/>
                                        <w:szCs w:val="21"/>
                                        <w:lang w:eastAsia="zh-CN"/>
                                      </w:rPr>
                                      <w:t>清洗工序</w:t>
                                    </w:r>
                                  </w:p>
                                </w:txbxContent>
                              </wps:txbx>
                              <wps:bodyPr upright="1"/>
                            </wps:wsp>
                            <wps:wsp>
                              <wps:cNvPr id="210" name="文本框 210"/>
                              <wps:cNvSpPr txBox="1"/>
                              <wps:spPr>
                                <a:xfrm>
                                  <a:off x="1084580" y="1179830"/>
                                  <a:ext cx="406400" cy="153035"/>
                                </a:xfrm>
                                <a:prstGeom prst="rect">
                                  <a:avLst/>
                                </a:prstGeom>
                                <a:noFill/>
                                <a:ln>
                                  <a:noFill/>
                                </a:ln>
                              </wps:spPr>
                              <wps:txbx>
                                <w:txbxContent>
                                  <w:p>
                                    <w:pPr>
                                      <w:adjustRightInd w:val="0"/>
                                      <w:snapToGrid w:val="0"/>
                                      <w:jc w:val="center"/>
                                      <w:rPr>
                                        <w:rFonts w:hint="default" w:eastAsia="宋体"/>
                                        <w:szCs w:val="21"/>
                                        <w:lang w:val="en-US" w:eastAsia="zh-CN"/>
                                      </w:rPr>
                                    </w:pPr>
                                    <w:r>
                                      <w:rPr>
                                        <w:rFonts w:hint="eastAsia"/>
                                        <w:szCs w:val="21"/>
                                        <w:lang w:val="en-US" w:eastAsia="zh-CN"/>
                                      </w:rPr>
                                      <w:t>1300</w:t>
                                    </w:r>
                                  </w:p>
                                </w:txbxContent>
                              </wps:txbx>
                              <wps:bodyPr lIns="0" tIns="0" rIns="0" bIns="0" upright="1"/>
                            </wps:wsp>
                            <wps:wsp>
                              <wps:cNvPr id="1" name="直接连接符 1"/>
                              <wps:cNvCnPr/>
                              <wps:spPr>
                                <a:xfrm>
                                  <a:off x="2351405" y="1332230"/>
                                  <a:ext cx="352425" cy="635"/>
                                </a:xfrm>
                                <a:prstGeom prst="line">
                                  <a:avLst/>
                                </a:prstGeom>
                                <a:ln w="9525" cap="flat" cmpd="sng">
                                  <a:solidFill>
                                    <a:srgbClr val="000000"/>
                                  </a:solidFill>
                                  <a:prstDash val="solid"/>
                                  <a:headEnd type="none" w="med" len="med"/>
                                  <a:tailEnd type="triangle" w="med" len="med"/>
                                </a:ln>
                              </wps:spPr>
                              <wps:bodyPr/>
                            </wps:wsp>
                            <wps:wsp>
                              <wps:cNvPr id="5" name="矩形 5"/>
                              <wps:cNvSpPr/>
                              <wps:spPr>
                                <a:xfrm>
                                  <a:off x="2734310" y="1199515"/>
                                  <a:ext cx="1156970"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rFonts w:hint="eastAsia" w:ascii="宋体" w:hAnsi="宋体" w:eastAsia="宋体"/>
                                        <w:szCs w:val="21"/>
                                        <w:lang w:eastAsia="zh-CN"/>
                                      </w:rPr>
                                    </w:pPr>
                                    <w:r>
                                      <w:rPr>
                                        <w:rFonts w:hint="eastAsia" w:ascii="宋体" w:hAnsi="宋体"/>
                                        <w:szCs w:val="21"/>
                                        <w:lang w:eastAsia="zh-CN"/>
                                      </w:rPr>
                                      <w:t>水处理系统</w:t>
                                    </w:r>
                                  </w:p>
                                </w:txbxContent>
                              </wps:txbx>
                              <wps:bodyPr upright="1"/>
                            </wps:wsp>
                            <wps:wsp>
                              <wps:cNvPr id="6" name="文本框 6"/>
                              <wps:cNvSpPr txBox="1"/>
                              <wps:spPr>
                                <a:xfrm>
                                  <a:off x="3515995" y="774065"/>
                                  <a:ext cx="1197610" cy="258445"/>
                                </a:xfrm>
                                <a:prstGeom prst="rect">
                                  <a:avLst/>
                                </a:prstGeom>
                                <a:noFill/>
                                <a:ln>
                                  <a:noFill/>
                                </a:ln>
                              </wps:spPr>
                              <wps:txbx>
                                <w:txbxContent>
                                  <w:p>
                                    <w:pPr>
                                      <w:adjustRightInd w:val="0"/>
                                      <w:snapToGrid w:val="0"/>
                                      <w:jc w:val="center"/>
                                      <w:rPr>
                                        <w:rFonts w:hint="default" w:eastAsia="宋体"/>
                                        <w:szCs w:val="21"/>
                                        <w:lang w:val="en-US" w:eastAsia="zh-CN"/>
                                      </w:rPr>
                                    </w:pPr>
                                    <w:r>
                                      <w:rPr>
                                        <w:rFonts w:hint="eastAsia" w:ascii="Wingdings" w:hAnsi="Wingdings"/>
                                        <w:szCs w:val="21"/>
                                        <w:lang w:eastAsia="zh-CN"/>
                                      </w:rPr>
                                      <w:t>消耗</w:t>
                                    </w:r>
                                    <w:r>
                                      <w:rPr>
                                        <w:rFonts w:hint="eastAsia"/>
                                        <w:szCs w:val="21"/>
                                        <w:lang w:val="en-US" w:eastAsia="zh-CN"/>
                                      </w:rPr>
                                      <w:t>400</w:t>
                                    </w:r>
                                  </w:p>
                                  <w:p>
                                    <w:pPr>
                                      <w:adjustRightInd w:val="0"/>
                                      <w:snapToGrid w:val="0"/>
                                      <w:jc w:val="center"/>
                                      <w:rPr>
                                        <w:rFonts w:hint="default" w:ascii="Wingdings" w:hAnsi="Wingdings" w:eastAsia="宋体"/>
                                        <w:szCs w:val="21"/>
                                        <w:lang w:val="en-US" w:eastAsia="zh-CN"/>
                                      </w:rPr>
                                    </w:pPr>
                                  </w:p>
                                </w:txbxContent>
                              </wps:txbx>
                              <wps:bodyPr lIns="0" tIns="0" rIns="0" bIns="0" upright="1"/>
                            </wps:wsp>
                            <wps:wsp>
                              <wps:cNvPr id="7" name="任意多边形 7"/>
                              <wps:cNvSpPr/>
                              <wps:spPr>
                                <a:xfrm>
                                  <a:off x="3625215" y="1022985"/>
                                  <a:ext cx="190500" cy="152400"/>
                                </a:xfrm>
                                <a:custGeom>
                                  <a:avLst/>
                                  <a:gdLst/>
                                  <a:ahLst/>
                                  <a:cxnLst/>
                                  <a:rect l="0" t="0" r="0" b="0"/>
                                  <a:pathLst>
                                    <a:path w="474" h="460">
                                      <a:moveTo>
                                        <a:pt x="0" y="460"/>
                                      </a:moveTo>
                                      <a:cubicBezTo>
                                        <a:pt x="26" y="359"/>
                                        <a:pt x="37" y="271"/>
                                        <a:pt x="93" y="239"/>
                                      </a:cubicBezTo>
                                      <a:cubicBezTo>
                                        <a:pt x="149" y="207"/>
                                        <a:pt x="270" y="306"/>
                                        <a:pt x="333" y="266"/>
                                      </a:cubicBezTo>
                                      <a:cubicBezTo>
                                        <a:pt x="396" y="226"/>
                                        <a:pt x="445" y="56"/>
                                        <a:pt x="474" y="0"/>
                                      </a:cubicBezTo>
                                    </a:path>
                                  </a:pathLst>
                                </a:custGeom>
                                <a:noFill/>
                                <a:ln w="9525" cap="flat" cmpd="sng">
                                  <a:solidFill>
                                    <a:srgbClr val="000000"/>
                                  </a:solidFill>
                                  <a:prstDash val="dash"/>
                                  <a:headEnd type="none" w="med" len="med"/>
                                  <a:tailEnd type="triangle" w="med" len="med"/>
                                </a:ln>
                              </wps:spPr>
                              <wps:bodyPr upright="1"/>
                            </wps:wsp>
                            <wps:wsp>
                              <wps:cNvPr id="8" name="文本框 8"/>
                              <wps:cNvSpPr txBox="1"/>
                              <wps:spPr>
                                <a:xfrm>
                                  <a:off x="2266950" y="1144270"/>
                                  <a:ext cx="534035" cy="161290"/>
                                </a:xfrm>
                                <a:prstGeom prst="rect">
                                  <a:avLst/>
                                </a:prstGeom>
                                <a:noFill/>
                                <a:ln>
                                  <a:noFill/>
                                </a:ln>
                              </wps:spPr>
                              <wps:txbx>
                                <w:txbxContent>
                                  <w:p>
                                    <w:pPr>
                                      <w:adjustRightInd w:val="0"/>
                                      <w:snapToGrid w:val="0"/>
                                      <w:jc w:val="center"/>
                                      <w:rPr>
                                        <w:rFonts w:hint="default" w:eastAsia="宋体"/>
                                        <w:szCs w:val="21"/>
                                        <w:lang w:val="en-US" w:eastAsia="zh-CN"/>
                                      </w:rPr>
                                    </w:pPr>
                                    <w:r>
                                      <w:rPr>
                                        <w:rFonts w:hint="eastAsia"/>
                                        <w:szCs w:val="21"/>
                                        <w:lang w:val="en-US" w:eastAsia="zh-CN"/>
                                      </w:rPr>
                                      <w:t>4000</w:t>
                                    </w:r>
                                  </w:p>
                                </w:txbxContent>
                              </wps:txbx>
                              <wps:bodyPr lIns="0" tIns="0" rIns="0" bIns="0" upright="1"/>
                            </wps:wsp>
                            <wps:wsp>
                              <wps:cNvPr id="10" name="直接箭头连接符 10"/>
                              <wps:cNvCnPr>
                                <a:stCxn id="5" idx="2"/>
                              </wps:cNvCnPr>
                              <wps:spPr>
                                <a:xfrm>
                                  <a:off x="3312795" y="1478915"/>
                                  <a:ext cx="0" cy="244475"/>
                                </a:xfrm>
                                <a:prstGeom prst="straightConnector1">
                                  <a:avLst/>
                                </a:prstGeom>
                                <a:ln w="12700"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wps:spPr>
                                <a:xfrm flipH="1">
                                  <a:off x="1943735" y="1746885"/>
                                  <a:ext cx="13531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wps:spPr>
                                <a:xfrm flipV="1">
                                  <a:off x="1913255" y="1510030"/>
                                  <a:ext cx="0" cy="2368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文本框 15"/>
                              <wps:cNvSpPr txBox="1"/>
                              <wps:spPr>
                                <a:xfrm>
                                  <a:off x="2291080" y="1520825"/>
                                  <a:ext cx="534035" cy="161290"/>
                                </a:xfrm>
                                <a:prstGeom prst="rect">
                                  <a:avLst/>
                                </a:prstGeom>
                                <a:noFill/>
                                <a:ln>
                                  <a:noFill/>
                                </a:ln>
                              </wps:spPr>
                              <wps:txbx>
                                <w:txbxContent>
                                  <w:p>
                                    <w:pPr>
                                      <w:adjustRightInd w:val="0"/>
                                      <w:snapToGrid w:val="0"/>
                                      <w:jc w:val="center"/>
                                      <w:rPr>
                                        <w:rFonts w:hint="default" w:eastAsia="宋体"/>
                                        <w:szCs w:val="21"/>
                                        <w:lang w:val="en-US" w:eastAsia="zh-CN"/>
                                      </w:rPr>
                                    </w:pPr>
                                    <w:r>
                                      <w:rPr>
                                        <w:rFonts w:hint="eastAsia"/>
                                        <w:szCs w:val="21"/>
                                        <w:lang w:val="en-US" w:eastAsia="zh-CN"/>
                                      </w:rPr>
                                      <w:t>3600</w:t>
                                    </w:r>
                                  </w:p>
                                </w:txbxContent>
                              </wps:txbx>
                              <wps:bodyPr lIns="0" tIns="0" rIns="0" bIns="0" upright="1"/>
                            </wps:wsp>
                          </wpc:wpc>
                        </a:graphicData>
                      </a:graphic>
                    </wp:inline>
                  </w:drawing>
                </mc:Choice>
                <mc:Fallback>
                  <w:pict>
                    <v:group id="_x0000_s1026" o:spid="_x0000_s1026" o:spt="203" style="height:157.3pt;width:451.85pt;" coordsize="5738495,1997710" editas="canvas" o:gfxdata="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">
                      <o:lock v:ext="edit" aspectratio="f"/>
                      <v:shape id="_x0000_s1026" o:spid="_x0000_s1026" style="position:absolute;left:0;top:0;height:1997710;width:5738495;" filled="f" stroked="f" coordsize="21600,21600" o:gfxdata="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">
                        <v:fill on="f" focussize="0,0"/>
                        <v:stroke on="f"/>
                        <v:imagedata o:title=""/>
                        <o:lock v:ext="edit" aspectratio="t"/>
                      </v:shape>
                      <v:rect id="_x0000_s1026" o:spid="_x0000_s1026" o:spt="1" style="position:absolute;left:1503846;top:439987;height:281032;width:818606;" fillcolor="#FFFFFF" filled="t" stroked="t" coordsize="21600,21600" o:gfxdata="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QoNh1QAAAAUBAAAPAAAAAAAAAAEAIAAA&#10;ACIAAABkcnMvZG93bnJldi54bWxQSwECFAAUAAAACACHTuJAddQNkw8CAAA3BAAADgAAAAAAAAAB&#10;ACAAAAAkAQAAZHJzL2Uyb0RvYy54bWxQSwUGAAAAAAYABgBZAQAApQUAAAAA&#10;">
                        <v:fill on="t" focussize="0,0"/>
                        <v:stroke color="#000000" joinstyle="miter"/>
                        <v:imagedata o:title=""/>
                        <o:lock v:ext="edit" aspectratio="f"/>
                        <v:textbox>
                          <w:txbxContent>
                            <w:p>
                              <w:pPr>
                                <w:adjustRightInd w:val="0"/>
                                <w:snapToGrid w:val="0"/>
                                <w:jc w:val="center"/>
                                <w:rPr>
                                  <w:rFonts w:ascii="宋体" w:hAnsi="宋体"/>
                                  <w:szCs w:val="21"/>
                                </w:rPr>
                              </w:pPr>
                              <w:r>
                                <w:rPr>
                                  <w:rFonts w:hint="eastAsia" w:ascii="宋体" w:hAnsi="宋体"/>
                                  <w:szCs w:val="21"/>
                                </w:rPr>
                                <w:t>生活用水水</w:t>
                              </w:r>
                            </w:p>
                          </w:txbxContent>
                        </v:textbox>
                      </v:rect>
                      <v:shape id="_x0000_s1026" o:spid="_x0000_s1026" o:spt="202" type="#_x0000_t202" style="position:absolute;left:129554;top:776335;height:214271;width:621099;"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uQKDw1QAAAAUBAAAPAAAAAAAAAAEAIAAAACIAAABkcnMvZG93bnJl&#10;di54bWxQSwECFAAUAAAACACHTuJA8PZiwccBAAB/AwAADgAAAAAAAAABACAAAAAkAQAAZHJzL2Uy&#10;b0RvYy54bWxQSwUGAAAAAAYABgBZAQAAXQUAAAAA&#10;">
                        <v:fill on="f" focussize="0,0"/>
                        <v:stroke on="f"/>
                        <v:imagedata o:title=""/>
                        <o:lock v:ext="edit" aspectratio="f"/>
                        <v:textbox inset="0mm,0mm,0mm,0mm">
                          <w:txbxContent>
                            <w:p>
                              <w:pPr>
                                <w:adjustRightInd w:val="0"/>
                                <w:snapToGrid w:val="0"/>
                                <w:jc w:val="center"/>
                                <w:rPr>
                                  <w:rFonts w:ascii="宋体" w:hAnsi="宋体"/>
                                  <w:szCs w:val="21"/>
                                </w:rPr>
                              </w:pPr>
                              <w:r>
                                <w:rPr>
                                  <w:rFonts w:hint="eastAsia" w:ascii="宋体" w:hAnsi="宋体"/>
                                  <w:szCs w:val="21"/>
                                </w:rPr>
                                <w:t>自来水</w:t>
                              </w:r>
                            </w:p>
                          </w:txbxContent>
                        </v:textbox>
                      </v:shape>
                      <v:line id="_x0000_s1026" o:spid="_x0000_s1026" o:spt="20" style="position:absolute;left:1122804;top:599578;flip:y;height:5087;width:358180;" filled="f" stroked="t" coordsize="21600,21600" o:gfxdata="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OpH41wAAAAUBAAAPAAAAAAAAAAEAIAAAACIA&#10;AABkcnMvZG93bnJldi54bWxQSwECFAAUAAAACACHTuJAvZpD2woCAAD3AwAADgAAAAAAAAABACAA&#10;AAAmAQAAZHJzL2Uyb0RvYy54bWxQSwUGAAAAAAYABgBZAQAAogUAAAAA&#10;">
                        <v:fill on="f" focussize="0,0"/>
                        <v:stroke color="#000000" joinstyle="round" endarrow="block"/>
                        <v:imagedata o:title=""/>
                        <o:lock v:ext="edit" aspectratio="f"/>
                      </v:line>
                      <v:shape id="_x0000_s1026" o:spid="_x0000_s1026" o:spt="100" style="position:absolute;left:1629590;top:246062;height:163406;width:196872;" filled="f" stroked="t" coordsize="474,460" o:gfxdata="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A4auZ0wAAAAUBAAAPAAAAAAAAAAEAIAAAACIAAABkcnMvZG93bnJldi54bWxQ&#10;SwECFAAUAAAACACHTuJAZC0GkacCAAC7BQAADgAAAAAAAAABACAAAAAiAQAAZHJzL2Uyb0RvYy54&#10;bWxQSwUGAAAAAAYABgBZAQAAOwYAAAAA&#10;" path="m0,460c26,359,37,271,93,239c149,207,270,306,333,266c396,226,445,56,474,0e">
                        <v:fill on="f" focussize="0,0"/>
                        <v:stroke color="#000000" joinstyle="round" dashstyle="dash" endarrow="block"/>
                        <v:imagedata o:title=""/>
                        <o:lock v:ext="edit" aspectratio="f"/>
                      </v:shape>
                      <v:shape id="_x0000_s1026" o:spid="_x0000_s1026" o:spt="202" type="#_x0000_t202" style="position:absolute;left:1520358;top:80113;height:216814;width:853534;"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5AoPDVAAAABQEAAA8AAAAAAAAAAQAgAAAAIgAAAGRycy9kb3ducmV2&#10;LnhtbFBLAQIUABQAAAAIAIdO4kA5GKf3xgEAAH8DAAAOAAAAAAAAAAEAIAAAACQBAABkcnMvZTJv&#10;RG9jLnhtbFBLBQYAAAAABgAGAFkBAABcBQAAAAA=&#10;">
                        <v:fill on="f" focussize="0,0"/>
                        <v:stroke on="f"/>
                        <v:imagedata o:title=""/>
                        <o:lock v:ext="edit" aspectratio="f"/>
                        <v:textbox inset="0mm,0mm,0mm,0mm">
                          <w:txbxContent>
                            <w:p>
                              <w:pPr>
                                <w:adjustRightInd w:val="0"/>
                                <w:snapToGrid w:val="0"/>
                                <w:jc w:val="center"/>
                                <w:rPr>
                                  <w:rFonts w:hint="default" w:eastAsia="宋体"/>
                                  <w:szCs w:val="21"/>
                                  <w:lang w:val="en-US" w:eastAsia="zh-CN"/>
                                </w:rPr>
                              </w:pPr>
                              <w:r>
                                <w:rPr>
                                  <w:szCs w:val="21"/>
                                </w:rPr>
                                <w:t>损耗</w:t>
                              </w:r>
                              <w:r>
                                <w:rPr>
                                  <w:rFonts w:hint="eastAsia"/>
                                  <w:szCs w:val="21"/>
                                  <w:lang w:val="en-US" w:eastAsia="zh-CN"/>
                                </w:rPr>
                                <w:t>300</w:t>
                              </w:r>
                            </w:p>
                          </w:txbxContent>
                        </v:textbox>
                      </v:shape>
                      <v:shape id="_x0000_s1026" o:spid="_x0000_s1026" o:spt="202" type="#_x0000_t202" style="position:absolute;left:2221476;top:357330;height:161498;width:534094;"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uQKDw1QAAAAUBAAAPAAAAAAAAAAEAIAAAACIAAABkcnMvZG93bnJl&#10;di54bWxQSwECFAAUAAAACACHTuJAD5wkt8cBAACAAwAADgAAAAAAAAABACAAAAAkAQAAZHJzL2Uy&#10;b0RvYy54bWxQSwUGAAAAAAYABgBZAQAAXQUAAAAA&#10;">
                        <v:fill on="f" focussize="0,0"/>
                        <v:stroke on="f"/>
                        <v:imagedata o:title=""/>
                        <o:lock v:ext="edit" aspectratio="f"/>
                        <v:textbox inset="0mm,0mm,0mm,0mm">
                          <w:txbxContent>
                            <w:p>
                              <w:pPr>
                                <w:adjustRightInd w:val="0"/>
                                <w:snapToGrid w:val="0"/>
                                <w:jc w:val="center"/>
                                <w:rPr>
                                  <w:rFonts w:hint="default" w:eastAsia="宋体"/>
                                  <w:szCs w:val="21"/>
                                  <w:lang w:val="en-US" w:eastAsia="zh-CN"/>
                                </w:rPr>
                              </w:pPr>
                              <w:r>
                                <w:rPr>
                                  <w:rFonts w:hint="eastAsia"/>
                                  <w:szCs w:val="21"/>
                                  <w:lang w:val="en-US" w:eastAsia="zh-CN"/>
                                </w:rPr>
                                <w:t>1200</w:t>
                              </w:r>
                            </w:p>
                          </w:txbxContent>
                        </v:textbox>
                      </v:shape>
                      <v:rect id="_x0000_s1026" o:spid="_x0000_s1026" o:spt="1" style="position:absolute;left:2678091;top:441894;height:281032;width:616018;" fillcolor="#FFFFFF" filled="t" stroked="t" coordsize="21600,21600" o:gfxdata="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QoNh1QAAAAUBAAAPAAAAAAAAAAEAIAAA&#10;ACIAAABkcnMvZG93bnJldi54bWxQSwECFAAUAAAACACHTuJA6OIWpg8CAAA3BAAADgAAAAAAAAAB&#10;ACAAAAAkAQAAZHJzL2Uyb0RvYy54bWxQSwUGAAAAAAYABgBZAQAApQUAAAAA&#10;">
                        <v:fill on="t" focussize="0,0"/>
                        <v:stroke color="#000000" joinstyle="miter"/>
                        <v:imagedata o:title=""/>
                        <o:lock v:ext="edit" aspectratio="f"/>
                        <v:textbox>
                          <w:txbxContent>
                            <w:p>
                              <w:pPr>
                                <w:adjustRightInd w:val="0"/>
                                <w:snapToGrid w:val="0"/>
                                <w:jc w:val="center"/>
                                <w:rPr>
                                  <w:rFonts w:hint="eastAsia" w:ascii="Wingdings" w:hAnsi="Wingdings"/>
                                  <w:szCs w:val="21"/>
                                </w:rPr>
                              </w:pPr>
                              <w:r>
                                <w:rPr>
                                  <w:rFonts w:hint="eastAsia" w:ascii="宋体" w:hAnsi="宋体"/>
                                  <w:szCs w:val="21"/>
                                </w:rPr>
                                <w:t>化粪池</w:t>
                              </w:r>
                              <w:r>
                                <w:rPr>
                                  <w:rFonts w:ascii="Wingdings" w:hAnsi="Wingdings"/>
                                  <w:szCs w:val="21"/>
                                </w:rPr>
                                <w:t>池活用水</w:t>
                              </w:r>
                            </w:p>
                          </w:txbxContent>
                        </v:textbox>
                      </v:rect>
                      <v:line id="_x0000_s1026" o:spid="_x0000_s1026" o:spt="20" style="position:absolute;left:3299825;top:579231;flip:y;height:636;width:339128;" filled="f" stroked="t" coordsize="21600,21600" o:gfxdata="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OpH41wAAAAUBAAAPAAAAAAAAAAEAIAAAACIA&#10;AABkcnMvZG93bnJldi54bWxQSwECFAAUAAAACACHTuJAC7dbdQoCAAD2AwAADgAAAAAAAAABACAA&#10;AAAmAQAAZHJzL2Uyb0RvYy54bWxQSwUGAAAAAAYABgBZAQAAogUAAAAA&#10;">
                        <v:fill on="f" focussize="0,0"/>
                        <v:stroke color="#000000" joinstyle="round" endarrow="block"/>
                        <v:imagedata o:title=""/>
                        <o:lock v:ext="edit" aspectratio="f"/>
                      </v:line>
                      <v:line id="_x0000_s1026" o:spid="_x0000_s1026" o:spt="20" style="position:absolute;left:2335153;top:579231;height:636;width:352464;" filled="f" stroked="t" coordsize="21600,21600" o:gfxdata="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lIEq9gAAAAFAQAADwAAAAAAAAABACAAAAAiAAAAZHJz&#10;L2Rvd25yZXYueG1sUEsBAhQAFAAAAAgAh07iQBw8oooEAgAA7AMAAA4AAAAAAAAAAQAgAAAAJwEA&#10;AGRycy9lMm9Eb2MueG1sUEsFBgAAAAAGAAYAWQEAAJ0FAAAAAA==&#10;">
                        <v:fill on="f" focussize="0,0"/>
                        <v:stroke color="#000000" joinstyle="round" endarrow="block"/>
                        <v:imagedata o:title=""/>
                        <o:lock v:ext="edit" aspectratio="f"/>
                      </v:line>
                      <v:shape id="_x0000_s1026" o:spid="_x0000_s1026" o:spt="202" type="#_x0000_t202" style="position:absolute;left:1075809;top:386578;height:161498;width:413431;"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kCg8NUAAAAFAQAADwAAAAAAAAABACAAAAAiAAAAZHJzL2Rvd25y&#10;ZXYueG1sUEsBAhQAFAAAAAgAh07iQOx0hWHIAQAAgAMAAA4AAAAAAAAAAQAgAAAAJAEAAGRycy9l&#10;Mm9Eb2MueG1sUEsFBgAAAAAGAAYAWQEAAF4FAAAAAA==&#10;">
                        <v:fill on="f" focussize="0,0"/>
                        <v:stroke on="f"/>
                        <v:imagedata o:title=""/>
                        <o:lock v:ext="edit" aspectratio="f"/>
                        <v:textbox inset="0mm,0mm,0mm,0mm">
                          <w:txbxContent>
                            <w:p>
                              <w:pPr>
                                <w:adjustRightInd w:val="0"/>
                                <w:snapToGrid w:val="0"/>
                                <w:jc w:val="center"/>
                                <w:rPr>
                                  <w:rFonts w:hint="default" w:eastAsia="宋体"/>
                                  <w:szCs w:val="21"/>
                                  <w:lang w:val="en-US" w:eastAsia="zh-CN"/>
                                </w:rPr>
                              </w:pPr>
                              <w:r>
                                <w:rPr>
                                  <w:rFonts w:hint="eastAsia"/>
                                  <w:szCs w:val="21"/>
                                  <w:lang w:val="en-US" w:eastAsia="zh-CN"/>
                                </w:rPr>
                                <w:t>1500</w:t>
                              </w:r>
                            </w:p>
                          </w:txbxContent>
                        </v:textbox>
                      </v:shape>
                      <v:shape id="_x0000_s1026" o:spid="_x0000_s1026" o:spt="202" type="#_x0000_t202" style="position:absolute;left:3670071;top:453975;height:274038;width:1947125;"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kCg8NUAAAAFAQAADwAAAAAAAAABACAAAAAiAAAAZHJzL2Rvd25y&#10;ZXYueG1sUEsBAhQAFAAAAAgAh07iQOBF/oHIAQAAgQMAAA4AAAAAAAAAAQAgAAAAJAEAAGRycy9l&#10;Mm9Eb2MueG1sUEsFBgAAAAAGAAYAWQEAAF4FAAAAAA==&#10;">
                        <v:fill on="f" focussize="0,0"/>
                        <v:stroke on="f"/>
                        <v:imagedata o:title=""/>
                        <o:lock v:ext="edit" aspectratio="f"/>
                        <v:textbox inset="0mm,0mm,0mm,0mm">
                          <w:txbxContent>
                            <w:p>
                              <w:pPr>
                                <w:rPr>
                                  <w:rFonts w:hint="eastAsia" w:eastAsia="宋体"/>
                                  <w:szCs w:val="21"/>
                                  <w:lang w:eastAsia="zh-CN"/>
                                </w:rPr>
                              </w:pPr>
                              <w:r>
                                <w:rPr>
                                  <w:rFonts w:hint="eastAsia" w:ascii="宋体" w:hAnsi="宋体" w:cs="宋体"/>
                                  <w:szCs w:val="21"/>
                                  <w:lang w:eastAsia="zh-CN"/>
                                </w:rPr>
                                <w:t>城市污水处理厂</w:t>
                              </w:r>
                            </w:p>
                          </w:txbxContent>
                        </v:textbox>
                      </v:shape>
                      <v:shape id="_x0000_s1026" o:spid="_x0000_s1026" o:spt="202" type="#_x0000_t202" style="position:absolute;left:3208375;top:357330;height:152597;width:533459;"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5AoPDVAAAABQEAAA8AAAAAAAAAAQAgAAAAIgAAAGRycy9kb3ducmV2&#10;LnhtbFBLAQIUABQAAAAIAIdO4kB/+nHixgEAAIADAAAOAAAAAAAAAAEAIAAAACQBAABkcnMvZTJv&#10;RG9jLnhtbFBLBQYAAAAABgAGAFkBAABcBQAAAAA=&#10;">
                        <v:fill on="f" focussize="0,0"/>
                        <v:stroke on="f"/>
                        <v:imagedata o:title=""/>
                        <o:lock v:ext="edit" aspectratio="f"/>
                        <v:textbox inset="0mm,0mm,0mm,0mm">
                          <w:txbxContent>
                            <w:p>
                              <w:pPr>
                                <w:adjustRightInd w:val="0"/>
                                <w:snapToGrid w:val="0"/>
                                <w:jc w:val="center"/>
                                <w:rPr>
                                  <w:rFonts w:hint="default" w:eastAsia="宋体"/>
                                  <w:szCs w:val="21"/>
                                  <w:lang w:val="en-US" w:eastAsia="zh-CN"/>
                                </w:rPr>
                              </w:pPr>
                              <w:r>
                                <w:rPr>
                                  <w:rFonts w:hint="eastAsia"/>
                                  <w:szCs w:val="21"/>
                                  <w:lang w:val="en-US" w:eastAsia="zh-CN"/>
                                </w:rPr>
                                <w:t>1200</w:t>
                              </w:r>
                            </w:p>
                          </w:txbxContent>
                        </v:textbox>
                      </v:shape>
                      <v:line id="_x0000_s1026" o:spid="_x0000_s1026" o:spt="20" style="position:absolute;left:1123315;top:1346835;flip:y;height:0;width:355600;" filled="f" stroked="t" coordsize="21600,21600" o:gfxdata="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OpH41wAAAAUBAAAPAAAAAAAAAAEAIAAAACIA&#10;AABkcnMvZG93bnJldi54bWxQSwECFAAUAAAACACHTuJAbILHLAoCAAD1AwAADgAAAAAAAAABACAA&#10;AAAmAQAAZHJzL2Uyb0RvYy54bWxQSwUGAAAAAAYABgBZAQAAogUAAAAA&#10;">
                        <v:fill on="f" focussize="0,0"/>
                        <v:stroke color="#000000" joinstyle="round" endarrow="block"/>
                        <v:imagedata o:title=""/>
                        <o:lock v:ext="edit" aspectratio="f"/>
                      </v:line>
                      <v:line id="_x0000_s1026" o:spid="_x0000_s1026" o:spt="20" style="position:absolute;left:1121410;top:594360;flip:y;height:757555;width:635;" filled="f" stroked="t" coordsize="21600,21600" o:gfxdata="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RCoZdUAAAAFAQAADwAAAAAAAAABACAAAAAiAAAAZHJzL2Rvd25y&#10;ZXYueG1sUEsBAhQAFAAAAAgAh07iQKCk8+wBAgAA8gMAAA4AAAAAAAAAAQAgAAAAJAEAAGRycy9l&#10;Mm9Eb2MueG1sUEsFBgAAAAAGAAYAWQEAAJcFAAAAAA==&#10;">
                        <v:fill on="f" focussize="0,0"/>
                        <v:stroke color="#000000" joinstyle="round"/>
                        <v:imagedata o:title=""/>
                        <o:lock v:ext="edit" aspectratio="f"/>
                      </v:line>
                      <v:line id="_x0000_s1026" o:spid="_x0000_s1026" o:spt="20" style="position:absolute;left:654122;top:872344;height:636;width:459156;" filled="f" stroked="t" coordsize="21600,21600" o:gfxdata="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J6+sO1wAAAAUBAAAPAAAAAAAAAAEAIAAAACIAAABkcnMvZG93&#10;bnJldi54bWxQSwECFAAUAAAACACHTuJA4ZKBSwECAADoAwAADgAAAAAAAAABACAAAAAmAQAAZHJz&#10;L2Uyb0RvYy54bWxQSwUGAAAAAAYABgBZAQAAmQUAAAAA&#10;">
                        <v:fill on="f" focussize="0,0"/>
                        <v:stroke color="#000000" joinstyle="round" endarrow="open"/>
                        <v:imagedata o:title=""/>
                        <o:lock v:ext="edit" aspectratio="f"/>
                      </v:line>
                      <v:shape id="_x0000_s1026" o:spid="_x0000_s1026" o:spt="202" type="#_x0000_t202" style="position:absolute;left:664284;top:673333;height:152597;width:406445;"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5AoPDVAAAABQEAAA8AAAAAAAAAAQAgAAAAIgAAAGRycy9kb3ducmV2&#10;LnhtbFBLAQIUABQAAAAIAIdO4kDx+odvxgEAAH8DAAAOAAAAAAAAAAEAIAAAACQBAABkcnMvZTJv&#10;RG9jLnhtbFBLBQYAAAAABgAGAFkBAABcBQAAAAA=&#10;">
                        <v:fill on="f" focussize="0,0"/>
                        <v:stroke on="f"/>
                        <v:imagedata o:title=""/>
                        <o:lock v:ext="edit" aspectratio="f"/>
                        <v:textbox inset="0mm,0mm,0mm,0mm">
                          <w:txbxContent>
                            <w:p>
                              <w:pPr>
                                <w:adjustRightInd w:val="0"/>
                                <w:snapToGrid w:val="0"/>
                                <w:jc w:val="center"/>
                                <w:rPr>
                                  <w:rFonts w:hint="default" w:eastAsia="宋体"/>
                                  <w:szCs w:val="21"/>
                                  <w:lang w:val="en-US" w:eastAsia="zh-CN"/>
                                </w:rPr>
                              </w:pPr>
                              <w:r>
                                <w:rPr>
                                  <w:rFonts w:hint="eastAsia"/>
                                  <w:szCs w:val="21"/>
                                  <w:lang w:val="en-US" w:eastAsia="zh-CN"/>
                                </w:rPr>
                                <w:t>2700</w:t>
                              </w:r>
                            </w:p>
                          </w:txbxContent>
                        </v:textbox>
                      </v:shape>
                      <v:shape id="_x0000_s1026" o:spid="_x0000_s1026" o:spt="100" style="position:absolute;left:2222746;top:1040200;height:152597;width:190521;" filled="f" stroked="t" coordsize="474,460" o:gfxdata="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MDhq5nTAAAABQEAAA8AAAAAAAAAAQAgAAAAIgAAAGRycy9kb3ducmV2Lnht&#10;bFBLAQIUABQAAAAIAIdO4kBVWEgWqQIAALwFAAAOAAAAAAAAAAEAIAAAACIBAABkcnMvZTJvRG9j&#10;LnhtbFBLBQYAAAAABgAGAFkBAAA9BgAAAAA=&#10;" path="m0,460c26,359,37,271,93,239c149,207,270,306,333,266c396,226,445,56,474,0e">
                        <v:fill on="f" focussize="0,0"/>
                        <v:stroke color="#000000" joinstyle="round" dashstyle="dash" endarrow="block"/>
                        <v:imagedata o:title=""/>
                        <o:lock v:ext="edit" aspectratio="f"/>
                      </v:shape>
                      <v:shape id="_x0000_s1026" o:spid="_x0000_s1026" o:spt="202" type="#_x0000_t202" style="position:absolute;left:2152650;top:794385;height:258445;width:1046480;"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5AoPDVAAAABQEAAA8AAAAAAAAAAQAgAAAAIgAAAGRycy9kb3du&#10;cmV2LnhtbFBLAQIUABQAAAAIAIdO4kBnpJu7yQEAAIEDAAAOAAAAAAAAAAEAIAAAACQBAABkcnMv&#10;ZTJvRG9jLnhtbFBLBQYAAAAABgAGAFkBAABfBQAAAAA=&#10;">
                        <v:fill on="f" focussize="0,0"/>
                        <v:stroke on="f"/>
                        <v:imagedata o:title=""/>
                        <o:lock v:ext="edit" aspectratio="f"/>
                        <v:textbox inset="0mm,0mm,0mm,0mm">
                          <w:txbxContent>
                            <w:p>
                              <w:pPr>
                                <w:adjustRightInd w:val="0"/>
                                <w:snapToGrid w:val="0"/>
                                <w:jc w:val="center"/>
                                <w:rPr>
                                  <w:rFonts w:hint="default" w:eastAsia="宋体"/>
                                  <w:szCs w:val="21"/>
                                  <w:lang w:val="en-US" w:eastAsia="zh-CN"/>
                                </w:rPr>
                              </w:pPr>
                              <w:r>
                                <w:rPr>
                                  <w:rFonts w:hint="eastAsia" w:ascii="Wingdings" w:hAnsi="Wingdings"/>
                                  <w:szCs w:val="21"/>
                                  <w:lang w:eastAsia="zh-CN"/>
                                </w:rPr>
                                <w:t>消耗</w:t>
                              </w:r>
                              <w:r>
                                <w:rPr>
                                  <w:rFonts w:hint="eastAsia"/>
                                  <w:szCs w:val="21"/>
                                  <w:lang w:val="en-US" w:eastAsia="zh-CN"/>
                                </w:rPr>
                                <w:t>780</w:t>
                              </w:r>
                            </w:p>
                            <w:p>
                              <w:pPr>
                                <w:adjustRightInd w:val="0"/>
                                <w:snapToGrid w:val="0"/>
                                <w:jc w:val="center"/>
                                <w:rPr>
                                  <w:rFonts w:hint="default" w:ascii="Wingdings" w:hAnsi="Wingdings" w:eastAsia="宋体"/>
                                  <w:szCs w:val="21"/>
                                  <w:lang w:val="en-US" w:eastAsia="zh-CN"/>
                                </w:rPr>
                              </w:pPr>
                            </w:p>
                          </w:txbxContent>
                        </v:textbox>
                      </v:shape>
                      <v:rect id="_x0000_s1026" o:spid="_x0000_s1026" o:spt="1" style="position:absolute;left:1504481;top:1192797;height:279125;width:823051;" fillcolor="#FFFFFF" filled="t" stroked="t" coordsize="21600,21600" o:gfxdata="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qQoNh1QAAAAUBAAAPAAAAAAAAAAEAIAAAACIA&#10;AABkcnMvZG93bnJldi54bWxQSwECFAAUAAAACACHTuJA4wyyZgwCAAA4BAAADgAAAAAAAAABACAA&#10;AAAkAQAAZHJzL2Uyb0RvYy54bWxQSwUGAAAAAAYABgBZAQAAogUAAAAA&#10;">
                        <v:fill on="t" focussize="0,0"/>
                        <v:stroke color="#000000" joinstyle="miter"/>
                        <v:imagedata o:title=""/>
                        <o:lock v:ext="edit" aspectratio="f"/>
                        <v:textbox>
                          <w:txbxContent>
                            <w:p>
                              <w:pPr>
                                <w:adjustRightInd w:val="0"/>
                                <w:snapToGrid w:val="0"/>
                                <w:jc w:val="center"/>
                                <w:rPr>
                                  <w:rFonts w:hint="eastAsia" w:ascii="宋体" w:hAnsi="宋体" w:eastAsia="宋体"/>
                                  <w:szCs w:val="21"/>
                                  <w:lang w:eastAsia="zh-CN"/>
                                </w:rPr>
                              </w:pPr>
                              <w:r>
                                <w:rPr>
                                  <w:rFonts w:hint="eastAsia" w:ascii="宋体" w:hAnsi="宋体"/>
                                  <w:szCs w:val="21"/>
                                  <w:lang w:eastAsia="zh-CN"/>
                                </w:rPr>
                                <w:t>清洗工序</w:t>
                              </w:r>
                            </w:p>
                          </w:txbxContent>
                        </v:textbox>
                      </v:rect>
                      <v:shape id="_x0000_s1026" o:spid="_x0000_s1026" o:spt="202" type="#_x0000_t202" style="position:absolute;left:1084580;top:1179830;height:153035;width:406400;"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uQKDw1QAAAAUBAAAPAAAAAAAAAAEAIAAAACIAAABkcnMvZG93bnJldi54&#10;bWxQSwECFAAUAAAACACHTuJAMuU4HsQBAACBAwAADgAAAAAAAAABACAAAAAkAQAAZHJzL2Uyb0Rv&#10;Yy54bWxQSwUGAAAAAAYABgBZAQAAWgUAAAAA&#10;">
                        <v:fill on="f" focussize="0,0"/>
                        <v:stroke on="f"/>
                        <v:imagedata o:title=""/>
                        <o:lock v:ext="edit" aspectratio="f"/>
                        <v:textbox inset="0mm,0mm,0mm,0mm">
                          <w:txbxContent>
                            <w:p>
                              <w:pPr>
                                <w:adjustRightInd w:val="0"/>
                                <w:snapToGrid w:val="0"/>
                                <w:jc w:val="center"/>
                                <w:rPr>
                                  <w:rFonts w:hint="default" w:eastAsia="宋体"/>
                                  <w:szCs w:val="21"/>
                                  <w:lang w:val="en-US" w:eastAsia="zh-CN"/>
                                </w:rPr>
                              </w:pPr>
                              <w:r>
                                <w:rPr>
                                  <w:rFonts w:hint="eastAsia"/>
                                  <w:szCs w:val="21"/>
                                  <w:lang w:val="en-US" w:eastAsia="zh-CN"/>
                                </w:rPr>
                                <w:t>1300</w:t>
                              </w:r>
                            </w:p>
                          </w:txbxContent>
                        </v:textbox>
                      </v:shape>
                      <v:line id="_x0000_s1026" o:spid="_x0000_s1026" o:spt="20" style="position:absolute;left:2351405;top:1332230;height:635;width:352425;" filled="f" stroked="t" coordsize="21600,21600" o:gfxdata="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lIEq9gAAAAFAQAADwAAAAAAAAABACAAAAAiAAAAZHJzL2Rvd25y&#10;ZXYueG1sUEsBAhQAFAAAAAgAh07iQJChmW/+AQAA6QMAAA4AAAAAAAAAAQAgAAAAJwEAAGRycy9l&#10;Mm9Eb2MueG1sUEsFBgAAAAAGAAYAWQEAAJcFAAAAAA==&#10;">
                        <v:fill on="f" focussize="0,0"/>
                        <v:stroke color="#000000" joinstyle="round" endarrow="block"/>
                        <v:imagedata o:title=""/>
                        <o:lock v:ext="edit" aspectratio="f"/>
                      </v:line>
                      <v:rect id="_x0000_s1026" o:spid="_x0000_s1026" o:spt="1" style="position:absolute;left:2734310;top:1199515;height:279400;width:1156970;" fillcolor="#FFFFFF" filled="t" stroked="t" coordsize="21600,21600" o:gfxdata="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pCg2HVAAAABQEAAA8AAAAAAAAAAQAg&#10;AAAAIgAAAGRycy9kb3ducmV2LnhtbFBLAQIUABQAAAAIAIdO4kB+7E+XEQIAADUEAAAOAAAAAAAA&#10;AAEAIAAAACQBAABkcnMvZTJvRG9jLnhtbFBLBQYAAAAABgAGAFkBAACnBQAAAAA=&#10;">
                        <v:fill on="t" focussize="0,0"/>
                        <v:stroke color="#000000" joinstyle="miter"/>
                        <v:imagedata o:title=""/>
                        <o:lock v:ext="edit" aspectratio="f"/>
                        <v:textbox>
                          <w:txbxContent>
                            <w:p>
                              <w:pPr>
                                <w:adjustRightInd w:val="0"/>
                                <w:snapToGrid w:val="0"/>
                                <w:jc w:val="center"/>
                                <w:rPr>
                                  <w:rFonts w:hint="eastAsia" w:ascii="宋体" w:hAnsi="宋体" w:eastAsia="宋体"/>
                                  <w:szCs w:val="21"/>
                                  <w:lang w:eastAsia="zh-CN"/>
                                </w:rPr>
                              </w:pPr>
                              <w:r>
                                <w:rPr>
                                  <w:rFonts w:hint="eastAsia" w:ascii="宋体" w:hAnsi="宋体"/>
                                  <w:szCs w:val="21"/>
                                  <w:lang w:eastAsia="zh-CN"/>
                                </w:rPr>
                                <w:t>水处理系统</w:t>
                              </w:r>
                            </w:p>
                          </w:txbxContent>
                        </v:textbox>
                      </v:rect>
                      <v:shape id="_x0000_s1026" o:spid="_x0000_s1026" o:spt="202" type="#_x0000_t202" style="position:absolute;left:3515995;top:774065;height:258445;width:1197610;"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kCg8NUAAAAFAQAADwAAAAAAAAABACAAAAAiAAAAZHJzL2Rvd25y&#10;ZXYueG1sUEsBAhQAFAAAAAgAh07iQPNPfNPIAQAAfQMAAA4AAAAAAAAAAQAgAAAAJAEAAGRycy9l&#10;Mm9Eb2MueG1sUEsFBgAAAAAGAAYAWQEAAF4FAAAAAA==&#10;">
                        <v:fill on="f" focussize="0,0"/>
                        <v:stroke on="f"/>
                        <v:imagedata o:title=""/>
                        <o:lock v:ext="edit" aspectratio="f"/>
                        <v:textbox inset="0mm,0mm,0mm,0mm">
                          <w:txbxContent>
                            <w:p>
                              <w:pPr>
                                <w:adjustRightInd w:val="0"/>
                                <w:snapToGrid w:val="0"/>
                                <w:jc w:val="center"/>
                                <w:rPr>
                                  <w:rFonts w:hint="default" w:eastAsia="宋体"/>
                                  <w:szCs w:val="21"/>
                                  <w:lang w:val="en-US" w:eastAsia="zh-CN"/>
                                </w:rPr>
                              </w:pPr>
                              <w:r>
                                <w:rPr>
                                  <w:rFonts w:hint="eastAsia" w:ascii="Wingdings" w:hAnsi="Wingdings"/>
                                  <w:szCs w:val="21"/>
                                  <w:lang w:eastAsia="zh-CN"/>
                                </w:rPr>
                                <w:t>消耗</w:t>
                              </w:r>
                              <w:r>
                                <w:rPr>
                                  <w:rFonts w:hint="eastAsia"/>
                                  <w:szCs w:val="21"/>
                                  <w:lang w:val="en-US" w:eastAsia="zh-CN"/>
                                </w:rPr>
                                <w:t>400</w:t>
                              </w:r>
                            </w:p>
                            <w:p>
                              <w:pPr>
                                <w:adjustRightInd w:val="0"/>
                                <w:snapToGrid w:val="0"/>
                                <w:jc w:val="center"/>
                                <w:rPr>
                                  <w:rFonts w:hint="default" w:ascii="Wingdings" w:hAnsi="Wingdings" w:eastAsia="宋体"/>
                                  <w:szCs w:val="21"/>
                                  <w:lang w:val="en-US" w:eastAsia="zh-CN"/>
                                </w:rPr>
                              </w:pPr>
                            </w:p>
                          </w:txbxContent>
                        </v:textbox>
                      </v:shape>
                      <v:shape id="_x0000_s1026" o:spid="_x0000_s1026" o:spt="100" style="position:absolute;left:3625215;top:1022985;height:152400;width:190500;" filled="f" stroked="t" coordsize="474,460" o:gfxdata="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wOGrmdMAAAAFAQAADwAAAAAAAAABACAAAAAiAAAAZHJzL2Rvd25yZXYueG1s&#10;UEsBAhQAFAAAAAgAh07iQMtk2AOoAgAAuAUAAA4AAAAAAAAAAQAgAAAAIgEAAGRycy9lMm9Eb2Mu&#10;eG1sUEsFBgAAAAAGAAYAWQEAADwGAAAAAA==&#10;" path="m0,460c26,359,37,271,93,239c149,207,270,306,333,266c396,226,445,56,474,0e">
                        <v:fill on="f" focussize="0,0"/>
                        <v:stroke color="#000000" joinstyle="round" dashstyle="dash" endarrow="block"/>
                        <v:imagedata o:title=""/>
                        <o:lock v:ext="edit" aspectratio="f"/>
                      </v:shape>
                      <v:shape id="_x0000_s1026" o:spid="_x0000_s1026" o:spt="202" type="#_x0000_t202" style="position:absolute;left:2266950;top:1144270;height:161290;width:534035;"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7kCg8NUAAAAFAQAADwAAAAAAAAABACAAAAAiAAAAZHJzL2Rvd25yZXYu&#10;eG1sUEsBAhQAFAAAAAgAh07iQCgVDWTFAQAAfQMAAA4AAAAAAAAAAQAgAAAAJAEAAGRycy9lMm9E&#10;b2MueG1sUEsFBgAAAAAGAAYAWQEAAFsFAAAAAA==&#10;">
                        <v:fill on="f" focussize="0,0"/>
                        <v:stroke on="f"/>
                        <v:imagedata o:title=""/>
                        <o:lock v:ext="edit" aspectratio="f"/>
                        <v:textbox inset="0mm,0mm,0mm,0mm">
                          <w:txbxContent>
                            <w:p>
                              <w:pPr>
                                <w:adjustRightInd w:val="0"/>
                                <w:snapToGrid w:val="0"/>
                                <w:jc w:val="center"/>
                                <w:rPr>
                                  <w:rFonts w:hint="default" w:eastAsia="宋体"/>
                                  <w:szCs w:val="21"/>
                                  <w:lang w:val="en-US" w:eastAsia="zh-CN"/>
                                </w:rPr>
                              </w:pPr>
                              <w:r>
                                <w:rPr>
                                  <w:rFonts w:hint="eastAsia"/>
                                  <w:szCs w:val="21"/>
                                  <w:lang w:val="en-US" w:eastAsia="zh-CN"/>
                                </w:rPr>
                                <w:t>4000</w:t>
                              </w:r>
                            </w:p>
                          </w:txbxContent>
                        </v:textbox>
                      </v:shape>
                      <v:shape id="_x0000_s1026" o:spid="_x0000_s1026" o:spt="32" type="#_x0000_t32" style="position:absolute;left:3312795;top:1478915;height:244475;width:0;" filled="f" stroked="t" coordsize="21600,21600" o:gfxdata="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bMDiq1wAAAAUBAAAPAAAA&#10;AAAAAAEAIAAAACIAAABkcnMvZG93bnJldi54bWxQSwECFAAUAAAACACHTuJA91hFfhYCAAD7AwAA&#10;DgAAAAAAAAABACAAAAAmAQAAZHJzL2Uyb0RvYy54bWxQSwUGAAAAAAYABgBZAQAArgUAAAAA&#10;">
                        <v:fill on="f" focussize="0,0"/>
                        <v:stroke weight="1pt" color="#000000 [3213]" joinstyle="round" endarrow="open"/>
                        <v:imagedata o:title=""/>
                        <o:lock v:ext="edit" aspectratio="f"/>
                      </v:shape>
                      <v:shape id="_x0000_s1026" o:spid="_x0000_s1026" o:spt="32" type="#_x0000_t32" style="position:absolute;left:1943735;top:1746885;flip:x;height:0;width:1353185;" filled="f" stroked="t" coordsize="21600,21600" o:gfxdata="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tifE01QAAAAUBAAAPAAAAAAAAAAEAIAAAACIA&#10;AABkcnMvZG93bnJldi54bWxQSwECFAAUAAAACACHTuJAcFeoHQwCAADfAwAADgAAAAAAAAABACAA&#10;AAAkAQAAZHJzL2Uyb0RvYy54bWxQSwUGAAAAAAYABgBZAQAAogUAAAAA&#10;">
                        <v:fill on="f" focussize="0,0"/>
                        <v:stroke color="#000000 [3213]" joinstyle="round" endarrow="open"/>
                        <v:imagedata o:title=""/>
                        <o:lock v:ext="edit" aspectratio="f"/>
                      </v:shape>
                      <v:shape id="_x0000_s1026" o:spid="_x0000_s1026" o:spt="32" type="#_x0000_t32" style="position:absolute;left:1913255;top:1510030;flip:y;height:236855;width:0;" filled="f" stroked="t" coordsize="21600,21600" o:gfxdata="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YnxNNUAAAAFAQAADwAAAAAAAAABACAAAAAiAAAA&#10;ZHJzL2Rvd25yZXYueG1sUEsBAhQAFAAAAAgAh07iQA/Lrg4KAgAA3gMAAA4AAAAAAAAAAQAgAAAA&#10;JAEAAGRycy9lMm9Eb2MueG1sUEsFBgAAAAAGAAYAWQEAAKAFAAAAAA==&#10;">
                        <v:fill on="f" focussize="0,0"/>
                        <v:stroke color="#000000 [3213]" joinstyle="round" endarrow="open"/>
                        <v:imagedata o:title=""/>
                        <o:lock v:ext="edit" aspectratio="f"/>
                      </v:shape>
                      <v:shape id="_x0000_s1026" o:spid="_x0000_s1026" o:spt="202" type="#_x0000_t202" style="position:absolute;left:2291080;top:1520825;height:161290;width:534035;" filled="f" stroked="f" coordsize="21600,21600" o:gfxdata="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7kCg8NUAAAAFAQAADwAAAAAAAAABACAAAAAiAAAAZHJzL2Rvd25yZXYu&#10;eG1sUEsBAhQAFAAAAAgAh07iQK2cdK3FAQAAfwMAAA4AAAAAAAAAAQAgAAAAJAEAAGRycy9lMm9E&#10;b2MueG1sUEsFBgAAAAAGAAYAWQEAAFsFAAAAAA==&#10;">
                        <v:fill on="f" focussize="0,0"/>
                        <v:stroke on="f"/>
                        <v:imagedata o:title=""/>
                        <o:lock v:ext="edit" aspectratio="f"/>
                        <v:textbox inset="0mm,0mm,0mm,0mm">
                          <w:txbxContent>
                            <w:p>
                              <w:pPr>
                                <w:adjustRightInd w:val="0"/>
                                <w:snapToGrid w:val="0"/>
                                <w:jc w:val="center"/>
                                <w:rPr>
                                  <w:rFonts w:hint="default" w:eastAsia="宋体"/>
                                  <w:szCs w:val="21"/>
                                  <w:lang w:val="en-US" w:eastAsia="zh-CN"/>
                                </w:rPr>
                              </w:pPr>
                              <w:r>
                                <w:rPr>
                                  <w:rFonts w:hint="eastAsia"/>
                                  <w:szCs w:val="21"/>
                                  <w:lang w:val="en-US" w:eastAsia="zh-CN"/>
                                </w:rPr>
                                <w:t>3600</w:t>
                              </w:r>
                            </w:p>
                          </w:txbxContent>
                        </v:textbox>
                      </v:shape>
                      <w10:wrap type="none"/>
                      <w10:anchorlock/>
                    </v:group>
                  </w:pict>
                </mc:Fallback>
              </mc:AlternateContent>
            </w:r>
          </w:p>
          <w:p>
            <w:pPr>
              <w:spacing w:line="360" w:lineRule="auto"/>
              <w:ind w:firstLine="482" w:firstLineChars="200"/>
              <w:jc w:val="center"/>
              <w:rPr>
                <w:rFonts w:hint="eastAsia"/>
                <w:b/>
                <w:bCs/>
                <w:sz w:val="24"/>
              </w:rPr>
            </w:pPr>
            <w:r>
              <w:rPr>
                <w:rFonts w:hint="eastAsia"/>
                <w:b/>
                <w:bCs/>
                <w:sz w:val="24"/>
              </w:rPr>
              <w:t>图</w:t>
            </w:r>
            <w:r>
              <w:rPr>
                <w:rFonts w:hint="eastAsia"/>
                <w:b/>
                <w:bCs/>
                <w:sz w:val="24"/>
                <w:lang w:val="en-US" w:eastAsia="zh-CN"/>
              </w:rPr>
              <w:t>4</w:t>
            </w:r>
            <w:r>
              <w:rPr>
                <w:rFonts w:hint="eastAsia"/>
                <w:b/>
                <w:bCs/>
                <w:sz w:val="24"/>
              </w:rPr>
              <w:t>-</w:t>
            </w:r>
            <w:r>
              <w:rPr>
                <w:rFonts w:hint="eastAsia"/>
                <w:b/>
                <w:bCs/>
                <w:sz w:val="24"/>
                <w:lang w:val="en-US" w:eastAsia="zh-CN"/>
              </w:rPr>
              <w:t>10</w:t>
            </w:r>
            <w:r>
              <w:rPr>
                <w:rFonts w:hint="eastAsia"/>
                <w:b/>
                <w:bCs/>
                <w:sz w:val="24"/>
              </w:rPr>
              <w:t xml:space="preserve">  建设项目水平衡图（单位：t/a）</w:t>
            </w:r>
          </w:p>
          <w:p>
            <w:pPr>
              <w:spacing w:line="360" w:lineRule="auto"/>
              <w:ind w:firstLine="482" w:firstLineChars="200"/>
              <w:rPr>
                <w:rFonts w:hint="eastAsia"/>
                <w:b/>
                <w:bCs/>
                <w:sz w:val="24"/>
              </w:rPr>
            </w:pPr>
          </w:p>
          <w:p>
            <w:pPr>
              <w:spacing w:line="360" w:lineRule="auto"/>
              <w:ind w:firstLine="482" w:firstLineChars="200"/>
              <w:rPr>
                <w:rFonts w:hint="eastAsia"/>
                <w:b/>
                <w:bCs/>
                <w:sz w:val="24"/>
              </w:rPr>
            </w:pPr>
            <w:r>
              <w:rPr>
                <w:rFonts w:hint="eastAsia"/>
                <w:b/>
                <w:bCs/>
                <w:sz w:val="24"/>
              </w:rPr>
              <w:t>2.2废水防治措施可行性分析</w:t>
            </w:r>
          </w:p>
          <w:p>
            <w:pPr>
              <w:spacing w:line="360" w:lineRule="auto"/>
              <w:ind w:firstLine="480" w:firstLineChars="200"/>
              <w:contextualSpacing/>
              <w:rPr>
                <w:rFonts w:hint="default" w:eastAsia="宋体"/>
                <w:sz w:val="24"/>
                <w:lang w:val="en-US" w:eastAsia="zh-CN"/>
              </w:rPr>
            </w:pPr>
            <w:r>
              <w:rPr>
                <w:sz w:val="24"/>
              </w:rPr>
              <w:t>项目建成后生活污水废水总量为</w:t>
            </w:r>
            <w:r>
              <w:rPr>
                <w:rFonts w:hint="eastAsia"/>
                <w:sz w:val="24"/>
                <w:lang w:val="en-US" w:eastAsia="zh-CN"/>
              </w:rPr>
              <w:t>1200</w:t>
            </w:r>
            <w:r>
              <w:rPr>
                <w:sz w:val="24"/>
              </w:rPr>
              <w:t>t/a，</w:t>
            </w:r>
            <w:r>
              <w:rPr>
                <w:rFonts w:hint="eastAsia"/>
                <w:sz w:val="24"/>
                <w:lang w:eastAsia="zh-CN"/>
              </w:rPr>
              <w:t>接入宜兴市城市污水处理厂集中处理</w:t>
            </w:r>
            <w:r>
              <w:rPr>
                <w:sz w:val="24"/>
              </w:rPr>
              <w:t>。</w:t>
            </w:r>
            <w:r>
              <w:rPr>
                <w:rFonts w:hint="eastAsia"/>
                <w:sz w:val="24"/>
                <w:lang w:eastAsia="zh-CN"/>
              </w:rPr>
              <w:t>生活污水中</w:t>
            </w:r>
            <w:r>
              <w:rPr>
                <w:rFonts w:hint="eastAsia"/>
                <w:sz w:val="24"/>
                <w:lang w:val="en-US" w:eastAsia="zh-CN"/>
              </w:rPr>
              <w:t>COD、SS、NH</w:t>
            </w:r>
            <w:r>
              <w:rPr>
                <w:rFonts w:hint="eastAsia"/>
                <w:sz w:val="24"/>
                <w:vertAlign w:val="subscript"/>
                <w:lang w:val="en-US" w:eastAsia="zh-CN"/>
              </w:rPr>
              <w:t>3</w:t>
            </w:r>
            <w:r>
              <w:rPr>
                <w:rFonts w:hint="eastAsia"/>
                <w:sz w:val="24"/>
                <w:lang w:val="en-US" w:eastAsia="zh-CN"/>
              </w:rPr>
              <w:t>-N、TP、TN浓度分别为400mg/L、300mg/L、30mg/L、5mg/L、45mg/L，可完全满足宜兴市城市污水处理厂接管要求。</w:t>
            </w:r>
          </w:p>
          <w:p>
            <w:pPr>
              <w:spacing w:line="360" w:lineRule="auto"/>
              <w:ind w:firstLine="480" w:firstLineChars="200"/>
              <w:contextualSpacing/>
            </w:pPr>
            <w:r>
              <w:rPr>
                <w:sz w:val="24"/>
              </w:rPr>
              <w:t>生活污水经化粪池处理达接管标准后，经厂区污水管网收集排入市政污水管网，接入</w:t>
            </w:r>
            <w:r>
              <w:rPr>
                <w:rFonts w:hint="eastAsia"/>
                <w:sz w:val="24"/>
                <w:lang w:eastAsia="zh-CN"/>
              </w:rPr>
              <w:t>城市污水处理厂</w:t>
            </w:r>
            <w:r>
              <w:rPr>
                <w:sz w:val="24"/>
              </w:rPr>
              <w:t>进行深度处理，处理达到《城镇污水处理厂污染物排放标准》（GB18918-2002）表1中一级A标准和《太湖地区城镇污水处理厂及重点工业行业主要水污染物排放限值》（DB32/1072-2018）表</w:t>
            </w:r>
            <w:r>
              <w:rPr>
                <w:rFonts w:hint="eastAsia"/>
                <w:sz w:val="24"/>
                <w:lang w:val="en-US" w:eastAsia="zh-CN"/>
              </w:rPr>
              <w:t>2</w:t>
            </w:r>
            <w:r>
              <w:rPr>
                <w:sz w:val="24"/>
              </w:rPr>
              <w:t>中标准后，最终尾水排入</w:t>
            </w:r>
            <w:r>
              <w:rPr>
                <w:rFonts w:hint="eastAsia"/>
                <w:sz w:val="24"/>
                <w:lang w:eastAsia="zh-CN"/>
              </w:rPr>
              <w:t>武宜运河</w:t>
            </w:r>
            <w:r>
              <w:rPr>
                <w:sz w:val="24"/>
              </w:rPr>
              <w:t>。</w:t>
            </w:r>
          </w:p>
          <w:p>
            <w:pPr>
              <w:pStyle w:val="162"/>
              <w:contextualSpacing/>
              <w:rPr>
                <w:sz w:val="24"/>
              </w:rPr>
            </w:pPr>
            <w:r>
              <w:rPr>
                <w:sz w:val="24"/>
              </w:rPr>
              <w:t>接管污水处理厂可行性分析：</w:t>
            </w:r>
          </w:p>
          <w:p>
            <w:pPr>
              <w:spacing w:line="360" w:lineRule="auto"/>
              <w:ind w:firstLine="480" w:firstLineChars="200"/>
              <w:contextualSpacing/>
              <w:rPr>
                <w:sz w:val="24"/>
              </w:rPr>
            </w:pPr>
            <w:r>
              <w:rPr>
                <w:sz w:val="24"/>
              </w:rPr>
              <w:t>1）从水质来看，建设项目废水主要为生活污水，主要污染因子为化学需氧量、悬浮物、氨氮、总磷和总氮；废水中的各项污染物浓度可达到</w:t>
            </w:r>
            <w:r>
              <w:rPr>
                <w:rFonts w:hint="eastAsia"/>
                <w:sz w:val="24"/>
                <w:lang w:eastAsia="zh-CN"/>
              </w:rPr>
              <w:t>城市污水处理厂</w:t>
            </w:r>
            <w:r>
              <w:rPr>
                <w:sz w:val="24"/>
              </w:rPr>
              <w:t>的接管标准，对污水处理厂负荷冲击不大。</w:t>
            </w:r>
          </w:p>
          <w:p>
            <w:pPr>
              <w:spacing w:line="360" w:lineRule="auto"/>
              <w:ind w:firstLine="480" w:firstLineChars="200"/>
              <w:contextualSpacing/>
              <w:rPr>
                <w:sz w:val="24"/>
              </w:rPr>
            </w:pPr>
            <w:r>
              <w:rPr>
                <w:sz w:val="24"/>
              </w:rPr>
              <w:t>2）从水量来看，项目产生的废水排放量为</w:t>
            </w:r>
            <w:r>
              <w:rPr>
                <w:rFonts w:hint="eastAsia"/>
                <w:sz w:val="24"/>
                <w:lang w:val="en-US" w:eastAsia="zh-CN"/>
              </w:rPr>
              <w:t>4</w:t>
            </w:r>
            <w:r>
              <w:rPr>
                <w:sz w:val="24"/>
              </w:rPr>
              <w:t>t/d，占</w:t>
            </w:r>
            <w:r>
              <w:rPr>
                <w:rFonts w:hint="eastAsia"/>
                <w:sz w:val="24"/>
                <w:lang w:eastAsia="zh-CN"/>
              </w:rPr>
              <w:t>城市污水处理厂</w:t>
            </w:r>
            <w:r>
              <w:rPr>
                <w:sz w:val="24"/>
              </w:rPr>
              <w:t>日处理能力很小一部分，尚有足够余量接纳本项目污水，可见本项目污水进入</w:t>
            </w:r>
            <w:r>
              <w:rPr>
                <w:rFonts w:hint="eastAsia"/>
                <w:sz w:val="24"/>
                <w:lang w:eastAsia="zh-CN"/>
              </w:rPr>
              <w:t>城市污水处理厂</w:t>
            </w:r>
            <w:r>
              <w:rPr>
                <w:sz w:val="24"/>
              </w:rPr>
              <w:t>处理不会对其正常运行产生不良影响。</w:t>
            </w:r>
          </w:p>
          <w:p>
            <w:pPr>
              <w:spacing w:line="360" w:lineRule="auto"/>
              <w:ind w:firstLine="480" w:firstLineChars="200"/>
              <w:contextualSpacing/>
              <w:rPr>
                <w:sz w:val="24"/>
              </w:rPr>
            </w:pPr>
            <w:r>
              <w:rPr>
                <w:sz w:val="24"/>
              </w:rPr>
              <w:t>3）从接管范围来看，项目位于江苏</w:t>
            </w:r>
            <w:r>
              <w:rPr>
                <w:rFonts w:hint="eastAsia"/>
                <w:sz w:val="24"/>
                <w:lang w:eastAsia="zh-CN"/>
              </w:rPr>
              <w:t>宜兴市高塍镇桃园工业区鑫运来路</w:t>
            </w:r>
            <w:r>
              <w:rPr>
                <w:rFonts w:hint="eastAsia"/>
                <w:sz w:val="24"/>
                <w:lang w:val="en-US" w:eastAsia="zh-CN"/>
              </w:rPr>
              <w:t>1号</w:t>
            </w:r>
            <w:r>
              <w:rPr>
                <w:sz w:val="24"/>
              </w:rPr>
              <w:t>，所在地污水管网已铺设到位，已取得城镇污水排入排水管网许可证。因此，项目产生的废水进入宜兴市城市污水处理厂处理是可行的。</w:t>
            </w:r>
          </w:p>
          <w:p>
            <w:pPr>
              <w:spacing w:line="360" w:lineRule="auto"/>
              <w:ind w:firstLine="480" w:firstLineChars="200"/>
              <w:contextualSpacing/>
              <w:rPr>
                <w:sz w:val="24"/>
              </w:rPr>
            </w:pPr>
            <w:r>
              <w:rPr>
                <w:sz w:val="24"/>
              </w:rPr>
              <w:t>综上所述，项目废水经采取上述措施处理后，废水接入</w:t>
            </w:r>
            <w:r>
              <w:rPr>
                <w:rFonts w:hint="eastAsia"/>
                <w:sz w:val="24"/>
                <w:lang w:eastAsia="zh-CN"/>
              </w:rPr>
              <w:t>城市污水处理厂</w:t>
            </w:r>
            <w:r>
              <w:rPr>
                <w:sz w:val="24"/>
              </w:rPr>
              <w:t>处理后达《城镇污水处理厂污染物排放标准》（GB18918-2002）表1中一级A标准和《太湖地区城镇污水处理厂及重点工业行业主要水污染物排放限值》（DB32/1072-2018）表1中标准后，最终尾水排入</w:t>
            </w:r>
            <w:r>
              <w:rPr>
                <w:rFonts w:hint="eastAsia"/>
                <w:sz w:val="24"/>
                <w:lang w:eastAsia="zh-CN"/>
              </w:rPr>
              <w:t>武宜运河</w:t>
            </w:r>
            <w:r>
              <w:rPr>
                <w:sz w:val="24"/>
              </w:rPr>
              <w:t>。</w:t>
            </w:r>
          </w:p>
          <w:p>
            <w:pPr>
              <w:spacing w:line="360" w:lineRule="auto"/>
              <w:ind w:firstLine="480" w:firstLineChars="200"/>
              <w:contextualSpacing/>
              <w:rPr>
                <w:sz w:val="24"/>
              </w:rPr>
            </w:pPr>
            <w:r>
              <w:rPr>
                <w:rFonts w:hint="eastAsia"/>
                <w:sz w:val="24"/>
                <w:lang w:eastAsia="zh-CN"/>
              </w:rPr>
              <w:t>城市污水处理厂</w:t>
            </w:r>
            <w:r>
              <w:rPr>
                <w:sz w:val="24"/>
              </w:rPr>
              <w:t>概况</w:t>
            </w:r>
          </w:p>
          <w:p>
            <w:pPr>
              <w:spacing w:line="360" w:lineRule="auto"/>
              <w:ind w:firstLine="480" w:firstLineChars="200"/>
              <w:contextualSpacing/>
              <w:rPr>
                <w:sz w:val="24"/>
              </w:rPr>
            </w:pPr>
            <w:r>
              <w:rPr>
                <w:rFonts w:hint="default" w:ascii="Times New Roman" w:hAnsi="Times New Roman" w:eastAsia="宋体" w:cs="Times New Roman"/>
                <w:b w:val="0"/>
                <w:bCs w:val="0"/>
                <w:sz w:val="24"/>
                <w:szCs w:val="22"/>
                <w:lang w:val="zh-CN"/>
              </w:rPr>
              <w:t>宜兴市城市污水处理厂位于荆溪北路与永盛路交叉口，东临长青路、北靠万人港，于2014年12月建成并投入试运行。2018年污水处理厂进行了提标改造后，全厂污水处理规模为10万m</w:t>
            </w:r>
            <w:r>
              <w:rPr>
                <w:rFonts w:hint="default" w:ascii="Times New Roman" w:hAnsi="Times New Roman" w:eastAsia="宋体" w:cs="Times New Roman"/>
                <w:b w:val="0"/>
                <w:bCs w:val="0"/>
                <w:sz w:val="24"/>
                <w:szCs w:val="22"/>
                <w:vertAlign w:val="superscript"/>
                <w:lang w:val="zh-CN"/>
              </w:rPr>
              <w:t>3</w:t>
            </w:r>
            <w:r>
              <w:rPr>
                <w:rFonts w:hint="default" w:ascii="Times New Roman" w:hAnsi="Times New Roman" w:eastAsia="宋体" w:cs="Times New Roman"/>
                <w:b w:val="0"/>
                <w:bCs w:val="0"/>
                <w:sz w:val="24"/>
                <w:szCs w:val="22"/>
                <w:lang w:val="zh-CN"/>
              </w:rPr>
              <w:t>/d，其中7.5万m</w:t>
            </w:r>
            <w:r>
              <w:rPr>
                <w:rFonts w:hint="default" w:ascii="Times New Roman" w:hAnsi="Times New Roman" w:eastAsia="宋体" w:cs="Times New Roman"/>
                <w:b w:val="0"/>
                <w:bCs w:val="0"/>
                <w:sz w:val="24"/>
                <w:szCs w:val="22"/>
                <w:vertAlign w:val="superscript"/>
                <w:lang w:val="zh-CN"/>
              </w:rPr>
              <w:t>3</w:t>
            </w:r>
            <w:r>
              <w:rPr>
                <w:rFonts w:hint="default" w:ascii="Times New Roman" w:hAnsi="Times New Roman" w:eastAsia="宋体" w:cs="Times New Roman"/>
                <w:b w:val="0"/>
                <w:bCs w:val="0"/>
                <w:sz w:val="24"/>
                <w:szCs w:val="22"/>
                <w:lang w:val="zh-CN"/>
              </w:rPr>
              <w:t>/d 采用</w:t>
            </w:r>
            <w:r>
              <w:rPr>
                <w:rFonts w:hint="eastAsia" w:eastAsia="宋体" w:cs="Times New Roman"/>
                <w:b w:val="0"/>
                <w:bCs w:val="0"/>
                <w:sz w:val="24"/>
                <w:szCs w:val="22"/>
                <w:lang w:val="zh-CN"/>
              </w:rPr>
              <w:t>“</w:t>
            </w:r>
            <w:r>
              <w:rPr>
                <w:rFonts w:hint="default" w:ascii="Times New Roman" w:hAnsi="Times New Roman" w:eastAsia="宋体" w:cs="Times New Roman"/>
                <w:b w:val="0"/>
                <w:bCs w:val="0"/>
                <w:sz w:val="24"/>
                <w:szCs w:val="22"/>
                <w:lang w:val="zh-CN"/>
              </w:rPr>
              <w:t>水解酸化+A²/0生物池+二沉池+磁混凝沉淀池+滤布滤池+紫外消毒+次氯酸钠消毒</w:t>
            </w:r>
            <w:r>
              <w:rPr>
                <w:rFonts w:hint="eastAsia" w:eastAsia="宋体" w:cs="Times New Roman"/>
                <w:b w:val="0"/>
                <w:bCs w:val="0"/>
                <w:sz w:val="24"/>
                <w:szCs w:val="22"/>
                <w:lang w:val="zh-CN"/>
              </w:rPr>
              <w:t>“</w:t>
            </w:r>
            <w:r>
              <w:rPr>
                <w:rFonts w:hint="default" w:ascii="Times New Roman" w:hAnsi="Times New Roman" w:eastAsia="宋体" w:cs="Times New Roman"/>
                <w:b w:val="0"/>
                <w:bCs w:val="0"/>
                <w:sz w:val="24"/>
                <w:szCs w:val="22"/>
                <w:lang w:val="zh-CN"/>
              </w:rPr>
              <w:t>工艺处理后7万m</w:t>
            </w:r>
            <w:r>
              <w:rPr>
                <w:rFonts w:hint="default" w:ascii="Times New Roman" w:hAnsi="Times New Roman" w:eastAsia="宋体" w:cs="Times New Roman"/>
                <w:b w:val="0"/>
                <w:bCs w:val="0"/>
                <w:sz w:val="24"/>
                <w:szCs w:val="22"/>
                <w:vertAlign w:val="superscript"/>
                <w:lang w:val="zh-CN"/>
              </w:rPr>
              <w:t>3</w:t>
            </w:r>
            <w:r>
              <w:rPr>
                <w:rFonts w:hint="default" w:ascii="Times New Roman" w:hAnsi="Times New Roman" w:eastAsia="宋体" w:cs="Times New Roman"/>
                <w:b w:val="0"/>
                <w:bCs w:val="0"/>
                <w:sz w:val="24"/>
                <w:szCs w:val="22"/>
                <w:lang w:val="zh-CN"/>
              </w:rPr>
              <w:t>/d外排，0.5万m</w:t>
            </w:r>
            <w:r>
              <w:rPr>
                <w:rFonts w:hint="default" w:ascii="Times New Roman" w:hAnsi="Times New Roman" w:eastAsia="宋体" w:cs="Times New Roman"/>
                <w:b w:val="0"/>
                <w:bCs w:val="0"/>
                <w:sz w:val="24"/>
                <w:szCs w:val="22"/>
                <w:vertAlign w:val="superscript"/>
                <w:lang w:val="zh-CN"/>
              </w:rPr>
              <w:t>3</w:t>
            </w:r>
            <w:r>
              <w:rPr>
                <w:rFonts w:hint="default" w:ascii="Times New Roman" w:hAnsi="Times New Roman" w:eastAsia="宋体" w:cs="Times New Roman"/>
                <w:b w:val="0"/>
                <w:bCs w:val="0"/>
                <w:sz w:val="24"/>
                <w:szCs w:val="22"/>
                <w:lang w:val="zh-CN"/>
              </w:rPr>
              <w:t>/d排入临近的宜兴水专项人工湿地改善工程作为生态补水回用。剩余2.5万m</w:t>
            </w:r>
            <w:r>
              <w:rPr>
                <w:rFonts w:hint="default" w:ascii="Times New Roman" w:hAnsi="Times New Roman" w:eastAsia="宋体" w:cs="Times New Roman"/>
                <w:b w:val="0"/>
                <w:bCs w:val="0"/>
                <w:sz w:val="24"/>
                <w:szCs w:val="22"/>
                <w:vertAlign w:val="superscript"/>
                <w:lang w:val="zh-CN"/>
              </w:rPr>
              <w:t>3</w:t>
            </w:r>
            <w:r>
              <w:rPr>
                <w:rFonts w:hint="default" w:ascii="Times New Roman" w:hAnsi="Times New Roman" w:eastAsia="宋体" w:cs="Times New Roman"/>
                <w:b w:val="0"/>
                <w:bCs w:val="0"/>
                <w:sz w:val="24"/>
                <w:szCs w:val="22"/>
                <w:lang w:val="zh-CN"/>
              </w:rPr>
              <w:t>/d 采用</w:t>
            </w:r>
            <w:r>
              <w:rPr>
                <w:rFonts w:hint="eastAsia" w:eastAsia="宋体" w:cs="Times New Roman"/>
                <w:b w:val="0"/>
                <w:bCs w:val="0"/>
                <w:sz w:val="24"/>
                <w:szCs w:val="22"/>
                <w:lang w:val="zh-CN"/>
              </w:rPr>
              <w:t>“</w:t>
            </w:r>
            <w:r>
              <w:rPr>
                <w:rFonts w:hint="default" w:ascii="Times New Roman" w:hAnsi="Times New Roman" w:eastAsia="宋体" w:cs="Times New Roman"/>
                <w:b w:val="0"/>
                <w:bCs w:val="0"/>
                <w:sz w:val="24"/>
                <w:szCs w:val="22"/>
                <w:lang w:val="zh-CN"/>
              </w:rPr>
              <w:t>水解酸化+A/0生物池+二沉池+磁混凝沉淀池+滤布滤池+膜过滤</w:t>
            </w:r>
            <w:r>
              <w:rPr>
                <w:rFonts w:hint="eastAsia" w:eastAsia="宋体" w:cs="Times New Roman"/>
                <w:b w:val="0"/>
                <w:bCs w:val="0"/>
                <w:sz w:val="24"/>
                <w:szCs w:val="22"/>
                <w:lang w:val="zh-CN"/>
              </w:rPr>
              <w:t>“</w:t>
            </w:r>
            <w:r>
              <w:rPr>
                <w:rFonts w:hint="default" w:ascii="Times New Roman" w:hAnsi="Times New Roman" w:eastAsia="宋体" w:cs="Times New Roman"/>
                <w:b w:val="0"/>
                <w:bCs w:val="0"/>
                <w:sz w:val="24"/>
                <w:szCs w:val="22"/>
                <w:lang w:val="zh-CN"/>
              </w:rPr>
              <w:t>处理后回用。全厂总回用水量3万m</w:t>
            </w:r>
            <w:r>
              <w:rPr>
                <w:rFonts w:hint="default" w:ascii="Times New Roman" w:hAnsi="Times New Roman" w:eastAsia="宋体" w:cs="Times New Roman"/>
                <w:b w:val="0"/>
                <w:bCs w:val="0"/>
                <w:sz w:val="24"/>
                <w:szCs w:val="22"/>
                <w:vertAlign w:val="superscript"/>
                <w:lang w:val="zh-CN"/>
              </w:rPr>
              <w:t>3</w:t>
            </w:r>
            <w:r>
              <w:rPr>
                <w:rFonts w:hint="default" w:ascii="Times New Roman" w:hAnsi="Times New Roman" w:eastAsia="宋体" w:cs="Times New Roman"/>
                <w:b w:val="0"/>
                <w:bCs w:val="0"/>
                <w:sz w:val="24"/>
                <w:szCs w:val="22"/>
                <w:lang w:val="zh-CN"/>
              </w:rPr>
              <w:t>/d，回用率达到30%。全厂出水水质中COD、氨氮、总氮、总磷执行《太湖地区城镇污水处理厂及重点工业行业主要水污染物排放限值》（DB321072-2018）中表1标准，其它污染物执行《城镇污水处理厂污染物排放标准》</w:t>
            </w:r>
            <w:r>
              <w:rPr>
                <w:sz w:val="24"/>
              </w:rPr>
              <w:t>。</w:t>
            </w:r>
          </w:p>
          <w:p>
            <w:pPr>
              <w:pStyle w:val="35"/>
              <w:rPr>
                <w:rFonts w:hint="eastAsia" w:ascii="Times New Roman" w:hAnsi="宋体"/>
                <w:sz w:val="24"/>
                <w:lang w:val="zh-CN"/>
              </w:rPr>
            </w:pPr>
            <w:r>
              <w:rPr>
                <w:rFonts w:hint="eastAsia" w:ascii="Times New Roman" w:hAnsi="宋体"/>
                <w:sz w:val="24"/>
                <w:lang w:val="zh-CN"/>
              </w:rPr>
              <w:t>宜兴市城市污水处理厂工艺流程框图如下：</w:t>
            </w:r>
          </w:p>
          <w:p>
            <w:pPr>
              <w:pStyle w:val="34"/>
            </w:pPr>
            <w:r>
              <w:rPr>
                <w:rFonts w:ascii="Times New Roman" w:hAnsi="Times New Roman"/>
              </w:rPr>
              <w:drawing>
                <wp:inline distT="0" distB="0" distL="114300" distR="114300">
                  <wp:extent cx="4853305" cy="2792730"/>
                  <wp:effectExtent l="0" t="0" r="10795" b="1270"/>
                  <wp:docPr id="2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
                          <pic:cNvPicPr>
                            <a:picLocks noChangeAspect="1"/>
                          </pic:cNvPicPr>
                        </pic:nvPicPr>
                        <pic:blipFill>
                          <a:blip r:embed="rId9"/>
                          <a:stretch>
                            <a:fillRect/>
                          </a:stretch>
                        </pic:blipFill>
                        <pic:spPr>
                          <a:xfrm>
                            <a:off x="0" y="0"/>
                            <a:ext cx="4853305" cy="2792730"/>
                          </a:xfrm>
                          <a:prstGeom prst="rect">
                            <a:avLst/>
                          </a:prstGeom>
                          <a:noFill/>
                          <a:ln>
                            <a:noFill/>
                          </a:ln>
                        </pic:spPr>
                      </pic:pic>
                    </a:graphicData>
                  </a:graphic>
                </wp:inline>
              </w:drawing>
            </w:r>
          </w:p>
          <w:p>
            <w:pPr>
              <w:pStyle w:val="6"/>
              <w:spacing w:line="240" w:lineRule="auto"/>
              <w:jc w:val="center"/>
              <w:rPr>
                <w:sz w:val="24"/>
                <w:szCs w:val="24"/>
              </w:rPr>
            </w:pPr>
            <w:r>
              <w:rPr>
                <w:sz w:val="24"/>
                <w:szCs w:val="24"/>
              </w:rPr>
              <w:t>图</w:t>
            </w:r>
            <w:r>
              <w:rPr>
                <w:rFonts w:hint="eastAsia"/>
                <w:sz w:val="24"/>
                <w:szCs w:val="24"/>
                <w:lang w:val="en-US" w:eastAsia="zh-CN"/>
              </w:rPr>
              <w:t>4-11</w:t>
            </w:r>
            <w:r>
              <w:rPr>
                <w:rFonts w:hint="eastAsia"/>
                <w:sz w:val="24"/>
                <w:szCs w:val="24"/>
                <w:lang w:eastAsia="zh-CN"/>
              </w:rPr>
              <w:t>城市污水处理厂</w:t>
            </w:r>
            <w:r>
              <w:rPr>
                <w:sz w:val="24"/>
                <w:szCs w:val="24"/>
              </w:rPr>
              <w:t>工艺流程框图</w:t>
            </w:r>
          </w:p>
          <w:p>
            <w:pPr>
              <w:adjustRightInd w:val="0"/>
              <w:spacing w:line="360" w:lineRule="auto"/>
              <w:ind w:firstLine="480" w:firstLineChars="200"/>
              <w:rPr>
                <w:sz w:val="24"/>
              </w:rPr>
            </w:pPr>
            <w:r>
              <w:rPr>
                <w:sz w:val="24"/>
              </w:rPr>
              <w:t>本项目生活污水经现有污水管网，排入</w:t>
            </w:r>
            <w:r>
              <w:rPr>
                <w:rFonts w:hint="eastAsia"/>
                <w:sz w:val="24"/>
                <w:lang w:eastAsia="zh-CN"/>
              </w:rPr>
              <w:t>城市污水处理厂</w:t>
            </w:r>
            <w:r>
              <w:rPr>
                <w:sz w:val="24"/>
              </w:rPr>
              <w:t>；经目前本项目所在区域污水主干管已铺设到位，生活污水已接管至污水管网，纳入</w:t>
            </w:r>
            <w:r>
              <w:rPr>
                <w:rFonts w:hint="eastAsia"/>
                <w:sz w:val="24"/>
                <w:lang w:eastAsia="zh-CN"/>
              </w:rPr>
              <w:t>城市污水处理厂</w:t>
            </w:r>
            <w:r>
              <w:rPr>
                <w:sz w:val="24"/>
              </w:rPr>
              <w:t>集中处理。</w:t>
            </w:r>
          </w:p>
          <w:p>
            <w:pPr>
              <w:adjustRightInd w:val="0"/>
              <w:spacing w:line="360" w:lineRule="auto"/>
              <w:ind w:firstLine="480" w:firstLineChars="200"/>
              <w:rPr>
                <w:sz w:val="24"/>
              </w:rPr>
            </w:pPr>
            <w:r>
              <w:rPr>
                <w:sz w:val="24"/>
              </w:rPr>
              <w:t>综上可见，本项目废水</w:t>
            </w:r>
            <w:r>
              <w:rPr>
                <w:rFonts w:hint="eastAsia"/>
                <w:sz w:val="24"/>
                <w:lang w:eastAsia="zh-CN"/>
              </w:rPr>
              <w:t>城市污水处理厂</w:t>
            </w:r>
            <w:r>
              <w:rPr>
                <w:sz w:val="24"/>
              </w:rPr>
              <w:t>集中处理是可行的，也是可靠的。</w:t>
            </w:r>
          </w:p>
          <w:p>
            <w:pPr>
              <w:spacing w:line="520" w:lineRule="exact"/>
              <w:ind w:firstLine="482" w:firstLineChars="200"/>
              <w:rPr>
                <w:b/>
                <w:sz w:val="24"/>
              </w:rPr>
            </w:pPr>
            <w:r>
              <w:rPr>
                <w:rFonts w:hint="eastAsia"/>
                <w:b/>
                <w:sz w:val="24"/>
              </w:rPr>
              <w:t>2</w:t>
            </w:r>
            <w:r>
              <w:rPr>
                <w:b/>
                <w:sz w:val="24"/>
              </w:rPr>
              <w:t>.3</w:t>
            </w:r>
            <w:r>
              <w:rPr>
                <w:rFonts w:hint="eastAsia"/>
                <w:b/>
                <w:sz w:val="24"/>
              </w:rPr>
              <w:t>达标排放分析</w:t>
            </w:r>
          </w:p>
          <w:p>
            <w:pPr>
              <w:spacing w:line="360" w:lineRule="auto"/>
              <w:ind w:firstLine="480" w:firstLineChars="200"/>
              <w:contextualSpacing/>
              <w:jc w:val="left"/>
              <w:rPr>
                <w:sz w:val="24"/>
              </w:rPr>
            </w:pPr>
            <w:r>
              <w:rPr>
                <w:rFonts w:hint="eastAsia"/>
                <w:sz w:val="24"/>
              </w:rPr>
              <w:t>本项目废水污染物产排情况见表4-</w:t>
            </w:r>
            <w:r>
              <w:rPr>
                <w:rFonts w:hint="eastAsia"/>
                <w:sz w:val="24"/>
                <w:lang w:val="en-US" w:eastAsia="zh-CN"/>
              </w:rPr>
              <w:t>12</w:t>
            </w:r>
            <w:r>
              <w:rPr>
                <w:rFonts w:hint="eastAsia"/>
                <w:sz w:val="24"/>
              </w:rPr>
              <w:t>。</w:t>
            </w:r>
          </w:p>
          <w:p>
            <w:pPr>
              <w:jc w:val="center"/>
              <w:rPr>
                <w:b/>
                <w:bCs/>
                <w:sz w:val="24"/>
              </w:rPr>
            </w:pPr>
            <w:r>
              <w:rPr>
                <w:b/>
                <w:bCs/>
                <w:sz w:val="24"/>
              </w:rPr>
              <w:t>表</w:t>
            </w:r>
            <w:r>
              <w:rPr>
                <w:rFonts w:hint="eastAsia"/>
                <w:b/>
                <w:bCs/>
                <w:sz w:val="24"/>
              </w:rPr>
              <w:t>4</w:t>
            </w:r>
            <w:r>
              <w:rPr>
                <w:b/>
                <w:bCs/>
                <w:sz w:val="24"/>
              </w:rPr>
              <w:t>-</w:t>
            </w:r>
            <w:r>
              <w:rPr>
                <w:rFonts w:hint="eastAsia"/>
                <w:b/>
                <w:bCs/>
                <w:sz w:val="24"/>
                <w:lang w:val="en-US" w:eastAsia="zh-CN"/>
              </w:rPr>
              <w:t>12</w:t>
            </w:r>
            <w:r>
              <w:rPr>
                <w:b/>
                <w:bCs/>
                <w:sz w:val="24"/>
              </w:rPr>
              <w:t xml:space="preserve"> 项目废水污染物产生、排放情况表</w:t>
            </w:r>
          </w:p>
          <w:tbl>
            <w:tblPr>
              <w:tblStyle w:val="36"/>
              <w:tblW w:w="4996"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15" w:type="dxa"/>
                <w:left w:w="15" w:type="dxa"/>
                <w:bottom w:w="15" w:type="dxa"/>
                <w:right w:w="15" w:type="dxa"/>
              </w:tblCellMar>
            </w:tblPr>
            <w:tblGrid>
              <w:gridCol w:w="862"/>
              <w:gridCol w:w="829"/>
              <w:gridCol w:w="843"/>
              <w:gridCol w:w="967"/>
              <w:gridCol w:w="952"/>
              <w:gridCol w:w="1173"/>
              <w:gridCol w:w="938"/>
              <w:gridCol w:w="192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540" w:hRule="atLeast"/>
              </w:trPr>
              <w:tc>
                <w:tcPr>
                  <w:tcW w:w="507" w:type="pct"/>
                  <w:vAlign w:val="center"/>
                </w:tcPr>
                <w:p>
                  <w:pPr>
                    <w:widowControl/>
                    <w:jc w:val="center"/>
                    <w:textAlignment w:val="center"/>
                    <w:rPr>
                      <w:b/>
                      <w:szCs w:val="21"/>
                    </w:rPr>
                  </w:pPr>
                  <w:r>
                    <w:rPr>
                      <w:b/>
                      <w:kern w:val="0"/>
                      <w:szCs w:val="21"/>
                    </w:rPr>
                    <w:t>污染源</w:t>
                  </w:r>
                </w:p>
              </w:tc>
              <w:tc>
                <w:tcPr>
                  <w:tcW w:w="488" w:type="pct"/>
                  <w:vAlign w:val="center"/>
                </w:tcPr>
                <w:p>
                  <w:pPr>
                    <w:widowControl/>
                    <w:jc w:val="center"/>
                    <w:textAlignment w:val="center"/>
                    <w:rPr>
                      <w:b/>
                      <w:szCs w:val="21"/>
                    </w:rPr>
                  </w:pPr>
                  <w:r>
                    <w:rPr>
                      <w:b/>
                      <w:kern w:val="0"/>
                      <w:szCs w:val="21"/>
                    </w:rPr>
                    <w:t>废水量t/a</w:t>
                  </w:r>
                </w:p>
              </w:tc>
              <w:tc>
                <w:tcPr>
                  <w:tcW w:w="496" w:type="pct"/>
                  <w:vAlign w:val="center"/>
                </w:tcPr>
                <w:p>
                  <w:pPr>
                    <w:widowControl/>
                    <w:jc w:val="center"/>
                    <w:textAlignment w:val="center"/>
                    <w:rPr>
                      <w:b/>
                      <w:szCs w:val="21"/>
                    </w:rPr>
                  </w:pPr>
                  <w:r>
                    <w:rPr>
                      <w:b/>
                      <w:kern w:val="0"/>
                      <w:szCs w:val="21"/>
                    </w:rPr>
                    <w:t>污染物</w:t>
                  </w:r>
                </w:p>
              </w:tc>
              <w:tc>
                <w:tcPr>
                  <w:tcW w:w="569" w:type="pct"/>
                  <w:vAlign w:val="center"/>
                </w:tcPr>
                <w:p>
                  <w:pPr>
                    <w:widowControl/>
                    <w:jc w:val="center"/>
                    <w:textAlignment w:val="center"/>
                    <w:rPr>
                      <w:b/>
                      <w:szCs w:val="21"/>
                    </w:rPr>
                  </w:pPr>
                  <w:r>
                    <w:rPr>
                      <w:b/>
                      <w:kern w:val="0"/>
                      <w:szCs w:val="21"/>
                    </w:rPr>
                    <w:t>产生浓度mg/L</w:t>
                  </w:r>
                </w:p>
              </w:tc>
              <w:tc>
                <w:tcPr>
                  <w:tcW w:w="560" w:type="pct"/>
                  <w:vAlign w:val="center"/>
                </w:tcPr>
                <w:p>
                  <w:pPr>
                    <w:widowControl/>
                    <w:jc w:val="center"/>
                    <w:textAlignment w:val="center"/>
                    <w:rPr>
                      <w:b/>
                      <w:szCs w:val="21"/>
                    </w:rPr>
                  </w:pPr>
                  <w:r>
                    <w:rPr>
                      <w:b/>
                      <w:kern w:val="0"/>
                      <w:szCs w:val="21"/>
                    </w:rPr>
                    <w:t>产生量t/a</w:t>
                  </w:r>
                </w:p>
              </w:tc>
              <w:tc>
                <w:tcPr>
                  <w:tcW w:w="690" w:type="pct"/>
                  <w:vAlign w:val="center"/>
                </w:tcPr>
                <w:p>
                  <w:pPr>
                    <w:widowControl/>
                    <w:jc w:val="center"/>
                    <w:textAlignment w:val="center"/>
                    <w:rPr>
                      <w:b/>
                      <w:szCs w:val="21"/>
                    </w:rPr>
                  </w:pPr>
                  <w:r>
                    <w:rPr>
                      <w:b/>
                      <w:kern w:val="0"/>
                      <w:szCs w:val="21"/>
                    </w:rPr>
                    <w:t>处理措施</w:t>
                  </w:r>
                </w:p>
              </w:tc>
              <w:tc>
                <w:tcPr>
                  <w:tcW w:w="552" w:type="pct"/>
                  <w:vAlign w:val="center"/>
                </w:tcPr>
                <w:p>
                  <w:pPr>
                    <w:widowControl/>
                    <w:jc w:val="center"/>
                    <w:textAlignment w:val="center"/>
                    <w:rPr>
                      <w:b/>
                      <w:szCs w:val="21"/>
                    </w:rPr>
                  </w:pPr>
                  <w:r>
                    <w:rPr>
                      <w:b/>
                      <w:kern w:val="0"/>
                      <w:szCs w:val="21"/>
                    </w:rPr>
                    <w:t>接管浓度mg/L</w:t>
                  </w:r>
                </w:p>
              </w:tc>
              <w:tc>
                <w:tcPr>
                  <w:tcW w:w="1133" w:type="pct"/>
                  <w:vAlign w:val="center"/>
                </w:tcPr>
                <w:p>
                  <w:pPr>
                    <w:widowControl/>
                    <w:jc w:val="center"/>
                    <w:textAlignment w:val="center"/>
                    <w:rPr>
                      <w:b/>
                      <w:color w:val="000000"/>
                      <w:szCs w:val="21"/>
                    </w:rPr>
                  </w:pPr>
                  <w:r>
                    <w:rPr>
                      <w:b/>
                      <w:color w:val="000000"/>
                      <w:kern w:val="0"/>
                      <w:szCs w:val="21"/>
                    </w:rPr>
                    <w:t>去向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507" w:type="pct"/>
                  <w:vMerge w:val="restart"/>
                  <w:vAlign w:val="center"/>
                </w:tcPr>
                <w:p>
                  <w:pPr>
                    <w:widowControl/>
                    <w:jc w:val="center"/>
                    <w:textAlignment w:val="center"/>
                    <w:rPr>
                      <w:szCs w:val="21"/>
                    </w:rPr>
                  </w:pPr>
                  <w:r>
                    <w:rPr>
                      <w:kern w:val="0"/>
                      <w:szCs w:val="21"/>
                    </w:rPr>
                    <w:t>职工生活污水</w:t>
                  </w:r>
                </w:p>
              </w:tc>
              <w:tc>
                <w:tcPr>
                  <w:tcW w:w="488" w:type="pct"/>
                  <w:vMerge w:val="restart"/>
                  <w:vAlign w:val="center"/>
                </w:tcPr>
                <w:p>
                  <w:pPr>
                    <w:widowControl/>
                    <w:jc w:val="center"/>
                    <w:textAlignment w:val="center"/>
                    <w:rPr>
                      <w:rFonts w:hint="default" w:eastAsia="宋体"/>
                      <w:szCs w:val="21"/>
                      <w:lang w:val="en-US" w:eastAsia="zh-CN"/>
                    </w:rPr>
                  </w:pPr>
                  <w:r>
                    <w:rPr>
                      <w:kern w:val="0"/>
                      <w:szCs w:val="21"/>
                    </w:rPr>
                    <w:t>1</w:t>
                  </w:r>
                  <w:r>
                    <w:rPr>
                      <w:rFonts w:hint="eastAsia"/>
                      <w:kern w:val="0"/>
                      <w:szCs w:val="21"/>
                      <w:lang w:val="en-US" w:eastAsia="zh-CN"/>
                    </w:rPr>
                    <w:t>200</w:t>
                  </w:r>
                </w:p>
              </w:tc>
              <w:tc>
                <w:tcPr>
                  <w:tcW w:w="496" w:type="pct"/>
                  <w:vAlign w:val="center"/>
                </w:tcPr>
                <w:p>
                  <w:pPr>
                    <w:widowControl/>
                    <w:jc w:val="center"/>
                    <w:textAlignment w:val="center"/>
                    <w:rPr>
                      <w:szCs w:val="21"/>
                    </w:rPr>
                  </w:pPr>
                  <w:r>
                    <w:rPr>
                      <w:kern w:val="0"/>
                      <w:szCs w:val="21"/>
                    </w:rPr>
                    <w:t>COD</w:t>
                  </w:r>
                </w:p>
              </w:tc>
              <w:tc>
                <w:tcPr>
                  <w:tcW w:w="569" w:type="pct"/>
                  <w:vAlign w:val="center"/>
                </w:tcPr>
                <w:p>
                  <w:pPr>
                    <w:pStyle w:val="61"/>
                    <w:spacing w:before="24" w:after="24"/>
                    <w:rPr>
                      <w:rFonts w:ascii="Times New Roman"/>
                    </w:rPr>
                  </w:pPr>
                  <w:r>
                    <w:rPr>
                      <w:rFonts w:ascii="Times New Roman"/>
                      <w:kern w:val="2"/>
                    </w:rPr>
                    <w:t>400</w:t>
                  </w:r>
                </w:p>
              </w:tc>
              <w:tc>
                <w:tcPr>
                  <w:tcW w:w="560" w:type="pct"/>
                  <w:vAlign w:val="center"/>
                </w:tcPr>
                <w:p>
                  <w:pPr>
                    <w:pStyle w:val="61"/>
                    <w:spacing w:before="24" w:after="24"/>
                    <w:rPr>
                      <w:rFonts w:hint="default" w:ascii="Times New Roman" w:eastAsia="宋体"/>
                      <w:lang w:val="en-US" w:eastAsia="zh-CN"/>
                    </w:rPr>
                  </w:pPr>
                  <w:r>
                    <w:rPr>
                      <w:rFonts w:hint="eastAsia" w:ascii="Times New Roman"/>
                      <w:lang w:val="en-US" w:eastAsia="zh-CN"/>
                    </w:rPr>
                    <w:t>0.48</w:t>
                  </w:r>
                </w:p>
              </w:tc>
              <w:tc>
                <w:tcPr>
                  <w:tcW w:w="690" w:type="pct"/>
                  <w:vMerge w:val="restart"/>
                  <w:vAlign w:val="center"/>
                </w:tcPr>
                <w:p>
                  <w:pPr>
                    <w:widowControl/>
                    <w:jc w:val="center"/>
                    <w:textAlignment w:val="center"/>
                    <w:rPr>
                      <w:szCs w:val="21"/>
                    </w:rPr>
                  </w:pPr>
                  <w:r>
                    <w:rPr>
                      <w:kern w:val="0"/>
                      <w:szCs w:val="21"/>
                    </w:rPr>
                    <w:t>化粪池</w:t>
                  </w:r>
                </w:p>
              </w:tc>
              <w:tc>
                <w:tcPr>
                  <w:tcW w:w="552" w:type="pct"/>
                  <w:vAlign w:val="center"/>
                </w:tcPr>
                <w:p>
                  <w:pPr>
                    <w:pStyle w:val="61"/>
                    <w:spacing w:before="24" w:after="24"/>
                    <w:rPr>
                      <w:rFonts w:ascii="Times New Roman"/>
                    </w:rPr>
                  </w:pPr>
                  <w:r>
                    <w:rPr>
                      <w:rFonts w:ascii="Times New Roman"/>
                      <w:kern w:val="2"/>
                    </w:rPr>
                    <w:t>400</w:t>
                  </w:r>
                </w:p>
              </w:tc>
              <w:tc>
                <w:tcPr>
                  <w:tcW w:w="1133" w:type="pct"/>
                  <w:vMerge w:val="restart"/>
                  <w:vAlign w:val="center"/>
                </w:tcPr>
                <w:p>
                  <w:pPr>
                    <w:jc w:val="center"/>
                    <w:rPr>
                      <w:color w:val="000000"/>
                      <w:szCs w:val="21"/>
                    </w:rPr>
                  </w:pPr>
                  <w:r>
                    <w:rPr>
                      <w:szCs w:val="21"/>
                    </w:rPr>
                    <w:t>达到接管标准后接入</w:t>
                  </w:r>
                  <w:r>
                    <w:rPr>
                      <w:rFonts w:hint="eastAsia"/>
                      <w:szCs w:val="21"/>
                      <w:lang w:eastAsia="zh-CN"/>
                    </w:rPr>
                    <w:t>城市污水处理厂</w:t>
                  </w:r>
                  <w:r>
                    <w:rPr>
                      <w:szCs w:val="21"/>
                    </w:rPr>
                    <w:t>进行深度处理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507" w:type="pct"/>
                  <w:vMerge w:val="continue"/>
                  <w:vAlign w:val="center"/>
                </w:tcPr>
                <w:p>
                  <w:pPr>
                    <w:jc w:val="center"/>
                    <w:rPr>
                      <w:szCs w:val="21"/>
                    </w:rPr>
                  </w:pPr>
                </w:p>
              </w:tc>
              <w:tc>
                <w:tcPr>
                  <w:tcW w:w="488" w:type="pct"/>
                  <w:vMerge w:val="continue"/>
                  <w:vAlign w:val="center"/>
                </w:tcPr>
                <w:p>
                  <w:pPr>
                    <w:jc w:val="center"/>
                    <w:rPr>
                      <w:szCs w:val="21"/>
                    </w:rPr>
                  </w:pPr>
                </w:p>
              </w:tc>
              <w:tc>
                <w:tcPr>
                  <w:tcW w:w="496" w:type="pct"/>
                  <w:vAlign w:val="center"/>
                </w:tcPr>
                <w:p>
                  <w:pPr>
                    <w:widowControl/>
                    <w:jc w:val="center"/>
                    <w:textAlignment w:val="center"/>
                    <w:rPr>
                      <w:szCs w:val="21"/>
                    </w:rPr>
                  </w:pPr>
                  <w:r>
                    <w:rPr>
                      <w:kern w:val="0"/>
                      <w:szCs w:val="21"/>
                    </w:rPr>
                    <w:t>SS</w:t>
                  </w:r>
                </w:p>
              </w:tc>
              <w:tc>
                <w:tcPr>
                  <w:tcW w:w="569" w:type="pct"/>
                  <w:vAlign w:val="center"/>
                </w:tcPr>
                <w:p>
                  <w:pPr>
                    <w:pStyle w:val="61"/>
                    <w:spacing w:before="24" w:after="24"/>
                    <w:rPr>
                      <w:rFonts w:ascii="Times New Roman"/>
                    </w:rPr>
                  </w:pPr>
                  <w:r>
                    <w:rPr>
                      <w:rFonts w:ascii="Times New Roman"/>
                      <w:kern w:val="2"/>
                    </w:rPr>
                    <w:t>300</w:t>
                  </w:r>
                </w:p>
              </w:tc>
              <w:tc>
                <w:tcPr>
                  <w:tcW w:w="560" w:type="pct"/>
                  <w:vAlign w:val="center"/>
                </w:tcPr>
                <w:p>
                  <w:pPr>
                    <w:pStyle w:val="61"/>
                    <w:spacing w:before="24" w:after="24"/>
                    <w:rPr>
                      <w:rFonts w:hint="default" w:ascii="Times New Roman" w:eastAsia="宋体"/>
                      <w:lang w:val="en-US" w:eastAsia="zh-CN"/>
                    </w:rPr>
                  </w:pPr>
                  <w:r>
                    <w:rPr>
                      <w:rFonts w:hint="eastAsia" w:ascii="Times New Roman"/>
                      <w:lang w:val="en-US" w:eastAsia="zh-CN"/>
                    </w:rPr>
                    <w:t>0.36</w:t>
                  </w:r>
                </w:p>
              </w:tc>
              <w:tc>
                <w:tcPr>
                  <w:tcW w:w="690" w:type="pct"/>
                  <w:vMerge w:val="continue"/>
                  <w:vAlign w:val="center"/>
                </w:tcPr>
                <w:p>
                  <w:pPr>
                    <w:jc w:val="center"/>
                    <w:rPr>
                      <w:szCs w:val="21"/>
                    </w:rPr>
                  </w:pPr>
                </w:p>
              </w:tc>
              <w:tc>
                <w:tcPr>
                  <w:tcW w:w="552" w:type="pct"/>
                  <w:vAlign w:val="center"/>
                </w:tcPr>
                <w:p>
                  <w:pPr>
                    <w:pStyle w:val="61"/>
                    <w:spacing w:before="24" w:after="24"/>
                    <w:rPr>
                      <w:rFonts w:ascii="Times New Roman"/>
                    </w:rPr>
                  </w:pPr>
                  <w:r>
                    <w:rPr>
                      <w:rFonts w:ascii="Times New Roman"/>
                      <w:kern w:val="2"/>
                    </w:rPr>
                    <w:t>300</w:t>
                  </w:r>
                </w:p>
              </w:tc>
              <w:tc>
                <w:tcPr>
                  <w:tcW w:w="1133" w:type="pct"/>
                  <w:vMerge w:val="continue"/>
                  <w:vAlign w:val="center"/>
                </w:tcPr>
                <w:p>
                  <w:pPr>
                    <w:jc w:val="center"/>
                    <w:rPr>
                      <w:color w:val="000000"/>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507" w:type="pct"/>
                  <w:vMerge w:val="continue"/>
                  <w:vAlign w:val="center"/>
                </w:tcPr>
                <w:p>
                  <w:pPr>
                    <w:jc w:val="center"/>
                    <w:rPr>
                      <w:szCs w:val="21"/>
                    </w:rPr>
                  </w:pPr>
                </w:p>
              </w:tc>
              <w:tc>
                <w:tcPr>
                  <w:tcW w:w="488" w:type="pct"/>
                  <w:vMerge w:val="continue"/>
                  <w:vAlign w:val="center"/>
                </w:tcPr>
                <w:p>
                  <w:pPr>
                    <w:jc w:val="center"/>
                    <w:rPr>
                      <w:szCs w:val="21"/>
                    </w:rPr>
                  </w:pPr>
                </w:p>
              </w:tc>
              <w:tc>
                <w:tcPr>
                  <w:tcW w:w="496" w:type="pct"/>
                  <w:vAlign w:val="center"/>
                </w:tcPr>
                <w:p>
                  <w:pPr>
                    <w:widowControl/>
                    <w:jc w:val="center"/>
                    <w:textAlignment w:val="center"/>
                    <w:rPr>
                      <w:szCs w:val="21"/>
                    </w:rPr>
                  </w:pPr>
                  <w:r>
                    <w:rPr>
                      <w:kern w:val="0"/>
                      <w:szCs w:val="21"/>
                    </w:rPr>
                    <w:t>氨氮</w:t>
                  </w:r>
                </w:p>
              </w:tc>
              <w:tc>
                <w:tcPr>
                  <w:tcW w:w="569" w:type="pct"/>
                  <w:vAlign w:val="center"/>
                </w:tcPr>
                <w:p>
                  <w:pPr>
                    <w:pStyle w:val="61"/>
                    <w:spacing w:before="24" w:after="24"/>
                    <w:rPr>
                      <w:rFonts w:ascii="Times New Roman"/>
                    </w:rPr>
                  </w:pPr>
                  <w:r>
                    <w:rPr>
                      <w:rFonts w:ascii="Times New Roman"/>
                      <w:kern w:val="2"/>
                    </w:rPr>
                    <w:t>30</w:t>
                  </w:r>
                </w:p>
              </w:tc>
              <w:tc>
                <w:tcPr>
                  <w:tcW w:w="560" w:type="pct"/>
                  <w:vAlign w:val="center"/>
                </w:tcPr>
                <w:p>
                  <w:pPr>
                    <w:pStyle w:val="61"/>
                    <w:spacing w:before="24" w:after="24"/>
                    <w:rPr>
                      <w:rFonts w:hint="default" w:ascii="Times New Roman" w:eastAsia="宋体"/>
                      <w:lang w:val="en-US" w:eastAsia="zh-CN"/>
                    </w:rPr>
                  </w:pPr>
                  <w:r>
                    <w:rPr>
                      <w:rFonts w:hint="eastAsia" w:ascii="Times New Roman"/>
                      <w:lang w:val="en-US" w:eastAsia="zh-CN"/>
                    </w:rPr>
                    <w:t>0.036</w:t>
                  </w:r>
                </w:p>
              </w:tc>
              <w:tc>
                <w:tcPr>
                  <w:tcW w:w="690" w:type="pct"/>
                  <w:vMerge w:val="continue"/>
                  <w:vAlign w:val="center"/>
                </w:tcPr>
                <w:p>
                  <w:pPr>
                    <w:jc w:val="center"/>
                    <w:rPr>
                      <w:szCs w:val="21"/>
                    </w:rPr>
                  </w:pPr>
                </w:p>
              </w:tc>
              <w:tc>
                <w:tcPr>
                  <w:tcW w:w="552" w:type="pct"/>
                  <w:vAlign w:val="center"/>
                </w:tcPr>
                <w:p>
                  <w:pPr>
                    <w:pStyle w:val="61"/>
                    <w:spacing w:before="24" w:after="24"/>
                    <w:rPr>
                      <w:rFonts w:ascii="Times New Roman"/>
                    </w:rPr>
                  </w:pPr>
                  <w:r>
                    <w:rPr>
                      <w:rFonts w:ascii="Times New Roman"/>
                      <w:kern w:val="2"/>
                    </w:rPr>
                    <w:t>30</w:t>
                  </w:r>
                </w:p>
              </w:tc>
              <w:tc>
                <w:tcPr>
                  <w:tcW w:w="1133" w:type="pct"/>
                  <w:vMerge w:val="continue"/>
                  <w:vAlign w:val="center"/>
                </w:tcPr>
                <w:p>
                  <w:pPr>
                    <w:jc w:val="center"/>
                    <w:rPr>
                      <w:color w:val="000000"/>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507" w:type="pct"/>
                  <w:vMerge w:val="continue"/>
                  <w:vAlign w:val="center"/>
                </w:tcPr>
                <w:p>
                  <w:pPr>
                    <w:jc w:val="center"/>
                    <w:rPr>
                      <w:szCs w:val="21"/>
                    </w:rPr>
                  </w:pPr>
                </w:p>
              </w:tc>
              <w:tc>
                <w:tcPr>
                  <w:tcW w:w="488" w:type="pct"/>
                  <w:vMerge w:val="continue"/>
                  <w:vAlign w:val="center"/>
                </w:tcPr>
                <w:p>
                  <w:pPr>
                    <w:jc w:val="center"/>
                    <w:rPr>
                      <w:szCs w:val="21"/>
                    </w:rPr>
                  </w:pPr>
                </w:p>
              </w:tc>
              <w:tc>
                <w:tcPr>
                  <w:tcW w:w="496" w:type="pct"/>
                  <w:vAlign w:val="center"/>
                </w:tcPr>
                <w:p>
                  <w:pPr>
                    <w:widowControl/>
                    <w:jc w:val="center"/>
                    <w:textAlignment w:val="center"/>
                    <w:rPr>
                      <w:szCs w:val="21"/>
                    </w:rPr>
                  </w:pPr>
                  <w:r>
                    <w:rPr>
                      <w:kern w:val="0"/>
                      <w:szCs w:val="21"/>
                    </w:rPr>
                    <w:t>TP</w:t>
                  </w:r>
                </w:p>
              </w:tc>
              <w:tc>
                <w:tcPr>
                  <w:tcW w:w="569" w:type="pct"/>
                  <w:vAlign w:val="center"/>
                </w:tcPr>
                <w:p>
                  <w:pPr>
                    <w:pStyle w:val="61"/>
                    <w:spacing w:before="24" w:after="24"/>
                    <w:rPr>
                      <w:rFonts w:ascii="Times New Roman"/>
                    </w:rPr>
                  </w:pPr>
                  <w:r>
                    <w:rPr>
                      <w:rFonts w:ascii="Times New Roman"/>
                      <w:kern w:val="2"/>
                    </w:rPr>
                    <w:t>5</w:t>
                  </w:r>
                </w:p>
              </w:tc>
              <w:tc>
                <w:tcPr>
                  <w:tcW w:w="560" w:type="pct"/>
                  <w:vAlign w:val="center"/>
                </w:tcPr>
                <w:p>
                  <w:pPr>
                    <w:pStyle w:val="61"/>
                    <w:spacing w:before="24" w:after="24"/>
                    <w:rPr>
                      <w:rFonts w:hint="default" w:ascii="Times New Roman" w:eastAsia="宋体"/>
                      <w:lang w:val="en-US" w:eastAsia="zh-CN"/>
                    </w:rPr>
                  </w:pPr>
                  <w:r>
                    <w:rPr>
                      <w:rFonts w:hint="eastAsia" w:ascii="Times New Roman"/>
                      <w:lang w:val="en-US" w:eastAsia="zh-CN"/>
                    </w:rPr>
                    <w:t>0.006</w:t>
                  </w:r>
                </w:p>
              </w:tc>
              <w:tc>
                <w:tcPr>
                  <w:tcW w:w="690" w:type="pct"/>
                  <w:vMerge w:val="continue"/>
                  <w:vAlign w:val="center"/>
                </w:tcPr>
                <w:p>
                  <w:pPr>
                    <w:jc w:val="center"/>
                    <w:rPr>
                      <w:szCs w:val="21"/>
                    </w:rPr>
                  </w:pPr>
                </w:p>
              </w:tc>
              <w:tc>
                <w:tcPr>
                  <w:tcW w:w="552" w:type="pct"/>
                  <w:vAlign w:val="center"/>
                </w:tcPr>
                <w:p>
                  <w:pPr>
                    <w:pStyle w:val="61"/>
                    <w:spacing w:before="24" w:after="24"/>
                    <w:rPr>
                      <w:rFonts w:ascii="Times New Roman"/>
                    </w:rPr>
                  </w:pPr>
                  <w:r>
                    <w:rPr>
                      <w:rFonts w:ascii="Times New Roman"/>
                      <w:kern w:val="2"/>
                    </w:rPr>
                    <w:t>5</w:t>
                  </w:r>
                </w:p>
              </w:tc>
              <w:tc>
                <w:tcPr>
                  <w:tcW w:w="1133" w:type="pct"/>
                  <w:vMerge w:val="continue"/>
                  <w:vAlign w:val="center"/>
                </w:tcPr>
                <w:p>
                  <w:pPr>
                    <w:jc w:val="center"/>
                    <w:rPr>
                      <w:color w:val="000000"/>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507" w:type="pct"/>
                  <w:vMerge w:val="continue"/>
                  <w:vAlign w:val="center"/>
                </w:tcPr>
                <w:p>
                  <w:pPr>
                    <w:jc w:val="center"/>
                    <w:rPr>
                      <w:szCs w:val="21"/>
                    </w:rPr>
                  </w:pPr>
                </w:p>
              </w:tc>
              <w:tc>
                <w:tcPr>
                  <w:tcW w:w="488" w:type="pct"/>
                  <w:vMerge w:val="continue"/>
                  <w:vAlign w:val="center"/>
                </w:tcPr>
                <w:p>
                  <w:pPr>
                    <w:jc w:val="center"/>
                    <w:rPr>
                      <w:szCs w:val="21"/>
                    </w:rPr>
                  </w:pPr>
                </w:p>
              </w:tc>
              <w:tc>
                <w:tcPr>
                  <w:tcW w:w="496" w:type="pct"/>
                  <w:vAlign w:val="center"/>
                </w:tcPr>
                <w:p>
                  <w:pPr>
                    <w:widowControl/>
                    <w:jc w:val="center"/>
                    <w:textAlignment w:val="center"/>
                    <w:rPr>
                      <w:kern w:val="0"/>
                      <w:szCs w:val="21"/>
                    </w:rPr>
                  </w:pPr>
                  <w:r>
                    <w:rPr>
                      <w:kern w:val="0"/>
                      <w:szCs w:val="21"/>
                    </w:rPr>
                    <w:t>TN</w:t>
                  </w:r>
                </w:p>
              </w:tc>
              <w:tc>
                <w:tcPr>
                  <w:tcW w:w="569" w:type="pct"/>
                  <w:vAlign w:val="center"/>
                </w:tcPr>
                <w:p>
                  <w:pPr>
                    <w:pStyle w:val="61"/>
                    <w:spacing w:before="24" w:after="24"/>
                    <w:rPr>
                      <w:rFonts w:ascii="Times New Roman"/>
                    </w:rPr>
                  </w:pPr>
                  <w:r>
                    <w:rPr>
                      <w:rFonts w:ascii="Times New Roman"/>
                      <w:kern w:val="2"/>
                    </w:rPr>
                    <w:t>40</w:t>
                  </w:r>
                </w:p>
              </w:tc>
              <w:tc>
                <w:tcPr>
                  <w:tcW w:w="560" w:type="pct"/>
                  <w:vAlign w:val="center"/>
                </w:tcPr>
                <w:p>
                  <w:pPr>
                    <w:pStyle w:val="61"/>
                    <w:spacing w:before="24" w:after="24"/>
                    <w:rPr>
                      <w:rFonts w:hint="default" w:ascii="Times New Roman" w:eastAsia="宋体"/>
                      <w:lang w:val="en-US" w:eastAsia="zh-CN"/>
                    </w:rPr>
                  </w:pPr>
                  <w:r>
                    <w:rPr>
                      <w:rFonts w:hint="eastAsia" w:ascii="Times New Roman"/>
                      <w:lang w:val="en-US" w:eastAsia="zh-CN"/>
                    </w:rPr>
                    <w:t>0.054</w:t>
                  </w:r>
                </w:p>
              </w:tc>
              <w:tc>
                <w:tcPr>
                  <w:tcW w:w="690" w:type="pct"/>
                  <w:vMerge w:val="continue"/>
                  <w:vAlign w:val="center"/>
                </w:tcPr>
                <w:p>
                  <w:pPr>
                    <w:jc w:val="center"/>
                    <w:rPr>
                      <w:szCs w:val="21"/>
                    </w:rPr>
                  </w:pPr>
                </w:p>
              </w:tc>
              <w:tc>
                <w:tcPr>
                  <w:tcW w:w="552" w:type="pct"/>
                  <w:vAlign w:val="center"/>
                </w:tcPr>
                <w:p>
                  <w:pPr>
                    <w:pStyle w:val="61"/>
                    <w:spacing w:before="24" w:after="24"/>
                    <w:rPr>
                      <w:rFonts w:ascii="Times New Roman"/>
                    </w:rPr>
                  </w:pPr>
                  <w:r>
                    <w:rPr>
                      <w:rFonts w:ascii="Times New Roman"/>
                      <w:kern w:val="2"/>
                    </w:rPr>
                    <w:t>40</w:t>
                  </w:r>
                </w:p>
              </w:tc>
              <w:tc>
                <w:tcPr>
                  <w:tcW w:w="1133" w:type="pct"/>
                  <w:vMerge w:val="continue"/>
                  <w:vAlign w:val="center"/>
                </w:tcPr>
                <w:p>
                  <w:pPr>
                    <w:jc w:val="center"/>
                    <w:rPr>
                      <w:color w:val="000000"/>
                      <w:szCs w:val="21"/>
                    </w:rPr>
                  </w:pPr>
                </w:p>
              </w:tc>
            </w:tr>
          </w:tbl>
          <w:p>
            <w:pPr>
              <w:spacing w:line="360" w:lineRule="auto"/>
              <w:ind w:firstLine="480" w:firstLineChars="200"/>
              <w:contextualSpacing/>
              <w:jc w:val="left"/>
              <w:rPr>
                <w:b/>
                <w:sz w:val="24"/>
              </w:rPr>
            </w:pPr>
            <w:r>
              <w:rPr>
                <w:sz w:val="24"/>
              </w:rPr>
              <w:t>根据《环境影响评价技术导则-地表水环境》（HJ2.3-2018）“10.2需明确给出污染源排放量核算结果，填写建设项目污染物排放信息表”，具体信息见表</w:t>
            </w:r>
            <w:r>
              <w:rPr>
                <w:rFonts w:hint="eastAsia"/>
                <w:sz w:val="24"/>
              </w:rPr>
              <w:t>4-</w:t>
            </w:r>
            <w:r>
              <w:rPr>
                <w:rFonts w:hint="eastAsia"/>
                <w:sz w:val="24"/>
                <w:lang w:val="en-US" w:eastAsia="zh-CN"/>
              </w:rPr>
              <w:t>13</w:t>
            </w:r>
            <w:r>
              <w:rPr>
                <w:sz w:val="24"/>
              </w:rPr>
              <w:t>。</w:t>
            </w:r>
          </w:p>
          <w:p>
            <w:pPr>
              <w:contextualSpacing/>
              <w:jc w:val="center"/>
              <w:rPr>
                <w:b/>
                <w:sz w:val="24"/>
              </w:rPr>
            </w:pPr>
            <w:r>
              <w:rPr>
                <w:b/>
                <w:sz w:val="24"/>
              </w:rPr>
              <w:t>表</w:t>
            </w:r>
            <w:r>
              <w:rPr>
                <w:rFonts w:hint="eastAsia"/>
                <w:b/>
                <w:sz w:val="24"/>
              </w:rPr>
              <w:t>4</w:t>
            </w:r>
            <w:r>
              <w:rPr>
                <w:b/>
                <w:sz w:val="24"/>
              </w:rPr>
              <w:t>-</w:t>
            </w:r>
            <w:r>
              <w:rPr>
                <w:rFonts w:hint="eastAsia"/>
                <w:b/>
                <w:sz w:val="24"/>
                <w:lang w:val="en-US" w:eastAsia="zh-CN"/>
              </w:rPr>
              <w:t>13</w:t>
            </w:r>
            <w:r>
              <w:rPr>
                <w:b/>
                <w:sz w:val="24"/>
              </w:rPr>
              <w:t xml:space="preserve"> 本项目废水类别、污染物及污染治理设施信息</w:t>
            </w:r>
          </w:p>
          <w:tbl>
            <w:tblPr>
              <w:tblStyle w:val="36"/>
              <w:tblW w:w="496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427"/>
              <w:gridCol w:w="810"/>
              <w:gridCol w:w="1073"/>
              <w:gridCol w:w="737"/>
              <w:gridCol w:w="825"/>
              <w:gridCol w:w="779"/>
              <w:gridCol w:w="882"/>
              <w:gridCol w:w="768"/>
              <w:gridCol w:w="17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vMerge w:val="restart"/>
                  <w:vAlign w:val="center"/>
                </w:tcPr>
                <w:p>
                  <w:pPr>
                    <w:jc w:val="center"/>
                    <w:rPr>
                      <w:b/>
                      <w:szCs w:val="21"/>
                    </w:rPr>
                  </w:pPr>
                  <w:r>
                    <w:rPr>
                      <w:b/>
                      <w:szCs w:val="21"/>
                    </w:rPr>
                    <w:t>序号</w:t>
                  </w:r>
                </w:p>
              </w:tc>
              <w:tc>
                <w:tcPr>
                  <w:tcW w:w="253" w:type="pct"/>
                  <w:vMerge w:val="restart"/>
                  <w:vAlign w:val="center"/>
                </w:tcPr>
                <w:p>
                  <w:pPr>
                    <w:jc w:val="center"/>
                    <w:rPr>
                      <w:b/>
                      <w:szCs w:val="21"/>
                    </w:rPr>
                  </w:pPr>
                  <w:r>
                    <w:rPr>
                      <w:b/>
                      <w:szCs w:val="21"/>
                    </w:rPr>
                    <w:t>废水类别</w:t>
                  </w:r>
                </w:p>
              </w:tc>
              <w:tc>
                <w:tcPr>
                  <w:tcW w:w="480" w:type="pct"/>
                  <w:vMerge w:val="restart"/>
                  <w:vAlign w:val="center"/>
                </w:tcPr>
                <w:p>
                  <w:pPr>
                    <w:jc w:val="center"/>
                    <w:rPr>
                      <w:b/>
                      <w:szCs w:val="21"/>
                    </w:rPr>
                  </w:pPr>
                  <w:r>
                    <w:rPr>
                      <w:b/>
                      <w:szCs w:val="21"/>
                    </w:rPr>
                    <w:t>污染物种类</w:t>
                  </w:r>
                </w:p>
              </w:tc>
              <w:tc>
                <w:tcPr>
                  <w:tcW w:w="636" w:type="pct"/>
                  <w:vMerge w:val="restart"/>
                  <w:vAlign w:val="center"/>
                </w:tcPr>
                <w:p>
                  <w:pPr>
                    <w:jc w:val="center"/>
                    <w:rPr>
                      <w:b/>
                      <w:szCs w:val="21"/>
                    </w:rPr>
                  </w:pPr>
                  <w:r>
                    <w:rPr>
                      <w:b/>
                      <w:szCs w:val="21"/>
                    </w:rPr>
                    <w:t>排放</w:t>
                  </w:r>
                </w:p>
                <w:p>
                  <w:pPr>
                    <w:jc w:val="center"/>
                    <w:rPr>
                      <w:b/>
                      <w:szCs w:val="21"/>
                    </w:rPr>
                  </w:pPr>
                  <w:r>
                    <w:rPr>
                      <w:b/>
                      <w:szCs w:val="21"/>
                    </w:rPr>
                    <w:t>规律</w:t>
                  </w:r>
                </w:p>
              </w:tc>
              <w:tc>
                <w:tcPr>
                  <w:tcW w:w="1388" w:type="pct"/>
                  <w:gridSpan w:val="3"/>
                  <w:vAlign w:val="center"/>
                </w:tcPr>
                <w:p>
                  <w:pPr>
                    <w:jc w:val="center"/>
                    <w:rPr>
                      <w:b/>
                      <w:szCs w:val="21"/>
                    </w:rPr>
                  </w:pPr>
                  <w:r>
                    <w:rPr>
                      <w:b/>
                      <w:szCs w:val="21"/>
                    </w:rPr>
                    <w:t>污染治理设施</w:t>
                  </w:r>
                </w:p>
              </w:tc>
              <w:tc>
                <w:tcPr>
                  <w:tcW w:w="523" w:type="pct"/>
                  <w:vMerge w:val="restart"/>
                  <w:vAlign w:val="center"/>
                </w:tcPr>
                <w:p>
                  <w:pPr>
                    <w:jc w:val="center"/>
                    <w:rPr>
                      <w:b/>
                      <w:szCs w:val="21"/>
                    </w:rPr>
                  </w:pPr>
                  <w:r>
                    <w:rPr>
                      <w:b/>
                      <w:szCs w:val="21"/>
                    </w:rPr>
                    <w:t>排放口编号</w:t>
                  </w:r>
                </w:p>
              </w:tc>
              <w:tc>
                <w:tcPr>
                  <w:tcW w:w="455" w:type="pct"/>
                  <w:vMerge w:val="restart"/>
                  <w:vAlign w:val="center"/>
                </w:tcPr>
                <w:p>
                  <w:pPr>
                    <w:jc w:val="center"/>
                    <w:rPr>
                      <w:b/>
                      <w:szCs w:val="21"/>
                    </w:rPr>
                  </w:pPr>
                  <w:r>
                    <w:rPr>
                      <w:b/>
                      <w:szCs w:val="21"/>
                    </w:rPr>
                    <w:t>排放口设施是否符合要求</w:t>
                  </w:r>
                </w:p>
              </w:tc>
              <w:tc>
                <w:tcPr>
                  <w:tcW w:w="1008" w:type="pct"/>
                  <w:vMerge w:val="restart"/>
                  <w:vAlign w:val="center"/>
                </w:tcPr>
                <w:p>
                  <w:pPr>
                    <w:jc w:val="center"/>
                    <w:rPr>
                      <w:b/>
                      <w:szCs w:val="21"/>
                    </w:rPr>
                  </w:pPr>
                  <w:r>
                    <w:rPr>
                      <w:b/>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vMerge w:val="continue"/>
                  <w:vAlign w:val="center"/>
                </w:tcPr>
                <w:p>
                  <w:pPr>
                    <w:widowControl/>
                    <w:jc w:val="left"/>
                    <w:rPr>
                      <w:szCs w:val="21"/>
                    </w:rPr>
                  </w:pPr>
                </w:p>
              </w:tc>
              <w:tc>
                <w:tcPr>
                  <w:tcW w:w="253" w:type="pct"/>
                  <w:vMerge w:val="continue"/>
                  <w:vAlign w:val="center"/>
                </w:tcPr>
                <w:p>
                  <w:pPr>
                    <w:widowControl/>
                    <w:jc w:val="left"/>
                    <w:rPr>
                      <w:szCs w:val="21"/>
                    </w:rPr>
                  </w:pPr>
                </w:p>
              </w:tc>
              <w:tc>
                <w:tcPr>
                  <w:tcW w:w="480" w:type="pct"/>
                  <w:vMerge w:val="continue"/>
                  <w:vAlign w:val="center"/>
                </w:tcPr>
                <w:p>
                  <w:pPr>
                    <w:widowControl/>
                    <w:jc w:val="left"/>
                    <w:rPr>
                      <w:szCs w:val="21"/>
                    </w:rPr>
                  </w:pPr>
                </w:p>
              </w:tc>
              <w:tc>
                <w:tcPr>
                  <w:tcW w:w="636" w:type="pct"/>
                  <w:vMerge w:val="continue"/>
                  <w:vAlign w:val="center"/>
                </w:tcPr>
                <w:p>
                  <w:pPr>
                    <w:widowControl/>
                    <w:jc w:val="left"/>
                    <w:rPr>
                      <w:szCs w:val="21"/>
                    </w:rPr>
                  </w:pPr>
                </w:p>
              </w:tc>
              <w:tc>
                <w:tcPr>
                  <w:tcW w:w="437" w:type="pct"/>
                  <w:vAlign w:val="center"/>
                </w:tcPr>
                <w:p>
                  <w:pPr>
                    <w:jc w:val="center"/>
                    <w:rPr>
                      <w:b/>
                      <w:szCs w:val="21"/>
                    </w:rPr>
                  </w:pPr>
                  <w:r>
                    <w:rPr>
                      <w:b/>
                      <w:szCs w:val="21"/>
                    </w:rPr>
                    <w:t>污染治理设施编号</w:t>
                  </w:r>
                </w:p>
              </w:tc>
              <w:tc>
                <w:tcPr>
                  <w:tcW w:w="489" w:type="pct"/>
                  <w:vAlign w:val="center"/>
                </w:tcPr>
                <w:p>
                  <w:pPr>
                    <w:jc w:val="center"/>
                    <w:rPr>
                      <w:b/>
                      <w:szCs w:val="21"/>
                    </w:rPr>
                  </w:pPr>
                  <w:r>
                    <w:rPr>
                      <w:b/>
                      <w:szCs w:val="21"/>
                    </w:rPr>
                    <w:t>污染治理设施名称</w:t>
                  </w:r>
                </w:p>
              </w:tc>
              <w:tc>
                <w:tcPr>
                  <w:tcW w:w="461" w:type="pct"/>
                  <w:vAlign w:val="center"/>
                </w:tcPr>
                <w:p>
                  <w:pPr>
                    <w:jc w:val="center"/>
                    <w:rPr>
                      <w:b/>
                      <w:szCs w:val="21"/>
                    </w:rPr>
                  </w:pPr>
                  <w:r>
                    <w:rPr>
                      <w:b/>
                      <w:szCs w:val="21"/>
                    </w:rPr>
                    <w:t>污染治理设施工艺</w:t>
                  </w:r>
                </w:p>
              </w:tc>
              <w:tc>
                <w:tcPr>
                  <w:tcW w:w="523" w:type="pct"/>
                  <w:vMerge w:val="continue"/>
                  <w:vAlign w:val="center"/>
                </w:tcPr>
                <w:p>
                  <w:pPr>
                    <w:widowControl/>
                    <w:jc w:val="left"/>
                    <w:rPr>
                      <w:szCs w:val="21"/>
                    </w:rPr>
                  </w:pPr>
                </w:p>
              </w:tc>
              <w:tc>
                <w:tcPr>
                  <w:tcW w:w="455" w:type="pct"/>
                  <w:vMerge w:val="continue"/>
                  <w:vAlign w:val="center"/>
                </w:tcPr>
                <w:p>
                  <w:pPr>
                    <w:widowControl/>
                    <w:jc w:val="left"/>
                    <w:rPr>
                      <w:szCs w:val="21"/>
                    </w:rPr>
                  </w:pPr>
                </w:p>
              </w:tc>
              <w:tc>
                <w:tcPr>
                  <w:tcW w:w="1008" w:type="pct"/>
                  <w:vMerge w:val="continue"/>
                  <w:vAlign w:val="center"/>
                </w:tcPr>
                <w:p>
                  <w:pPr>
                    <w:widowControl/>
                    <w:jc w:val="left"/>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3" w:type="pct"/>
                  <w:vAlign w:val="center"/>
                </w:tcPr>
                <w:p>
                  <w:pPr>
                    <w:ind w:left="-72"/>
                    <w:jc w:val="center"/>
                    <w:rPr>
                      <w:szCs w:val="21"/>
                    </w:rPr>
                  </w:pPr>
                  <w:r>
                    <w:rPr>
                      <w:szCs w:val="21"/>
                    </w:rPr>
                    <w:t>1</w:t>
                  </w:r>
                </w:p>
              </w:tc>
              <w:tc>
                <w:tcPr>
                  <w:tcW w:w="253" w:type="pct"/>
                  <w:vAlign w:val="center"/>
                </w:tcPr>
                <w:p>
                  <w:pPr>
                    <w:widowControl/>
                    <w:jc w:val="center"/>
                    <w:rPr>
                      <w:szCs w:val="21"/>
                    </w:rPr>
                  </w:pPr>
                  <w:r>
                    <w:rPr>
                      <w:szCs w:val="21"/>
                    </w:rPr>
                    <w:t>生活污水</w:t>
                  </w:r>
                </w:p>
              </w:tc>
              <w:tc>
                <w:tcPr>
                  <w:tcW w:w="480" w:type="pct"/>
                  <w:vAlign w:val="center"/>
                </w:tcPr>
                <w:p>
                  <w:pPr>
                    <w:widowControl/>
                    <w:jc w:val="center"/>
                    <w:rPr>
                      <w:szCs w:val="21"/>
                    </w:rPr>
                  </w:pPr>
                  <w:r>
                    <w:rPr>
                      <w:szCs w:val="21"/>
                    </w:rPr>
                    <w:t>COD</w:t>
                  </w:r>
                </w:p>
                <w:p>
                  <w:pPr>
                    <w:widowControl/>
                    <w:jc w:val="center"/>
                    <w:rPr>
                      <w:szCs w:val="21"/>
                    </w:rPr>
                  </w:pPr>
                  <w:r>
                    <w:rPr>
                      <w:szCs w:val="21"/>
                    </w:rPr>
                    <w:t>SS</w:t>
                  </w:r>
                </w:p>
                <w:p>
                  <w:pPr>
                    <w:widowControl/>
                    <w:jc w:val="center"/>
                    <w:rPr>
                      <w:szCs w:val="21"/>
                    </w:rPr>
                  </w:pPr>
                  <w:r>
                    <w:rPr>
                      <w:szCs w:val="21"/>
                    </w:rPr>
                    <w:t>NH</w:t>
                  </w:r>
                  <w:r>
                    <w:rPr>
                      <w:szCs w:val="21"/>
                      <w:vertAlign w:val="subscript"/>
                    </w:rPr>
                    <w:t>3</w:t>
                  </w:r>
                  <w:r>
                    <w:rPr>
                      <w:szCs w:val="21"/>
                    </w:rPr>
                    <w:t>-N</w:t>
                  </w:r>
                </w:p>
                <w:p>
                  <w:pPr>
                    <w:widowControl/>
                    <w:jc w:val="center"/>
                    <w:rPr>
                      <w:szCs w:val="21"/>
                    </w:rPr>
                  </w:pPr>
                  <w:r>
                    <w:rPr>
                      <w:szCs w:val="21"/>
                    </w:rPr>
                    <w:t>TP</w:t>
                  </w:r>
                </w:p>
                <w:p>
                  <w:pPr>
                    <w:widowControl/>
                    <w:jc w:val="center"/>
                    <w:rPr>
                      <w:szCs w:val="21"/>
                    </w:rPr>
                  </w:pPr>
                  <w:r>
                    <w:rPr>
                      <w:szCs w:val="21"/>
                    </w:rPr>
                    <w:t>TN</w:t>
                  </w:r>
                </w:p>
              </w:tc>
              <w:tc>
                <w:tcPr>
                  <w:tcW w:w="636" w:type="pct"/>
                  <w:vAlign w:val="center"/>
                </w:tcPr>
                <w:p>
                  <w:pPr>
                    <w:widowControl/>
                    <w:jc w:val="center"/>
                    <w:rPr>
                      <w:rFonts w:hint="eastAsia" w:eastAsia="宋体"/>
                      <w:szCs w:val="21"/>
                      <w:lang w:eastAsia="zh-CN"/>
                    </w:rPr>
                  </w:pPr>
                  <w:r>
                    <w:rPr>
                      <w:szCs w:val="21"/>
                    </w:rPr>
                    <w:t>流量不稳定间断排放排放期间流量不稳定且无规律，但不属于冲击型排放</w:t>
                  </w:r>
                </w:p>
              </w:tc>
              <w:tc>
                <w:tcPr>
                  <w:tcW w:w="437" w:type="pct"/>
                  <w:vAlign w:val="center"/>
                </w:tcPr>
                <w:p>
                  <w:pPr>
                    <w:jc w:val="center"/>
                    <w:rPr>
                      <w:szCs w:val="21"/>
                    </w:rPr>
                  </w:pPr>
                  <w:r>
                    <w:rPr>
                      <w:szCs w:val="21"/>
                    </w:rPr>
                    <w:t>/</w:t>
                  </w:r>
                </w:p>
              </w:tc>
              <w:tc>
                <w:tcPr>
                  <w:tcW w:w="489" w:type="pct"/>
                  <w:vAlign w:val="center"/>
                </w:tcPr>
                <w:p>
                  <w:pPr>
                    <w:jc w:val="center"/>
                    <w:rPr>
                      <w:rFonts w:hint="eastAsia" w:eastAsia="宋体"/>
                      <w:szCs w:val="21"/>
                      <w:lang w:eastAsia="zh-CN"/>
                    </w:rPr>
                  </w:pPr>
                  <w:r>
                    <w:rPr>
                      <w:bCs/>
                      <w:szCs w:val="21"/>
                    </w:rPr>
                    <w:t>/</w:t>
                  </w:r>
                </w:p>
              </w:tc>
              <w:tc>
                <w:tcPr>
                  <w:tcW w:w="461" w:type="pct"/>
                  <w:vAlign w:val="center"/>
                </w:tcPr>
                <w:p>
                  <w:pPr>
                    <w:jc w:val="center"/>
                    <w:rPr>
                      <w:szCs w:val="21"/>
                    </w:rPr>
                  </w:pPr>
                  <w:r>
                    <w:rPr>
                      <w:szCs w:val="21"/>
                    </w:rPr>
                    <w:t>/</w:t>
                  </w:r>
                </w:p>
              </w:tc>
              <w:tc>
                <w:tcPr>
                  <w:tcW w:w="523" w:type="pct"/>
                  <w:vAlign w:val="center"/>
                </w:tcPr>
                <w:p>
                  <w:pPr>
                    <w:widowControl/>
                    <w:jc w:val="center"/>
                    <w:rPr>
                      <w:szCs w:val="21"/>
                    </w:rPr>
                  </w:pPr>
                  <w:r>
                    <w:rPr>
                      <w:szCs w:val="21"/>
                    </w:rPr>
                    <w:t>DW001</w:t>
                  </w:r>
                </w:p>
              </w:tc>
              <w:tc>
                <w:tcPr>
                  <w:tcW w:w="455" w:type="pct"/>
                  <w:vAlign w:val="center"/>
                </w:tcPr>
                <w:p>
                  <w:pPr>
                    <w:widowControl/>
                    <w:jc w:val="center"/>
                    <w:rPr>
                      <w:szCs w:val="21"/>
                    </w:rPr>
                  </w:pPr>
                  <w:r>
                    <w:rPr>
                      <w:szCs w:val="21"/>
                    </w:rPr>
                    <w:t>是</w:t>
                  </w:r>
                </w:p>
              </w:tc>
              <w:tc>
                <w:tcPr>
                  <w:tcW w:w="1008" w:type="pct"/>
                  <w:vAlign w:val="center"/>
                </w:tcPr>
                <w:p>
                  <w:pPr>
                    <w:widowControl/>
                    <w:rPr>
                      <w:szCs w:val="21"/>
                    </w:rPr>
                  </w:pPr>
                  <w:r>
                    <w:rPr>
                      <w:szCs w:val="21"/>
                    </w:rPr>
                    <w:t>■企业总排</w:t>
                  </w:r>
                </w:p>
                <w:p>
                  <w:pPr>
                    <w:widowControl/>
                    <w:rPr>
                      <w:szCs w:val="21"/>
                    </w:rPr>
                  </w:pPr>
                  <w:r>
                    <w:rPr>
                      <w:szCs w:val="21"/>
                    </w:rPr>
                    <w:t>口雨水排放</w:t>
                  </w:r>
                </w:p>
                <w:p>
                  <w:pPr>
                    <w:widowControl/>
                    <w:rPr>
                      <w:szCs w:val="21"/>
                    </w:rPr>
                  </w:pPr>
                  <w:r>
                    <w:rPr>
                      <w:szCs w:val="21"/>
                    </w:rPr>
                    <w:t>口清静下水排放</w:t>
                  </w:r>
                </w:p>
                <w:p>
                  <w:pPr>
                    <w:widowControl/>
                    <w:rPr>
                      <w:szCs w:val="21"/>
                    </w:rPr>
                  </w:pPr>
                  <w:r>
                    <w:rPr>
                      <w:szCs w:val="21"/>
                    </w:rPr>
                    <w:t>口温排水排放</w:t>
                  </w:r>
                </w:p>
                <w:p>
                  <w:pPr>
                    <w:widowControl/>
                    <w:rPr>
                      <w:szCs w:val="21"/>
                    </w:rPr>
                  </w:pPr>
                  <w:r>
                    <w:rPr>
                      <w:szCs w:val="21"/>
                    </w:rPr>
                    <w:t>口车间或车间处理设施排放</w:t>
                  </w:r>
                </w:p>
              </w:tc>
            </w:tr>
          </w:tbl>
          <w:p>
            <w:pPr>
              <w:adjustRightInd w:val="0"/>
              <w:snapToGrid w:val="0"/>
              <w:spacing w:line="360" w:lineRule="auto"/>
              <w:ind w:firstLine="480" w:firstLineChars="200"/>
              <w:rPr>
                <w:b/>
                <w:kern w:val="0"/>
                <w:sz w:val="24"/>
              </w:rPr>
            </w:pPr>
            <w:r>
              <w:rPr>
                <w:kern w:val="0"/>
                <w:sz w:val="24"/>
              </w:rPr>
              <w:t>项目的废水的间接排放口基本情况见表</w:t>
            </w:r>
            <w:r>
              <w:rPr>
                <w:rFonts w:hint="eastAsia"/>
                <w:kern w:val="0"/>
                <w:sz w:val="24"/>
              </w:rPr>
              <w:t>4-1</w:t>
            </w:r>
            <w:r>
              <w:rPr>
                <w:rFonts w:hint="eastAsia"/>
                <w:kern w:val="0"/>
                <w:sz w:val="24"/>
                <w:lang w:val="en-US" w:eastAsia="zh-CN"/>
              </w:rPr>
              <w:t>4</w:t>
            </w:r>
            <w:r>
              <w:rPr>
                <w:kern w:val="0"/>
                <w:sz w:val="24"/>
              </w:rPr>
              <w:t>，排放执行标准见表</w:t>
            </w:r>
            <w:r>
              <w:rPr>
                <w:rFonts w:hint="eastAsia"/>
                <w:kern w:val="0"/>
                <w:sz w:val="24"/>
              </w:rPr>
              <w:t>4-1</w:t>
            </w:r>
            <w:r>
              <w:rPr>
                <w:rFonts w:hint="eastAsia"/>
                <w:kern w:val="0"/>
                <w:sz w:val="24"/>
                <w:lang w:val="en-US" w:eastAsia="zh-CN"/>
              </w:rPr>
              <w:t>5</w:t>
            </w:r>
            <w:r>
              <w:rPr>
                <w:kern w:val="0"/>
                <w:sz w:val="24"/>
              </w:rPr>
              <w:t>，排放信息见表</w:t>
            </w:r>
            <w:r>
              <w:rPr>
                <w:rFonts w:hint="eastAsia"/>
                <w:kern w:val="0"/>
                <w:sz w:val="24"/>
              </w:rPr>
              <w:t>4-1</w:t>
            </w:r>
            <w:r>
              <w:rPr>
                <w:rFonts w:hint="eastAsia"/>
                <w:kern w:val="0"/>
                <w:sz w:val="24"/>
                <w:lang w:val="en-US" w:eastAsia="zh-CN"/>
              </w:rPr>
              <w:t>6</w:t>
            </w:r>
            <w:r>
              <w:rPr>
                <w:kern w:val="0"/>
                <w:sz w:val="24"/>
              </w:rPr>
              <w:t>。</w:t>
            </w:r>
          </w:p>
          <w:p>
            <w:pPr>
              <w:jc w:val="center"/>
              <w:rPr>
                <w:b/>
                <w:kern w:val="0"/>
                <w:sz w:val="24"/>
              </w:rPr>
            </w:pPr>
            <w:r>
              <w:rPr>
                <w:b/>
                <w:kern w:val="0"/>
                <w:sz w:val="24"/>
              </w:rPr>
              <w:t>表</w:t>
            </w:r>
            <w:r>
              <w:rPr>
                <w:rFonts w:hint="eastAsia"/>
                <w:b/>
                <w:kern w:val="0"/>
                <w:sz w:val="24"/>
              </w:rPr>
              <w:t>4-1</w:t>
            </w:r>
            <w:r>
              <w:rPr>
                <w:rFonts w:hint="eastAsia"/>
                <w:b/>
                <w:kern w:val="0"/>
                <w:sz w:val="24"/>
                <w:lang w:val="en-US" w:eastAsia="zh-CN"/>
              </w:rPr>
              <w:t>4</w:t>
            </w:r>
            <w:r>
              <w:rPr>
                <w:b/>
                <w:kern w:val="0"/>
                <w:sz w:val="24"/>
              </w:rPr>
              <w:t xml:space="preserve"> 本项目废水间接排放口基本情况表</w:t>
            </w:r>
          </w:p>
          <w:tbl>
            <w:tblPr>
              <w:tblStyle w:val="36"/>
              <w:tblW w:w="852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81"/>
              <w:gridCol w:w="891"/>
              <w:gridCol w:w="808"/>
              <w:gridCol w:w="719"/>
              <w:gridCol w:w="690"/>
              <w:gridCol w:w="919"/>
              <w:gridCol w:w="520"/>
              <w:gridCol w:w="632"/>
              <w:gridCol w:w="897"/>
              <w:gridCol w:w="11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restart"/>
                  <w:vAlign w:val="center"/>
                </w:tcPr>
                <w:p>
                  <w:pPr>
                    <w:adjustRightInd w:val="0"/>
                    <w:snapToGrid w:val="0"/>
                    <w:jc w:val="center"/>
                    <w:rPr>
                      <w:b/>
                      <w:szCs w:val="21"/>
                    </w:rPr>
                  </w:pPr>
                  <w:r>
                    <w:rPr>
                      <w:b/>
                      <w:szCs w:val="21"/>
                    </w:rPr>
                    <w:t>序号</w:t>
                  </w:r>
                </w:p>
              </w:tc>
              <w:tc>
                <w:tcPr>
                  <w:tcW w:w="710" w:type="dxa"/>
                  <w:vMerge w:val="restart"/>
                  <w:vAlign w:val="center"/>
                </w:tcPr>
                <w:p>
                  <w:pPr>
                    <w:adjustRightInd w:val="0"/>
                    <w:snapToGrid w:val="0"/>
                    <w:jc w:val="center"/>
                    <w:rPr>
                      <w:b/>
                      <w:szCs w:val="21"/>
                    </w:rPr>
                  </w:pPr>
                  <w:r>
                    <w:rPr>
                      <w:b/>
                      <w:szCs w:val="21"/>
                    </w:rPr>
                    <w:t>排放口编号</w:t>
                  </w:r>
                </w:p>
              </w:tc>
              <w:tc>
                <w:tcPr>
                  <w:tcW w:w="1622" w:type="dxa"/>
                  <w:gridSpan w:val="2"/>
                  <w:vAlign w:val="center"/>
                </w:tcPr>
                <w:p>
                  <w:pPr>
                    <w:adjustRightInd w:val="0"/>
                    <w:snapToGrid w:val="0"/>
                    <w:jc w:val="center"/>
                    <w:rPr>
                      <w:b/>
                      <w:szCs w:val="21"/>
                    </w:rPr>
                  </w:pPr>
                  <w:r>
                    <w:rPr>
                      <w:b/>
                      <w:szCs w:val="21"/>
                    </w:rPr>
                    <w:t>排放口地理坐标</w:t>
                  </w:r>
                </w:p>
              </w:tc>
              <w:tc>
                <w:tcPr>
                  <w:tcW w:w="737" w:type="dxa"/>
                  <w:vMerge w:val="restart"/>
                  <w:vAlign w:val="center"/>
                </w:tcPr>
                <w:p>
                  <w:pPr>
                    <w:adjustRightInd w:val="0"/>
                    <w:snapToGrid w:val="0"/>
                    <w:jc w:val="center"/>
                    <w:rPr>
                      <w:b/>
                      <w:szCs w:val="21"/>
                    </w:rPr>
                  </w:pPr>
                  <w:r>
                    <w:rPr>
                      <w:b/>
                      <w:szCs w:val="21"/>
                    </w:rPr>
                    <w:t>废水排放量（万t/a）</w:t>
                  </w:r>
                </w:p>
              </w:tc>
              <w:tc>
                <w:tcPr>
                  <w:tcW w:w="770" w:type="dxa"/>
                  <w:vMerge w:val="restart"/>
                  <w:vAlign w:val="center"/>
                </w:tcPr>
                <w:p>
                  <w:pPr>
                    <w:adjustRightInd w:val="0"/>
                    <w:snapToGrid w:val="0"/>
                    <w:jc w:val="center"/>
                    <w:rPr>
                      <w:b/>
                      <w:szCs w:val="21"/>
                    </w:rPr>
                  </w:pPr>
                  <w:r>
                    <w:rPr>
                      <w:b/>
                      <w:szCs w:val="21"/>
                    </w:rPr>
                    <w:t>排放去向</w:t>
                  </w:r>
                </w:p>
              </w:tc>
              <w:tc>
                <w:tcPr>
                  <w:tcW w:w="1005" w:type="dxa"/>
                  <w:vMerge w:val="restart"/>
                  <w:vAlign w:val="center"/>
                </w:tcPr>
                <w:p>
                  <w:pPr>
                    <w:adjustRightInd w:val="0"/>
                    <w:snapToGrid w:val="0"/>
                    <w:jc w:val="center"/>
                    <w:rPr>
                      <w:b/>
                      <w:szCs w:val="21"/>
                    </w:rPr>
                  </w:pPr>
                  <w:r>
                    <w:rPr>
                      <w:b/>
                      <w:szCs w:val="21"/>
                    </w:rPr>
                    <w:t>排放规律</w:t>
                  </w:r>
                </w:p>
              </w:tc>
              <w:tc>
                <w:tcPr>
                  <w:tcW w:w="549" w:type="dxa"/>
                  <w:vMerge w:val="restart"/>
                  <w:vAlign w:val="center"/>
                </w:tcPr>
                <w:p>
                  <w:pPr>
                    <w:adjustRightInd w:val="0"/>
                    <w:snapToGrid w:val="0"/>
                    <w:jc w:val="center"/>
                    <w:rPr>
                      <w:b/>
                      <w:szCs w:val="21"/>
                    </w:rPr>
                  </w:pPr>
                  <w:r>
                    <w:rPr>
                      <w:b/>
                      <w:szCs w:val="21"/>
                    </w:rPr>
                    <w:t>间歇排放时段</w:t>
                  </w:r>
                </w:p>
              </w:tc>
              <w:tc>
                <w:tcPr>
                  <w:tcW w:w="2671" w:type="dxa"/>
                  <w:gridSpan w:val="3"/>
                  <w:vAlign w:val="center"/>
                </w:tcPr>
                <w:p>
                  <w:pPr>
                    <w:adjustRightInd w:val="0"/>
                    <w:snapToGrid w:val="0"/>
                    <w:jc w:val="center"/>
                    <w:rPr>
                      <w:b/>
                      <w:szCs w:val="21"/>
                    </w:rPr>
                  </w:pPr>
                  <w:r>
                    <w:rPr>
                      <w:b/>
                      <w:szCs w:val="21"/>
                    </w:rPr>
                    <w:t>收纳污水处理厂信息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vAlign w:val="center"/>
                </w:tcPr>
                <w:p>
                  <w:pPr>
                    <w:widowControl/>
                    <w:adjustRightInd w:val="0"/>
                    <w:snapToGrid w:val="0"/>
                    <w:jc w:val="center"/>
                    <w:rPr>
                      <w:b/>
                      <w:szCs w:val="21"/>
                    </w:rPr>
                  </w:pPr>
                </w:p>
              </w:tc>
              <w:tc>
                <w:tcPr>
                  <w:tcW w:w="710" w:type="dxa"/>
                  <w:vMerge w:val="continue"/>
                  <w:vAlign w:val="center"/>
                </w:tcPr>
                <w:p>
                  <w:pPr>
                    <w:widowControl/>
                    <w:adjustRightInd w:val="0"/>
                    <w:snapToGrid w:val="0"/>
                    <w:jc w:val="center"/>
                    <w:rPr>
                      <w:b/>
                      <w:szCs w:val="21"/>
                    </w:rPr>
                  </w:pPr>
                </w:p>
              </w:tc>
              <w:tc>
                <w:tcPr>
                  <w:tcW w:w="810" w:type="dxa"/>
                  <w:vAlign w:val="center"/>
                </w:tcPr>
                <w:p>
                  <w:pPr>
                    <w:adjustRightInd w:val="0"/>
                    <w:snapToGrid w:val="0"/>
                    <w:jc w:val="center"/>
                    <w:rPr>
                      <w:b/>
                      <w:szCs w:val="21"/>
                    </w:rPr>
                  </w:pPr>
                  <w:r>
                    <w:rPr>
                      <w:b/>
                      <w:szCs w:val="21"/>
                    </w:rPr>
                    <w:t>经度</w:t>
                  </w:r>
                </w:p>
              </w:tc>
              <w:tc>
                <w:tcPr>
                  <w:tcW w:w="812" w:type="dxa"/>
                  <w:vAlign w:val="center"/>
                </w:tcPr>
                <w:p>
                  <w:pPr>
                    <w:adjustRightInd w:val="0"/>
                    <w:snapToGrid w:val="0"/>
                    <w:jc w:val="center"/>
                    <w:rPr>
                      <w:b/>
                      <w:szCs w:val="21"/>
                    </w:rPr>
                  </w:pPr>
                  <w:r>
                    <w:rPr>
                      <w:b/>
                      <w:szCs w:val="21"/>
                    </w:rPr>
                    <w:t>纬度</w:t>
                  </w:r>
                </w:p>
              </w:tc>
              <w:tc>
                <w:tcPr>
                  <w:tcW w:w="737" w:type="dxa"/>
                  <w:vMerge w:val="continue"/>
                  <w:vAlign w:val="center"/>
                </w:tcPr>
                <w:p>
                  <w:pPr>
                    <w:widowControl/>
                    <w:adjustRightInd w:val="0"/>
                    <w:snapToGrid w:val="0"/>
                    <w:jc w:val="center"/>
                    <w:rPr>
                      <w:b/>
                      <w:szCs w:val="21"/>
                    </w:rPr>
                  </w:pPr>
                </w:p>
              </w:tc>
              <w:tc>
                <w:tcPr>
                  <w:tcW w:w="770" w:type="dxa"/>
                  <w:vMerge w:val="continue"/>
                  <w:vAlign w:val="center"/>
                </w:tcPr>
                <w:p>
                  <w:pPr>
                    <w:widowControl/>
                    <w:adjustRightInd w:val="0"/>
                    <w:snapToGrid w:val="0"/>
                    <w:jc w:val="center"/>
                    <w:rPr>
                      <w:b/>
                      <w:szCs w:val="21"/>
                    </w:rPr>
                  </w:pPr>
                </w:p>
              </w:tc>
              <w:tc>
                <w:tcPr>
                  <w:tcW w:w="1005" w:type="dxa"/>
                  <w:vMerge w:val="continue"/>
                  <w:vAlign w:val="center"/>
                </w:tcPr>
                <w:p>
                  <w:pPr>
                    <w:widowControl/>
                    <w:adjustRightInd w:val="0"/>
                    <w:snapToGrid w:val="0"/>
                    <w:jc w:val="center"/>
                    <w:rPr>
                      <w:b/>
                      <w:szCs w:val="21"/>
                    </w:rPr>
                  </w:pPr>
                </w:p>
              </w:tc>
              <w:tc>
                <w:tcPr>
                  <w:tcW w:w="549" w:type="dxa"/>
                  <w:vMerge w:val="continue"/>
                  <w:vAlign w:val="center"/>
                </w:tcPr>
                <w:p>
                  <w:pPr>
                    <w:widowControl/>
                    <w:adjustRightInd w:val="0"/>
                    <w:snapToGrid w:val="0"/>
                    <w:jc w:val="center"/>
                    <w:rPr>
                      <w:b/>
                      <w:szCs w:val="21"/>
                    </w:rPr>
                  </w:pPr>
                </w:p>
              </w:tc>
              <w:tc>
                <w:tcPr>
                  <w:tcW w:w="695" w:type="dxa"/>
                  <w:vAlign w:val="center"/>
                </w:tcPr>
                <w:p>
                  <w:pPr>
                    <w:adjustRightInd w:val="0"/>
                    <w:snapToGrid w:val="0"/>
                    <w:jc w:val="center"/>
                    <w:rPr>
                      <w:b/>
                      <w:szCs w:val="21"/>
                    </w:rPr>
                  </w:pPr>
                  <w:r>
                    <w:rPr>
                      <w:b/>
                      <w:szCs w:val="21"/>
                    </w:rPr>
                    <w:t>名称</w:t>
                  </w:r>
                </w:p>
              </w:tc>
              <w:tc>
                <w:tcPr>
                  <w:tcW w:w="919" w:type="dxa"/>
                  <w:vAlign w:val="center"/>
                </w:tcPr>
                <w:p>
                  <w:pPr>
                    <w:adjustRightInd w:val="0"/>
                    <w:snapToGrid w:val="0"/>
                    <w:jc w:val="center"/>
                    <w:rPr>
                      <w:b/>
                      <w:szCs w:val="21"/>
                    </w:rPr>
                  </w:pPr>
                  <w:r>
                    <w:rPr>
                      <w:b/>
                      <w:szCs w:val="21"/>
                    </w:rPr>
                    <w:t>污染物种类</w:t>
                  </w:r>
                </w:p>
              </w:tc>
              <w:tc>
                <w:tcPr>
                  <w:tcW w:w="1057" w:type="dxa"/>
                  <w:vAlign w:val="center"/>
                </w:tcPr>
                <w:p>
                  <w:pPr>
                    <w:adjustRightInd w:val="0"/>
                    <w:snapToGrid w:val="0"/>
                    <w:jc w:val="center"/>
                    <w:rPr>
                      <w:b/>
                      <w:szCs w:val="21"/>
                    </w:rPr>
                  </w:pPr>
                  <w:r>
                    <w:rPr>
                      <w:b/>
                      <w:szCs w:val="21"/>
                    </w:rPr>
                    <w:t>国家或地方污染物排放标准限值（mg/L）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restart"/>
                  <w:vAlign w:val="center"/>
                </w:tcPr>
                <w:p>
                  <w:pPr>
                    <w:adjustRightInd w:val="0"/>
                    <w:snapToGrid w:val="0"/>
                    <w:jc w:val="center"/>
                    <w:rPr>
                      <w:szCs w:val="21"/>
                    </w:rPr>
                  </w:pPr>
                  <w:r>
                    <w:rPr>
                      <w:szCs w:val="21"/>
                    </w:rPr>
                    <w:t>1</w:t>
                  </w:r>
                </w:p>
              </w:tc>
              <w:tc>
                <w:tcPr>
                  <w:tcW w:w="710" w:type="dxa"/>
                  <w:vMerge w:val="restart"/>
                  <w:vAlign w:val="center"/>
                </w:tcPr>
                <w:p>
                  <w:pPr>
                    <w:adjustRightInd w:val="0"/>
                    <w:snapToGrid w:val="0"/>
                    <w:jc w:val="center"/>
                    <w:rPr>
                      <w:szCs w:val="21"/>
                    </w:rPr>
                  </w:pPr>
                  <w:r>
                    <w:rPr>
                      <w:szCs w:val="21"/>
                    </w:rPr>
                    <w:t>DW001</w:t>
                  </w:r>
                </w:p>
              </w:tc>
              <w:tc>
                <w:tcPr>
                  <w:tcW w:w="810" w:type="dxa"/>
                  <w:vMerge w:val="restart"/>
                  <w:vAlign w:val="center"/>
                </w:tcPr>
                <w:p>
                  <w:pPr>
                    <w:widowControl/>
                    <w:snapToGrid w:val="0"/>
                    <w:jc w:val="center"/>
                    <w:rPr>
                      <w:rFonts w:hint="default" w:eastAsia="宋体"/>
                      <w:szCs w:val="21"/>
                      <w:lang w:val="en-US" w:eastAsia="zh-CN"/>
                    </w:rPr>
                  </w:pPr>
                  <w:r>
                    <w:rPr>
                      <w:rFonts w:hint="eastAsia"/>
                      <w:szCs w:val="21"/>
                      <w:lang w:val="en-US" w:eastAsia="zh-CN"/>
                    </w:rPr>
                    <w:t>119.659</w:t>
                  </w:r>
                </w:p>
              </w:tc>
              <w:tc>
                <w:tcPr>
                  <w:tcW w:w="812" w:type="dxa"/>
                  <w:vMerge w:val="restart"/>
                  <w:vAlign w:val="center"/>
                </w:tcPr>
                <w:p>
                  <w:pPr>
                    <w:widowControl/>
                    <w:snapToGrid w:val="0"/>
                    <w:jc w:val="center"/>
                    <w:rPr>
                      <w:rFonts w:hint="default" w:eastAsia="宋体"/>
                      <w:szCs w:val="21"/>
                      <w:lang w:val="en-US" w:eastAsia="zh-CN"/>
                    </w:rPr>
                  </w:pPr>
                  <w:r>
                    <w:rPr>
                      <w:rFonts w:hint="eastAsia"/>
                      <w:szCs w:val="21"/>
                      <w:lang w:val="en-US" w:eastAsia="zh-CN"/>
                    </w:rPr>
                    <w:t>31.534</w:t>
                  </w:r>
                </w:p>
              </w:tc>
              <w:tc>
                <w:tcPr>
                  <w:tcW w:w="737" w:type="dxa"/>
                  <w:vMerge w:val="restart"/>
                  <w:vAlign w:val="center"/>
                </w:tcPr>
                <w:p>
                  <w:pPr>
                    <w:widowControl/>
                    <w:jc w:val="center"/>
                    <w:rPr>
                      <w:rFonts w:hint="default" w:eastAsia="宋体"/>
                      <w:szCs w:val="21"/>
                      <w:lang w:val="en-US" w:eastAsia="zh-CN"/>
                    </w:rPr>
                  </w:pPr>
                  <w:r>
                    <w:rPr>
                      <w:rFonts w:hint="eastAsia"/>
                      <w:szCs w:val="21"/>
                      <w:lang w:val="en-US" w:eastAsia="zh-CN"/>
                    </w:rPr>
                    <w:t>0.12</w:t>
                  </w:r>
                </w:p>
              </w:tc>
              <w:tc>
                <w:tcPr>
                  <w:tcW w:w="770" w:type="dxa"/>
                  <w:vMerge w:val="restart"/>
                  <w:vAlign w:val="center"/>
                </w:tcPr>
                <w:p>
                  <w:pPr>
                    <w:adjustRightInd w:val="0"/>
                    <w:snapToGrid w:val="0"/>
                    <w:jc w:val="center"/>
                    <w:rPr>
                      <w:rFonts w:hint="eastAsia" w:eastAsia="宋体"/>
                      <w:szCs w:val="21"/>
                      <w:lang w:eastAsia="zh-CN"/>
                    </w:rPr>
                  </w:pPr>
                  <w:r>
                    <w:rPr>
                      <w:rStyle w:val="163"/>
                      <w:rFonts w:hint="eastAsia" w:cs="Times New Roman"/>
                      <w:sz w:val="21"/>
                      <w:szCs w:val="21"/>
                      <w:lang w:eastAsia="zh-CN"/>
                    </w:rPr>
                    <w:t>城市污水处理厂</w:t>
                  </w:r>
                </w:p>
              </w:tc>
              <w:tc>
                <w:tcPr>
                  <w:tcW w:w="1005" w:type="dxa"/>
                  <w:vMerge w:val="restart"/>
                  <w:vAlign w:val="center"/>
                </w:tcPr>
                <w:p>
                  <w:pPr>
                    <w:adjustRightInd w:val="0"/>
                    <w:snapToGrid w:val="0"/>
                    <w:jc w:val="center"/>
                    <w:rPr>
                      <w:szCs w:val="21"/>
                    </w:rPr>
                  </w:pPr>
                  <w:r>
                    <w:rPr>
                      <w:szCs w:val="21"/>
                    </w:rPr>
                    <w:t>间断排放期间流量不稳定且无规律，但不属于冲击型排放</w:t>
                  </w:r>
                </w:p>
              </w:tc>
              <w:tc>
                <w:tcPr>
                  <w:tcW w:w="549" w:type="dxa"/>
                  <w:vMerge w:val="restart"/>
                  <w:vAlign w:val="center"/>
                </w:tcPr>
                <w:p>
                  <w:pPr>
                    <w:adjustRightInd w:val="0"/>
                    <w:snapToGrid w:val="0"/>
                    <w:jc w:val="center"/>
                    <w:rPr>
                      <w:szCs w:val="21"/>
                    </w:rPr>
                  </w:pPr>
                  <w:r>
                    <w:rPr>
                      <w:szCs w:val="21"/>
                    </w:rPr>
                    <w:t>/</w:t>
                  </w:r>
                </w:p>
              </w:tc>
              <w:tc>
                <w:tcPr>
                  <w:tcW w:w="695" w:type="dxa"/>
                  <w:vMerge w:val="restart"/>
                  <w:vAlign w:val="center"/>
                </w:tcPr>
                <w:p>
                  <w:pPr>
                    <w:adjustRightInd w:val="0"/>
                    <w:snapToGrid w:val="0"/>
                    <w:jc w:val="center"/>
                    <w:rPr>
                      <w:rFonts w:hint="eastAsia" w:eastAsia="宋体"/>
                      <w:szCs w:val="21"/>
                      <w:lang w:eastAsia="zh-CN"/>
                    </w:rPr>
                  </w:pPr>
                  <w:r>
                    <w:rPr>
                      <w:rStyle w:val="163"/>
                      <w:rFonts w:hint="eastAsia" w:cs="Times New Roman"/>
                      <w:sz w:val="21"/>
                      <w:szCs w:val="21"/>
                      <w:lang w:eastAsia="zh-CN"/>
                    </w:rPr>
                    <w:t>城市污水处理厂</w:t>
                  </w:r>
                </w:p>
              </w:tc>
              <w:tc>
                <w:tcPr>
                  <w:tcW w:w="919" w:type="dxa"/>
                  <w:vAlign w:val="center"/>
                </w:tcPr>
                <w:p>
                  <w:pPr>
                    <w:jc w:val="center"/>
                    <w:rPr>
                      <w:szCs w:val="21"/>
                    </w:rPr>
                  </w:pPr>
                  <w:r>
                    <w:rPr>
                      <w:szCs w:val="21"/>
                    </w:rPr>
                    <w:t>CODcr</w:t>
                  </w:r>
                </w:p>
              </w:tc>
              <w:tc>
                <w:tcPr>
                  <w:tcW w:w="1057" w:type="dxa"/>
                  <w:vAlign w:val="center"/>
                </w:tcPr>
                <w:p>
                  <w:pPr>
                    <w:adjustRightInd w:val="0"/>
                    <w:snapToGrid w:val="0"/>
                    <w:jc w:val="center"/>
                    <w:rPr>
                      <w:rFonts w:hint="default" w:eastAsia="宋体"/>
                      <w:szCs w:val="21"/>
                      <w:lang w:val="en-US" w:eastAsia="zh-CN"/>
                    </w:rPr>
                  </w:pPr>
                  <w:r>
                    <w:rPr>
                      <w:rFonts w:hint="eastAsia"/>
                      <w:szCs w:val="21"/>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vAlign w:val="center"/>
                </w:tcPr>
                <w:p>
                  <w:pPr>
                    <w:widowControl/>
                    <w:adjustRightInd w:val="0"/>
                    <w:snapToGrid w:val="0"/>
                    <w:jc w:val="center"/>
                    <w:rPr>
                      <w:szCs w:val="21"/>
                    </w:rPr>
                  </w:pPr>
                </w:p>
              </w:tc>
              <w:tc>
                <w:tcPr>
                  <w:tcW w:w="710" w:type="dxa"/>
                  <w:vMerge w:val="continue"/>
                  <w:vAlign w:val="center"/>
                </w:tcPr>
                <w:p>
                  <w:pPr>
                    <w:widowControl/>
                    <w:adjustRightInd w:val="0"/>
                    <w:snapToGrid w:val="0"/>
                    <w:jc w:val="center"/>
                    <w:rPr>
                      <w:szCs w:val="21"/>
                    </w:rPr>
                  </w:pPr>
                </w:p>
              </w:tc>
              <w:tc>
                <w:tcPr>
                  <w:tcW w:w="810" w:type="dxa"/>
                  <w:vMerge w:val="continue"/>
                  <w:vAlign w:val="center"/>
                </w:tcPr>
                <w:p>
                  <w:pPr>
                    <w:widowControl/>
                    <w:adjustRightInd w:val="0"/>
                    <w:snapToGrid w:val="0"/>
                    <w:jc w:val="center"/>
                    <w:rPr>
                      <w:szCs w:val="21"/>
                    </w:rPr>
                  </w:pPr>
                </w:p>
              </w:tc>
              <w:tc>
                <w:tcPr>
                  <w:tcW w:w="812" w:type="dxa"/>
                  <w:vMerge w:val="continue"/>
                  <w:vAlign w:val="center"/>
                </w:tcPr>
                <w:p>
                  <w:pPr>
                    <w:widowControl/>
                    <w:adjustRightInd w:val="0"/>
                    <w:snapToGrid w:val="0"/>
                    <w:jc w:val="center"/>
                    <w:rPr>
                      <w:szCs w:val="21"/>
                    </w:rPr>
                  </w:pPr>
                </w:p>
              </w:tc>
              <w:tc>
                <w:tcPr>
                  <w:tcW w:w="737" w:type="dxa"/>
                  <w:vMerge w:val="continue"/>
                  <w:vAlign w:val="center"/>
                </w:tcPr>
                <w:p>
                  <w:pPr>
                    <w:widowControl/>
                    <w:adjustRightInd w:val="0"/>
                    <w:snapToGrid w:val="0"/>
                    <w:jc w:val="center"/>
                    <w:rPr>
                      <w:szCs w:val="21"/>
                    </w:rPr>
                  </w:pPr>
                </w:p>
              </w:tc>
              <w:tc>
                <w:tcPr>
                  <w:tcW w:w="770" w:type="dxa"/>
                  <w:vMerge w:val="continue"/>
                  <w:vAlign w:val="center"/>
                </w:tcPr>
                <w:p>
                  <w:pPr>
                    <w:widowControl/>
                    <w:adjustRightInd w:val="0"/>
                    <w:snapToGrid w:val="0"/>
                    <w:jc w:val="center"/>
                    <w:rPr>
                      <w:szCs w:val="21"/>
                    </w:rPr>
                  </w:pPr>
                </w:p>
              </w:tc>
              <w:tc>
                <w:tcPr>
                  <w:tcW w:w="1005" w:type="dxa"/>
                  <w:vMerge w:val="continue"/>
                  <w:vAlign w:val="center"/>
                </w:tcPr>
                <w:p>
                  <w:pPr>
                    <w:widowControl/>
                    <w:adjustRightInd w:val="0"/>
                    <w:snapToGrid w:val="0"/>
                    <w:jc w:val="center"/>
                    <w:rPr>
                      <w:szCs w:val="21"/>
                    </w:rPr>
                  </w:pPr>
                </w:p>
              </w:tc>
              <w:tc>
                <w:tcPr>
                  <w:tcW w:w="549" w:type="dxa"/>
                  <w:vMerge w:val="continue"/>
                  <w:vAlign w:val="center"/>
                </w:tcPr>
                <w:p>
                  <w:pPr>
                    <w:widowControl/>
                    <w:adjustRightInd w:val="0"/>
                    <w:snapToGrid w:val="0"/>
                    <w:jc w:val="center"/>
                    <w:rPr>
                      <w:szCs w:val="21"/>
                    </w:rPr>
                  </w:pPr>
                </w:p>
              </w:tc>
              <w:tc>
                <w:tcPr>
                  <w:tcW w:w="695" w:type="dxa"/>
                  <w:vMerge w:val="continue"/>
                  <w:vAlign w:val="center"/>
                </w:tcPr>
                <w:p>
                  <w:pPr>
                    <w:widowControl/>
                    <w:adjustRightInd w:val="0"/>
                    <w:snapToGrid w:val="0"/>
                    <w:jc w:val="center"/>
                    <w:rPr>
                      <w:szCs w:val="21"/>
                    </w:rPr>
                  </w:pPr>
                </w:p>
              </w:tc>
              <w:tc>
                <w:tcPr>
                  <w:tcW w:w="919" w:type="dxa"/>
                  <w:vAlign w:val="center"/>
                </w:tcPr>
                <w:p>
                  <w:pPr>
                    <w:jc w:val="center"/>
                    <w:rPr>
                      <w:szCs w:val="21"/>
                    </w:rPr>
                  </w:pPr>
                  <w:r>
                    <w:rPr>
                      <w:szCs w:val="21"/>
                    </w:rPr>
                    <w:t>SS</w:t>
                  </w:r>
                </w:p>
              </w:tc>
              <w:tc>
                <w:tcPr>
                  <w:tcW w:w="1057" w:type="dxa"/>
                  <w:vAlign w:val="center"/>
                </w:tcPr>
                <w:p>
                  <w:pPr>
                    <w:adjustRightInd w:val="0"/>
                    <w:snapToGrid w:val="0"/>
                    <w:jc w:val="center"/>
                    <w:rPr>
                      <w:szCs w:val="21"/>
                    </w:rPr>
                  </w:pPr>
                  <w:r>
                    <w:rPr>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vAlign w:val="center"/>
                </w:tcPr>
                <w:p>
                  <w:pPr>
                    <w:widowControl/>
                    <w:adjustRightInd w:val="0"/>
                    <w:snapToGrid w:val="0"/>
                    <w:jc w:val="center"/>
                    <w:rPr>
                      <w:szCs w:val="21"/>
                    </w:rPr>
                  </w:pPr>
                </w:p>
              </w:tc>
              <w:tc>
                <w:tcPr>
                  <w:tcW w:w="710" w:type="dxa"/>
                  <w:vMerge w:val="continue"/>
                  <w:vAlign w:val="center"/>
                </w:tcPr>
                <w:p>
                  <w:pPr>
                    <w:widowControl/>
                    <w:adjustRightInd w:val="0"/>
                    <w:snapToGrid w:val="0"/>
                    <w:jc w:val="center"/>
                    <w:rPr>
                      <w:szCs w:val="21"/>
                    </w:rPr>
                  </w:pPr>
                </w:p>
              </w:tc>
              <w:tc>
                <w:tcPr>
                  <w:tcW w:w="810" w:type="dxa"/>
                  <w:vMerge w:val="continue"/>
                  <w:vAlign w:val="center"/>
                </w:tcPr>
                <w:p>
                  <w:pPr>
                    <w:widowControl/>
                    <w:adjustRightInd w:val="0"/>
                    <w:snapToGrid w:val="0"/>
                    <w:jc w:val="center"/>
                    <w:rPr>
                      <w:szCs w:val="21"/>
                    </w:rPr>
                  </w:pPr>
                </w:p>
              </w:tc>
              <w:tc>
                <w:tcPr>
                  <w:tcW w:w="812" w:type="dxa"/>
                  <w:vMerge w:val="continue"/>
                  <w:vAlign w:val="center"/>
                </w:tcPr>
                <w:p>
                  <w:pPr>
                    <w:widowControl/>
                    <w:adjustRightInd w:val="0"/>
                    <w:snapToGrid w:val="0"/>
                    <w:jc w:val="center"/>
                    <w:rPr>
                      <w:szCs w:val="21"/>
                    </w:rPr>
                  </w:pPr>
                </w:p>
              </w:tc>
              <w:tc>
                <w:tcPr>
                  <w:tcW w:w="737" w:type="dxa"/>
                  <w:vMerge w:val="continue"/>
                  <w:vAlign w:val="center"/>
                </w:tcPr>
                <w:p>
                  <w:pPr>
                    <w:widowControl/>
                    <w:adjustRightInd w:val="0"/>
                    <w:snapToGrid w:val="0"/>
                    <w:jc w:val="center"/>
                    <w:rPr>
                      <w:szCs w:val="21"/>
                    </w:rPr>
                  </w:pPr>
                </w:p>
              </w:tc>
              <w:tc>
                <w:tcPr>
                  <w:tcW w:w="770" w:type="dxa"/>
                  <w:vMerge w:val="continue"/>
                  <w:vAlign w:val="center"/>
                </w:tcPr>
                <w:p>
                  <w:pPr>
                    <w:widowControl/>
                    <w:adjustRightInd w:val="0"/>
                    <w:snapToGrid w:val="0"/>
                    <w:jc w:val="center"/>
                    <w:rPr>
                      <w:szCs w:val="21"/>
                    </w:rPr>
                  </w:pPr>
                </w:p>
              </w:tc>
              <w:tc>
                <w:tcPr>
                  <w:tcW w:w="1005" w:type="dxa"/>
                  <w:vMerge w:val="continue"/>
                  <w:vAlign w:val="center"/>
                </w:tcPr>
                <w:p>
                  <w:pPr>
                    <w:widowControl/>
                    <w:adjustRightInd w:val="0"/>
                    <w:snapToGrid w:val="0"/>
                    <w:jc w:val="center"/>
                    <w:rPr>
                      <w:szCs w:val="21"/>
                    </w:rPr>
                  </w:pPr>
                </w:p>
              </w:tc>
              <w:tc>
                <w:tcPr>
                  <w:tcW w:w="549" w:type="dxa"/>
                  <w:vMerge w:val="continue"/>
                  <w:vAlign w:val="center"/>
                </w:tcPr>
                <w:p>
                  <w:pPr>
                    <w:widowControl/>
                    <w:adjustRightInd w:val="0"/>
                    <w:snapToGrid w:val="0"/>
                    <w:jc w:val="center"/>
                    <w:rPr>
                      <w:szCs w:val="21"/>
                    </w:rPr>
                  </w:pPr>
                </w:p>
              </w:tc>
              <w:tc>
                <w:tcPr>
                  <w:tcW w:w="695" w:type="dxa"/>
                  <w:vMerge w:val="continue"/>
                  <w:vAlign w:val="center"/>
                </w:tcPr>
                <w:p>
                  <w:pPr>
                    <w:widowControl/>
                    <w:adjustRightInd w:val="0"/>
                    <w:snapToGrid w:val="0"/>
                    <w:jc w:val="center"/>
                    <w:rPr>
                      <w:szCs w:val="21"/>
                    </w:rPr>
                  </w:pPr>
                </w:p>
              </w:tc>
              <w:tc>
                <w:tcPr>
                  <w:tcW w:w="919" w:type="dxa"/>
                  <w:vAlign w:val="center"/>
                </w:tcPr>
                <w:p>
                  <w:pPr>
                    <w:jc w:val="center"/>
                    <w:rPr>
                      <w:szCs w:val="21"/>
                    </w:rPr>
                  </w:pPr>
                  <w:r>
                    <w:rPr>
                      <w:szCs w:val="21"/>
                    </w:rPr>
                    <w:t>NH</w:t>
                  </w:r>
                  <w:r>
                    <w:rPr>
                      <w:szCs w:val="21"/>
                      <w:vertAlign w:val="subscript"/>
                    </w:rPr>
                    <w:t>3</w:t>
                  </w:r>
                  <w:r>
                    <w:rPr>
                      <w:szCs w:val="21"/>
                    </w:rPr>
                    <w:t>-N</w:t>
                  </w:r>
                </w:p>
              </w:tc>
              <w:tc>
                <w:tcPr>
                  <w:tcW w:w="1057" w:type="dxa"/>
                  <w:vAlign w:val="center"/>
                </w:tcPr>
                <w:p>
                  <w:pPr>
                    <w:adjustRightInd w:val="0"/>
                    <w:snapToGrid w:val="0"/>
                    <w:jc w:val="center"/>
                    <w:rPr>
                      <w:szCs w:val="21"/>
                    </w:rPr>
                  </w:pPr>
                  <w:r>
                    <w:rPr>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vAlign w:val="center"/>
                </w:tcPr>
                <w:p>
                  <w:pPr>
                    <w:widowControl/>
                    <w:adjustRightInd w:val="0"/>
                    <w:snapToGrid w:val="0"/>
                    <w:jc w:val="center"/>
                    <w:rPr>
                      <w:szCs w:val="21"/>
                    </w:rPr>
                  </w:pPr>
                </w:p>
              </w:tc>
              <w:tc>
                <w:tcPr>
                  <w:tcW w:w="710" w:type="dxa"/>
                  <w:vMerge w:val="continue"/>
                  <w:vAlign w:val="center"/>
                </w:tcPr>
                <w:p>
                  <w:pPr>
                    <w:widowControl/>
                    <w:adjustRightInd w:val="0"/>
                    <w:snapToGrid w:val="0"/>
                    <w:jc w:val="center"/>
                    <w:rPr>
                      <w:szCs w:val="21"/>
                    </w:rPr>
                  </w:pPr>
                </w:p>
              </w:tc>
              <w:tc>
                <w:tcPr>
                  <w:tcW w:w="810" w:type="dxa"/>
                  <w:vMerge w:val="continue"/>
                  <w:vAlign w:val="center"/>
                </w:tcPr>
                <w:p>
                  <w:pPr>
                    <w:widowControl/>
                    <w:adjustRightInd w:val="0"/>
                    <w:snapToGrid w:val="0"/>
                    <w:jc w:val="center"/>
                    <w:rPr>
                      <w:szCs w:val="21"/>
                    </w:rPr>
                  </w:pPr>
                </w:p>
              </w:tc>
              <w:tc>
                <w:tcPr>
                  <w:tcW w:w="812" w:type="dxa"/>
                  <w:vMerge w:val="continue"/>
                  <w:vAlign w:val="center"/>
                </w:tcPr>
                <w:p>
                  <w:pPr>
                    <w:widowControl/>
                    <w:adjustRightInd w:val="0"/>
                    <w:snapToGrid w:val="0"/>
                    <w:jc w:val="center"/>
                    <w:rPr>
                      <w:szCs w:val="21"/>
                    </w:rPr>
                  </w:pPr>
                </w:p>
              </w:tc>
              <w:tc>
                <w:tcPr>
                  <w:tcW w:w="737" w:type="dxa"/>
                  <w:vMerge w:val="continue"/>
                  <w:vAlign w:val="center"/>
                </w:tcPr>
                <w:p>
                  <w:pPr>
                    <w:widowControl/>
                    <w:adjustRightInd w:val="0"/>
                    <w:snapToGrid w:val="0"/>
                    <w:jc w:val="center"/>
                    <w:rPr>
                      <w:szCs w:val="21"/>
                    </w:rPr>
                  </w:pPr>
                </w:p>
              </w:tc>
              <w:tc>
                <w:tcPr>
                  <w:tcW w:w="770" w:type="dxa"/>
                  <w:vMerge w:val="continue"/>
                  <w:vAlign w:val="center"/>
                </w:tcPr>
                <w:p>
                  <w:pPr>
                    <w:widowControl/>
                    <w:adjustRightInd w:val="0"/>
                    <w:snapToGrid w:val="0"/>
                    <w:jc w:val="center"/>
                    <w:rPr>
                      <w:szCs w:val="21"/>
                    </w:rPr>
                  </w:pPr>
                </w:p>
              </w:tc>
              <w:tc>
                <w:tcPr>
                  <w:tcW w:w="1005" w:type="dxa"/>
                  <w:vMerge w:val="continue"/>
                  <w:vAlign w:val="center"/>
                </w:tcPr>
                <w:p>
                  <w:pPr>
                    <w:widowControl/>
                    <w:adjustRightInd w:val="0"/>
                    <w:snapToGrid w:val="0"/>
                    <w:jc w:val="center"/>
                    <w:rPr>
                      <w:szCs w:val="21"/>
                    </w:rPr>
                  </w:pPr>
                </w:p>
              </w:tc>
              <w:tc>
                <w:tcPr>
                  <w:tcW w:w="549" w:type="dxa"/>
                  <w:vMerge w:val="continue"/>
                  <w:vAlign w:val="center"/>
                </w:tcPr>
                <w:p>
                  <w:pPr>
                    <w:widowControl/>
                    <w:adjustRightInd w:val="0"/>
                    <w:snapToGrid w:val="0"/>
                    <w:jc w:val="center"/>
                    <w:rPr>
                      <w:szCs w:val="21"/>
                    </w:rPr>
                  </w:pPr>
                </w:p>
              </w:tc>
              <w:tc>
                <w:tcPr>
                  <w:tcW w:w="695" w:type="dxa"/>
                  <w:vMerge w:val="continue"/>
                  <w:vAlign w:val="center"/>
                </w:tcPr>
                <w:p>
                  <w:pPr>
                    <w:widowControl/>
                    <w:adjustRightInd w:val="0"/>
                    <w:snapToGrid w:val="0"/>
                    <w:jc w:val="center"/>
                    <w:rPr>
                      <w:szCs w:val="21"/>
                    </w:rPr>
                  </w:pPr>
                </w:p>
              </w:tc>
              <w:tc>
                <w:tcPr>
                  <w:tcW w:w="919" w:type="dxa"/>
                  <w:vAlign w:val="center"/>
                </w:tcPr>
                <w:p>
                  <w:pPr>
                    <w:jc w:val="center"/>
                    <w:rPr>
                      <w:szCs w:val="21"/>
                    </w:rPr>
                  </w:pPr>
                  <w:r>
                    <w:rPr>
                      <w:szCs w:val="21"/>
                    </w:rPr>
                    <w:t>TP</w:t>
                  </w:r>
                </w:p>
              </w:tc>
              <w:tc>
                <w:tcPr>
                  <w:tcW w:w="1057" w:type="dxa"/>
                  <w:vAlign w:val="center"/>
                </w:tcPr>
                <w:p>
                  <w:pPr>
                    <w:adjustRightInd w:val="0"/>
                    <w:snapToGrid w:val="0"/>
                    <w:jc w:val="center"/>
                    <w:rPr>
                      <w:szCs w:val="21"/>
                    </w:rPr>
                  </w:pPr>
                  <w:r>
                    <w:rPr>
                      <w:szCs w:val="21"/>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vAlign w:val="center"/>
                </w:tcPr>
                <w:p>
                  <w:pPr>
                    <w:widowControl/>
                    <w:adjustRightInd w:val="0"/>
                    <w:snapToGrid w:val="0"/>
                    <w:jc w:val="center"/>
                    <w:rPr>
                      <w:szCs w:val="21"/>
                    </w:rPr>
                  </w:pPr>
                </w:p>
              </w:tc>
              <w:tc>
                <w:tcPr>
                  <w:tcW w:w="710" w:type="dxa"/>
                  <w:vMerge w:val="continue"/>
                  <w:vAlign w:val="center"/>
                </w:tcPr>
                <w:p>
                  <w:pPr>
                    <w:widowControl/>
                    <w:adjustRightInd w:val="0"/>
                    <w:snapToGrid w:val="0"/>
                    <w:jc w:val="center"/>
                    <w:rPr>
                      <w:szCs w:val="21"/>
                    </w:rPr>
                  </w:pPr>
                </w:p>
              </w:tc>
              <w:tc>
                <w:tcPr>
                  <w:tcW w:w="810" w:type="dxa"/>
                  <w:vMerge w:val="continue"/>
                  <w:vAlign w:val="center"/>
                </w:tcPr>
                <w:p>
                  <w:pPr>
                    <w:widowControl/>
                    <w:adjustRightInd w:val="0"/>
                    <w:snapToGrid w:val="0"/>
                    <w:jc w:val="center"/>
                    <w:rPr>
                      <w:szCs w:val="21"/>
                    </w:rPr>
                  </w:pPr>
                </w:p>
              </w:tc>
              <w:tc>
                <w:tcPr>
                  <w:tcW w:w="812" w:type="dxa"/>
                  <w:vMerge w:val="continue"/>
                  <w:vAlign w:val="center"/>
                </w:tcPr>
                <w:p>
                  <w:pPr>
                    <w:widowControl/>
                    <w:adjustRightInd w:val="0"/>
                    <w:snapToGrid w:val="0"/>
                    <w:jc w:val="center"/>
                    <w:rPr>
                      <w:szCs w:val="21"/>
                    </w:rPr>
                  </w:pPr>
                </w:p>
              </w:tc>
              <w:tc>
                <w:tcPr>
                  <w:tcW w:w="737" w:type="dxa"/>
                  <w:vMerge w:val="continue"/>
                  <w:vAlign w:val="center"/>
                </w:tcPr>
                <w:p>
                  <w:pPr>
                    <w:widowControl/>
                    <w:adjustRightInd w:val="0"/>
                    <w:snapToGrid w:val="0"/>
                    <w:jc w:val="center"/>
                    <w:rPr>
                      <w:szCs w:val="21"/>
                    </w:rPr>
                  </w:pPr>
                </w:p>
              </w:tc>
              <w:tc>
                <w:tcPr>
                  <w:tcW w:w="770" w:type="dxa"/>
                  <w:vMerge w:val="continue"/>
                  <w:vAlign w:val="center"/>
                </w:tcPr>
                <w:p>
                  <w:pPr>
                    <w:widowControl/>
                    <w:adjustRightInd w:val="0"/>
                    <w:snapToGrid w:val="0"/>
                    <w:jc w:val="center"/>
                    <w:rPr>
                      <w:szCs w:val="21"/>
                    </w:rPr>
                  </w:pPr>
                </w:p>
              </w:tc>
              <w:tc>
                <w:tcPr>
                  <w:tcW w:w="1005" w:type="dxa"/>
                  <w:vMerge w:val="continue"/>
                  <w:vAlign w:val="center"/>
                </w:tcPr>
                <w:p>
                  <w:pPr>
                    <w:widowControl/>
                    <w:adjustRightInd w:val="0"/>
                    <w:snapToGrid w:val="0"/>
                    <w:jc w:val="center"/>
                    <w:rPr>
                      <w:szCs w:val="21"/>
                    </w:rPr>
                  </w:pPr>
                </w:p>
              </w:tc>
              <w:tc>
                <w:tcPr>
                  <w:tcW w:w="549" w:type="dxa"/>
                  <w:vMerge w:val="continue"/>
                  <w:vAlign w:val="center"/>
                </w:tcPr>
                <w:p>
                  <w:pPr>
                    <w:widowControl/>
                    <w:adjustRightInd w:val="0"/>
                    <w:snapToGrid w:val="0"/>
                    <w:jc w:val="center"/>
                    <w:rPr>
                      <w:szCs w:val="21"/>
                    </w:rPr>
                  </w:pPr>
                </w:p>
              </w:tc>
              <w:tc>
                <w:tcPr>
                  <w:tcW w:w="695" w:type="dxa"/>
                  <w:vMerge w:val="continue"/>
                  <w:vAlign w:val="center"/>
                </w:tcPr>
                <w:p>
                  <w:pPr>
                    <w:widowControl/>
                    <w:adjustRightInd w:val="0"/>
                    <w:snapToGrid w:val="0"/>
                    <w:jc w:val="center"/>
                    <w:rPr>
                      <w:szCs w:val="21"/>
                    </w:rPr>
                  </w:pPr>
                </w:p>
              </w:tc>
              <w:tc>
                <w:tcPr>
                  <w:tcW w:w="919" w:type="dxa"/>
                  <w:vAlign w:val="center"/>
                </w:tcPr>
                <w:p>
                  <w:pPr>
                    <w:jc w:val="center"/>
                    <w:rPr>
                      <w:szCs w:val="21"/>
                    </w:rPr>
                  </w:pPr>
                  <w:r>
                    <w:rPr>
                      <w:szCs w:val="21"/>
                    </w:rPr>
                    <w:t>TN</w:t>
                  </w:r>
                </w:p>
              </w:tc>
              <w:tc>
                <w:tcPr>
                  <w:tcW w:w="1057" w:type="dxa"/>
                  <w:vAlign w:val="center"/>
                </w:tcPr>
                <w:p>
                  <w:pPr>
                    <w:adjustRightInd w:val="0"/>
                    <w:snapToGrid w:val="0"/>
                    <w:jc w:val="center"/>
                    <w:rPr>
                      <w:rFonts w:hint="default" w:eastAsia="宋体"/>
                      <w:szCs w:val="21"/>
                      <w:lang w:val="en-US" w:eastAsia="zh-CN"/>
                    </w:rPr>
                  </w:pPr>
                  <w:r>
                    <w:rPr>
                      <w:szCs w:val="21"/>
                    </w:rPr>
                    <w:t>10</w:t>
                  </w:r>
                </w:p>
              </w:tc>
            </w:tr>
          </w:tbl>
          <w:p>
            <w:pPr>
              <w:adjustRightInd w:val="0"/>
              <w:snapToGrid w:val="0"/>
              <w:jc w:val="center"/>
              <w:rPr>
                <w:b/>
                <w:sz w:val="24"/>
              </w:rPr>
            </w:pPr>
            <w:r>
              <w:rPr>
                <w:b/>
                <w:sz w:val="24"/>
              </w:rPr>
              <w:t>表</w:t>
            </w:r>
            <w:r>
              <w:rPr>
                <w:rFonts w:hint="eastAsia"/>
                <w:b/>
                <w:sz w:val="24"/>
              </w:rPr>
              <w:t>4-1</w:t>
            </w:r>
            <w:r>
              <w:rPr>
                <w:rFonts w:hint="eastAsia"/>
                <w:b/>
                <w:sz w:val="24"/>
                <w:lang w:val="en-US" w:eastAsia="zh-CN"/>
              </w:rPr>
              <w:t>5</w:t>
            </w:r>
            <w:r>
              <w:rPr>
                <w:b/>
                <w:sz w:val="24"/>
              </w:rPr>
              <w:t xml:space="preserve">  废水污染物排放（接管）执行标准表</w:t>
            </w:r>
          </w:p>
          <w:tbl>
            <w:tblPr>
              <w:tblStyle w:val="36"/>
              <w:tblW w:w="8460" w:type="dxa"/>
              <w:tblInd w:w="17"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1358"/>
              <w:gridCol w:w="1389"/>
              <w:gridCol w:w="3719"/>
              <w:gridCol w:w="11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adjustRightInd w:val="0"/>
                    <w:snapToGrid w:val="0"/>
                    <w:jc w:val="center"/>
                    <w:rPr>
                      <w:b/>
                      <w:szCs w:val="21"/>
                    </w:rPr>
                  </w:pPr>
                  <w:r>
                    <w:rPr>
                      <w:b/>
                      <w:szCs w:val="21"/>
                    </w:rPr>
                    <w:t>序号</w:t>
                  </w:r>
                </w:p>
              </w:tc>
              <w:tc>
                <w:tcPr>
                  <w:tcW w:w="1358" w:type="dxa"/>
                  <w:vAlign w:val="center"/>
                </w:tcPr>
                <w:p>
                  <w:pPr>
                    <w:adjustRightInd w:val="0"/>
                    <w:snapToGrid w:val="0"/>
                    <w:jc w:val="center"/>
                    <w:rPr>
                      <w:b/>
                      <w:szCs w:val="21"/>
                    </w:rPr>
                  </w:pPr>
                  <w:r>
                    <w:rPr>
                      <w:b/>
                      <w:szCs w:val="21"/>
                    </w:rPr>
                    <w:t>排放口编号</w:t>
                  </w:r>
                </w:p>
              </w:tc>
              <w:tc>
                <w:tcPr>
                  <w:tcW w:w="1389" w:type="dxa"/>
                  <w:vAlign w:val="center"/>
                </w:tcPr>
                <w:p>
                  <w:pPr>
                    <w:adjustRightInd w:val="0"/>
                    <w:snapToGrid w:val="0"/>
                    <w:jc w:val="center"/>
                    <w:rPr>
                      <w:b/>
                      <w:szCs w:val="21"/>
                    </w:rPr>
                  </w:pPr>
                  <w:r>
                    <w:rPr>
                      <w:b/>
                      <w:szCs w:val="21"/>
                    </w:rPr>
                    <w:t>污染物种类</w:t>
                  </w:r>
                </w:p>
              </w:tc>
              <w:tc>
                <w:tcPr>
                  <w:tcW w:w="4833" w:type="dxa"/>
                  <w:gridSpan w:val="2"/>
                  <w:vAlign w:val="center"/>
                </w:tcPr>
                <w:p>
                  <w:pPr>
                    <w:adjustRightInd w:val="0"/>
                    <w:snapToGrid w:val="0"/>
                    <w:jc w:val="center"/>
                    <w:rPr>
                      <w:b/>
                      <w:szCs w:val="21"/>
                    </w:rPr>
                  </w:pPr>
                  <w:r>
                    <w:rPr>
                      <w:b/>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adjustRightInd w:val="0"/>
                    <w:snapToGrid w:val="0"/>
                    <w:jc w:val="center"/>
                    <w:rPr>
                      <w:szCs w:val="21"/>
                    </w:rPr>
                  </w:pPr>
                  <w:r>
                    <w:rPr>
                      <w:szCs w:val="21"/>
                    </w:rPr>
                    <w:t>1</w:t>
                  </w:r>
                </w:p>
              </w:tc>
              <w:tc>
                <w:tcPr>
                  <w:tcW w:w="1358" w:type="dxa"/>
                  <w:vMerge w:val="restart"/>
                  <w:vAlign w:val="center"/>
                </w:tcPr>
                <w:p>
                  <w:pPr>
                    <w:adjustRightInd w:val="0"/>
                    <w:snapToGrid w:val="0"/>
                    <w:jc w:val="center"/>
                    <w:rPr>
                      <w:szCs w:val="21"/>
                    </w:rPr>
                  </w:pPr>
                  <w:r>
                    <w:rPr>
                      <w:szCs w:val="21"/>
                    </w:rPr>
                    <w:t>DW001</w:t>
                  </w:r>
                </w:p>
              </w:tc>
              <w:tc>
                <w:tcPr>
                  <w:tcW w:w="1389" w:type="dxa"/>
                  <w:vAlign w:val="center"/>
                </w:tcPr>
                <w:p>
                  <w:pPr>
                    <w:kinsoku w:val="0"/>
                    <w:overflowPunct w:val="0"/>
                    <w:jc w:val="center"/>
                    <w:rPr>
                      <w:kern w:val="0"/>
                      <w:szCs w:val="21"/>
                      <w:lang w:eastAsia="en-US"/>
                    </w:rPr>
                  </w:pPr>
                  <w:r>
                    <w:rPr>
                      <w:kern w:val="0"/>
                      <w:szCs w:val="21"/>
                      <w:lang w:eastAsia="en-US"/>
                    </w:rPr>
                    <w:t>COD</w:t>
                  </w:r>
                </w:p>
              </w:tc>
              <w:tc>
                <w:tcPr>
                  <w:tcW w:w="3719" w:type="dxa"/>
                  <w:vMerge w:val="restart"/>
                  <w:vAlign w:val="center"/>
                </w:tcPr>
                <w:p>
                  <w:pPr>
                    <w:kinsoku w:val="0"/>
                    <w:overflowPunct w:val="0"/>
                    <w:jc w:val="center"/>
                    <w:rPr>
                      <w:b/>
                      <w:kern w:val="0"/>
                      <w:szCs w:val="21"/>
                    </w:rPr>
                  </w:pPr>
                  <w:r>
                    <w:rPr>
                      <w:szCs w:val="21"/>
                    </w:rPr>
                    <w:t>《污水排入城镇下水道水质标准》（GB/T 31962-2015）表1中B级标准</w:t>
                  </w:r>
                </w:p>
              </w:tc>
              <w:tc>
                <w:tcPr>
                  <w:tcW w:w="1114" w:type="dxa"/>
                  <w:vAlign w:val="center"/>
                </w:tcPr>
                <w:p>
                  <w:pPr>
                    <w:autoSpaceDE w:val="0"/>
                    <w:autoSpaceDN w:val="0"/>
                    <w:jc w:val="center"/>
                    <w:rPr>
                      <w:kern w:val="0"/>
                      <w:szCs w:val="21"/>
                    </w:rPr>
                  </w:pPr>
                  <w:r>
                    <w:rPr>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adjustRightInd w:val="0"/>
                    <w:snapToGrid w:val="0"/>
                    <w:jc w:val="center"/>
                    <w:rPr>
                      <w:szCs w:val="21"/>
                    </w:rPr>
                  </w:pPr>
                  <w:r>
                    <w:rPr>
                      <w:szCs w:val="21"/>
                    </w:rPr>
                    <w:t>2</w:t>
                  </w:r>
                </w:p>
              </w:tc>
              <w:tc>
                <w:tcPr>
                  <w:tcW w:w="1358" w:type="dxa"/>
                  <w:vMerge w:val="continue"/>
                  <w:vAlign w:val="center"/>
                </w:tcPr>
                <w:p>
                  <w:pPr>
                    <w:adjustRightInd w:val="0"/>
                    <w:snapToGrid w:val="0"/>
                    <w:jc w:val="center"/>
                    <w:rPr>
                      <w:szCs w:val="21"/>
                    </w:rPr>
                  </w:pPr>
                </w:p>
              </w:tc>
              <w:tc>
                <w:tcPr>
                  <w:tcW w:w="1389" w:type="dxa"/>
                  <w:vAlign w:val="center"/>
                </w:tcPr>
                <w:p>
                  <w:pPr>
                    <w:kinsoku w:val="0"/>
                    <w:overflowPunct w:val="0"/>
                    <w:jc w:val="center"/>
                    <w:rPr>
                      <w:kern w:val="0"/>
                      <w:szCs w:val="21"/>
                    </w:rPr>
                  </w:pPr>
                  <w:r>
                    <w:rPr>
                      <w:kern w:val="0"/>
                      <w:szCs w:val="21"/>
                    </w:rPr>
                    <w:t>SS</w:t>
                  </w:r>
                </w:p>
              </w:tc>
              <w:tc>
                <w:tcPr>
                  <w:tcW w:w="3719" w:type="dxa"/>
                  <w:vMerge w:val="continue"/>
                  <w:vAlign w:val="center"/>
                </w:tcPr>
                <w:p>
                  <w:pPr>
                    <w:adjustRightInd w:val="0"/>
                    <w:snapToGrid w:val="0"/>
                    <w:jc w:val="center"/>
                    <w:rPr>
                      <w:b/>
                      <w:szCs w:val="21"/>
                    </w:rPr>
                  </w:pPr>
                </w:p>
              </w:tc>
              <w:tc>
                <w:tcPr>
                  <w:tcW w:w="1114" w:type="dxa"/>
                  <w:vAlign w:val="center"/>
                </w:tcPr>
                <w:p>
                  <w:pPr>
                    <w:autoSpaceDE w:val="0"/>
                    <w:autoSpaceDN w:val="0"/>
                    <w:jc w:val="center"/>
                    <w:rPr>
                      <w:kern w:val="0"/>
                      <w:szCs w:val="21"/>
                    </w:rPr>
                  </w:pPr>
                  <w:r>
                    <w:rPr>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adjustRightInd w:val="0"/>
                    <w:snapToGrid w:val="0"/>
                    <w:jc w:val="center"/>
                    <w:rPr>
                      <w:szCs w:val="21"/>
                    </w:rPr>
                  </w:pPr>
                  <w:r>
                    <w:rPr>
                      <w:szCs w:val="21"/>
                    </w:rPr>
                    <w:t>3</w:t>
                  </w:r>
                </w:p>
              </w:tc>
              <w:tc>
                <w:tcPr>
                  <w:tcW w:w="1358" w:type="dxa"/>
                  <w:vMerge w:val="continue"/>
                  <w:vAlign w:val="center"/>
                </w:tcPr>
                <w:p>
                  <w:pPr>
                    <w:adjustRightInd w:val="0"/>
                    <w:snapToGrid w:val="0"/>
                    <w:jc w:val="center"/>
                    <w:rPr>
                      <w:szCs w:val="21"/>
                    </w:rPr>
                  </w:pPr>
                </w:p>
              </w:tc>
              <w:tc>
                <w:tcPr>
                  <w:tcW w:w="1389" w:type="dxa"/>
                  <w:vAlign w:val="center"/>
                </w:tcPr>
                <w:p>
                  <w:pPr>
                    <w:kinsoku w:val="0"/>
                    <w:overflowPunct w:val="0"/>
                    <w:jc w:val="center"/>
                    <w:rPr>
                      <w:kern w:val="0"/>
                      <w:szCs w:val="21"/>
                    </w:rPr>
                  </w:pPr>
                  <w:r>
                    <w:rPr>
                      <w:kern w:val="0"/>
                      <w:position w:val="2"/>
                      <w:szCs w:val="21"/>
                    </w:rPr>
                    <w:t>NH</w:t>
                  </w:r>
                  <w:r>
                    <w:rPr>
                      <w:kern w:val="0"/>
                      <w:szCs w:val="21"/>
                      <w:vertAlign w:val="subscript"/>
                    </w:rPr>
                    <w:t>3</w:t>
                  </w:r>
                  <w:r>
                    <w:rPr>
                      <w:kern w:val="0"/>
                      <w:position w:val="2"/>
                      <w:szCs w:val="21"/>
                    </w:rPr>
                    <w:t>-N</w:t>
                  </w:r>
                </w:p>
              </w:tc>
              <w:tc>
                <w:tcPr>
                  <w:tcW w:w="3719" w:type="dxa"/>
                  <w:vMerge w:val="continue"/>
                  <w:vAlign w:val="center"/>
                </w:tcPr>
                <w:p>
                  <w:pPr>
                    <w:adjustRightInd w:val="0"/>
                    <w:snapToGrid w:val="0"/>
                    <w:jc w:val="center"/>
                    <w:rPr>
                      <w:b/>
                      <w:szCs w:val="21"/>
                    </w:rPr>
                  </w:pPr>
                </w:p>
              </w:tc>
              <w:tc>
                <w:tcPr>
                  <w:tcW w:w="1114" w:type="dxa"/>
                  <w:vAlign w:val="center"/>
                </w:tcPr>
                <w:p>
                  <w:pPr>
                    <w:autoSpaceDE w:val="0"/>
                    <w:autoSpaceDN w:val="0"/>
                    <w:jc w:val="center"/>
                    <w:rPr>
                      <w:kern w:val="0"/>
                      <w:szCs w:val="21"/>
                    </w:rPr>
                  </w:pPr>
                  <w:r>
                    <w:rPr>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80" w:type="dxa"/>
                  <w:vAlign w:val="center"/>
                </w:tcPr>
                <w:p>
                  <w:pPr>
                    <w:adjustRightInd w:val="0"/>
                    <w:snapToGrid w:val="0"/>
                    <w:jc w:val="center"/>
                    <w:rPr>
                      <w:szCs w:val="21"/>
                    </w:rPr>
                  </w:pPr>
                  <w:r>
                    <w:rPr>
                      <w:szCs w:val="21"/>
                    </w:rPr>
                    <w:t>4</w:t>
                  </w:r>
                </w:p>
              </w:tc>
              <w:tc>
                <w:tcPr>
                  <w:tcW w:w="1358" w:type="dxa"/>
                  <w:vMerge w:val="continue"/>
                  <w:vAlign w:val="center"/>
                </w:tcPr>
                <w:p>
                  <w:pPr>
                    <w:adjustRightInd w:val="0"/>
                    <w:snapToGrid w:val="0"/>
                    <w:jc w:val="center"/>
                    <w:rPr>
                      <w:szCs w:val="21"/>
                    </w:rPr>
                  </w:pPr>
                </w:p>
              </w:tc>
              <w:tc>
                <w:tcPr>
                  <w:tcW w:w="1389" w:type="dxa"/>
                  <w:vAlign w:val="center"/>
                </w:tcPr>
                <w:p>
                  <w:pPr>
                    <w:kinsoku w:val="0"/>
                    <w:overflowPunct w:val="0"/>
                    <w:jc w:val="center"/>
                    <w:rPr>
                      <w:kern w:val="0"/>
                      <w:szCs w:val="21"/>
                    </w:rPr>
                  </w:pPr>
                  <w:r>
                    <w:rPr>
                      <w:kern w:val="0"/>
                      <w:szCs w:val="21"/>
                    </w:rPr>
                    <w:t>TP</w:t>
                  </w:r>
                </w:p>
              </w:tc>
              <w:tc>
                <w:tcPr>
                  <w:tcW w:w="3719" w:type="dxa"/>
                  <w:vMerge w:val="continue"/>
                  <w:vAlign w:val="center"/>
                </w:tcPr>
                <w:p>
                  <w:pPr>
                    <w:adjustRightInd w:val="0"/>
                    <w:snapToGrid w:val="0"/>
                    <w:jc w:val="center"/>
                    <w:rPr>
                      <w:b/>
                      <w:szCs w:val="21"/>
                    </w:rPr>
                  </w:pPr>
                </w:p>
              </w:tc>
              <w:tc>
                <w:tcPr>
                  <w:tcW w:w="1114" w:type="dxa"/>
                  <w:vAlign w:val="center"/>
                </w:tcPr>
                <w:p>
                  <w:pPr>
                    <w:autoSpaceDE w:val="0"/>
                    <w:autoSpaceDN w:val="0"/>
                    <w:jc w:val="center"/>
                    <w:rPr>
                      <w:kern w:val="0"/>
                      <w:szCs w:val="21"/>
                    </w:rPr>
                  </w:pPr>
                  <w:r>
                    <w:rPr>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80" w:type="dxa"/>
                  <w:vAlign w:val="center"/>
                </w:tcPr>
                <w:p>
                  <w:pPr>
                    <w:adjustRightInd w:val="0"/>
                    <w:snapToGrid w:val="0"/>
                    <w:jc w:val="center"/>
                    <w:rPr>
                      <w:szCs w:val="21"/>
                    </w:rPr>
                  </w:pPr>
                  <w:r>
                    <w:rPr>
                      <w:szCs w:val="21"/>
                    </w:rPr>
                    <w:t>5</w:t>
                  </w:r>
                </w:p>
              </w:tc>
              <w:tc>
                <w:tcPr>
                  <w:tcW w:w="1358" w:type="dxa"/>
                  <w:vMerge w:val="continue"/>
                  <w:vAlign w:val="center"/>
                </w:tcPr>
                <w:p>
                  <w:pPr>
                    <w:adjustRightInd w:val="0"/>
                    <w:snapToGrid w:val="0"/>
                    <w:jc w:val="center"/>
                    <w:rPr>
                      <w:szCs w:val="21"/>
                    </w:rPr>
                  </w:pPr>
                </w:p>
              </w:tc>
              <w:tc>
                <w:tcPr>
                  <w:tcW w:w="1389" w:type="dxa"/>
                  <w:vAlign w:val="center"/>
                </w:tcPr>
                <w:p>
                  <w:pPr>
                    <w:kinsoku w:val="0"/>
                    <w:overflowPunct w:val="0"/>
                    <w:jc w:val="center"/>
                    <w:rPr>
                      <w:kern w:val="0"/>
                      <w:szCs w:val="21"/>
                    </w:rPr>
                  </w:pPr>
                  <w:r>
                    <w:rPr>
                      <w:kern w:val="0"/>
                      <w:szCs w:val="21"/>
                    </w:rPr>
                    <w:t>TN</w:t>
                  </w:r>
                </w:p>
              </w:tc>
              <w:tc>
                <w:tcPr>
                  <w:tcW w:w="3719" w:type="dxa"/>
                  <w:vMerge w:val="continue"/>
                  <w:vAlign w:val="center"/>
                </w:tcPr>
                <w:p>
                  <w:pPr>
                    <w:adjustRightInd w:val="0"/>
                    <w:snapToGrid w:val="0"/>
                    <w:jc w:val="center"/>
                    <w:rPr>
                      <w:b/>
                      <w:szCs w:val="21"/>
                    </w:rPr>
                  </w:pPr>
                </w:p>
              </w:tc>
              <w:tc>
                <w:tcPr>
                  <w:tcW w:w="1114" w:type="dxa"/>
                  <w:vAlign w:val="center"/>
                </w:tcPr>
                <w:p>
                  <w:pPr>
                    <w:autoSpaceDE w:val="0"/>
                    <w:autoSpaceDN w:val="0"/>
                    <w:jc w:val="center"/>
                    <w:rPr>
                      <w:szCs w:val="21"/>
                    </w:rPr>
                  </w:pPr>
                  <w:r>
                    <w:rPr>
                      <w:szCs w:val="21"/>
                    </w:rPr>
                    <w:t>70</w:t>
                  </w:r>
                </w:p>
              </w:tc>
            </w:tr>
          </w:tbl>
          <w:p>
            <w:pPr>
              <w:adjustRightInd w:val="0"/>
              <w:snapToGrid w:val="0"/>
              <w:jc w:val="center"/>
              <w:rPr>
                <w:b/>
                <w:sz w:val="24"/>
              </w:rPr>
            </w:pPr>
            <w:r>
              <w:rPr>
                <w:b/>
                <w:sz w:val="24"/>
              </w:rPr>
              <w:t>表</w:t>
            </w:r>
            <w:r>
              <w:rPr>
                <w:rFonts w:hint="eastAsia"/>
                <w:b/>
                <w:sz w:val="24"/>
              </w:rPr>
              <w:t>4-1</w:t>
            </w:r>
            <w:r>
              <w:rPr>
                <w:rFonts w:hint="eastAsia"/>
                <w:b/>
                <w:sz w:val="24"/>
                <w:lang w:val="en-US" w:eastAsia="zh-CN"/>
              </w:rPr>
              <w:t>6</w:t>
            </w:r>
            <w:r>
              <w:rPr>
                <w:b/>
                <w:sz w:val="24"/>
              </w:rPr>
              <w:t xml:space="preserve">  废水污染物排放信息表</w:t>
            </w:r>
          </w:p>
          <w:tbl>
            <w:tblPr>
              <w:tblStyle w:val="36"/>
              <w:tblW w:w="4852"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78"/>
              <w:gridCol w:w="1357"/>
              <w:gridCol w:w="1338"/>
              <w:gridCol w:w="1862"/>
              <w:gridCol w:w="1367"/>
              <w:gridCol w:w="164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Align w:val="center"/>
                </w:tcPr>
                <w:p>
                  <w:pPr>
                    <w:jc w:val="center"/>
                    <w:rPr>
                      <w:b/>
                      <w:szCs w:val="21"/>
                    </w:rPr>
                  </w:pPr>
                  <w:r>
                    <w:rPr>
                      <w:b/>
                      <w:szCs w:val="21"/>
                    </w:rPr>
                    <w:t>序号</w:t>
                  </w:r>
                </w:p>
              </w:tc>
              <w:tc>
                <w:tcPr>
                  <w:tcW w:w="823" w:type="pct"/>
                  <w:vAlign w:val="center"/>
                </w:tcPr>
                <w:p>
                  <w:pPr>
                    <w:jc w:val="center"/>
                    <w:rPr>
                      <w:b/>
                      <w:szCs w:val="21"/>
                    </w:rPr>
                  </w:pPr>
                  <w:r>
                    <w:rPr>
                      <w:b/>
                      <w:szCs w:val="21"/>
                    </w:rPr>
                    <w:t>排放口编号</w:t>
                  </w:r>
                </w:p>
              </w:tc>
              <w:tc>
                <w:tcPr>
                  <w:tcW w:w="810" w:type="pct"/>
                  <w:vAlign w:val="center"/>
                </w:tcPr>
                <w:p>
                  <w:pPr>
                    <w:jc w:val="center"/>
                    <w:rPr>
                      <w:b/>
                      <w:szCs w:val="21"/>
                    </w:rPr>
                  </w:pPr>
                  <w:r>
                    <w:rPr>
                      <w:b/>
                      <w:szCs w:val="21"/>
                    </w:rPr>
                    <w:t>污染物种类</w:t>
                  </w:r>
                </w:p>
              </w:tc>
              <w:tc>
                <w:tcPr>
                  <w:tcW w:w="1129" w:type="pct"/>
                  <w:vAlign w:val="center"/>
                </w:tcPr>
                <w:p>
                  <w:pPr>
                    <w:jc w:val="center"/>
                    <w:rPr>
                      <w:b/>
                      <w:szCs w:val="21"/>
                    </w:rPr>
                  </w:pPr>
                  <w:r>
                    <w:rPr>
                      <w:b/>
                      <w:szCs w:val="21"/>
                    </w:rPr>
                    <w:t>排放浓度（mg/L）</w:t>
                  </w:r>
                </w:p>
              </w:tc>
              <w:tc>
                <w:tcPr>
                  <w:tcW w:w="829" w:type="pct"/>
                  <w:vAlign w:val="center"/>
                </w:tcPr>
                <w:p>
                  <w:pPr>
                    <w:jc w:val="center"/>
                    <w:rPr>
                      <w:b/>
                      <w:szCs w:val="21"/>
                    </w:rPr>
                  </w:pPr>
                  <w:r>
                    <w:rPr>
                      <w:b/>
                      <w:szCs w:val="21"/>
                    </w:rPr>
                    <w:t>日排放量/（t/d）</w:t>
                  </w:r>
                </w:p>
              </w:tc>
              <w:tc>
                <w:tcPr>
                  <w:tcW w:w="996" w:type="pct"/>
                  <w:vAlign w:val="center"/>
                </w:tcPr>
                <w:p>
                  <w:pPr>
                    <w:jc w:val="center"/>
                    <w:rPr>
                      <w:b/>
                      <w:szCs w:val="21"/>
                    </w:rPr>
                  </w:pPr>
                  <w:r>
                    <w:rPr>
                      <w:b/>
                      <w:szCs w:val="21"/>
                    </w:rPr>
                    <w:t>年排放量/（t/a）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11" w:type="pct"/>
                  <w:vAlign w:val="center"/>
                </w:tcPr>
                <w:p>
                  <w:pPr>
                    <w:jc w:val="center"/>
                    <w:rPr>
                      <w:szCs w:val="21"/>
                    </w:rPr>
                  </w:pPr>
                  <w:r>
                    <w:rPr>
                      <w:szCs w:val="21"/>
                    </w:rPr>
                    <w:t>1</w:t>
                  </w:r>
                </w:p>
              </w:tc>
              <w:tc>
                <w:tcPr>
                  <w:tcW w:w="823" w:type="pct"/>
                  <w:vMerge w:val="restart"/>
                  <w:vAlign w:val="center"/>
                </w:tcPr>
                <w:p>
                  <w:pPr>
                    <w:jc w:val="center"/>
                    <w:rPr>
                      <w:szCs w:val="21"/>
                    </w:rPr>
                  </w:pPr>
                  <w:r>
                    <w:rPr>
                      <w:szCs w:val="21"/>
                    </w:rPr>
                    <w:t>DW001</w:t>
                  </w:r>
                </w:p>
              </w:tc>
              <w:tc>
                <w:tcPr>
                  <w:tcW w:w="810" w:type="pct"/>
                  <w:vAlign w:val="center"/>
                </w:tcPr>
                <w:p>
                  <w:pPr>
                    <w:jc w:val="center"/>
                    <w:rPr>
                      <w:szCs w:val="21"/>
                    </w:rPr>
                  </w:pPr>
                  <w:r>
                    <w:rPr>
                      <w:szCs w:val="21"/>
                    </w:rPr>
                    <w:t>CODcr</w:t>
                  </w:r>
                </w:p>
              </w:tc>
              <w:tc>
                <w:tcPr>
                  <w:tcW w:w="1129" w:type="pct"/>
                  <w:vAlign w:val="center"/>
                </w:tcPr>
                <w:p>
                  <w:pPr>
                    <w:adjustRightInd w:val="0"/>
                    <w:snapToGrid w:val="0"/>
                    <w:jc w:val="center"/>
                    <w:rPr>
                      <w:szCs w:val="21"/>
                    </w:rPr>
                  </w:pPr>
                  <w:r>
                    <w:rPr>
                      <w:szCs w:val="21"/>
                    </w:rPr>
                    <w:t>400</w:t>
                  </w:r>
                </w:p>
              </w:tc>
              <w:tc>
                <w:tcPr>
                  <w:tcW w:w="829" w:type="pct"/>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0.0016</w:t>
                  </w:r>
                </w:p>
              </w:tc>
              <w:tc>
                <w:tcPr>
                  <w:tcW w:w="996" w:type="pct"/>
                </w:tcPr>
                <w:p>
                  <w:pPr>
                    <w:adjustRightInd w:val="0"/>
                    <w:snapToGrid w:val="0"/>
                    <w:jc w:val="center"/>
                    <w:rPr>
                      <w:rFonts w:hint="default" w:eastAsia="宋体"/>
                      <w:kern w:val="0"/>
                      <w:szCs w:val="21"/>
                      <w:lang w:val="en-US" w:eastAsia="zh-CN"/>
                    </w:rPr>
                  </w:pPr>
                  <w:r>
                    <w:rPr>
                      <w:rFonts w:hint="eastAsia"/>
                      <w:kern w:val="0"/>
                      <w:szCs w:val="21"/>
                      <w:lang w:val="en-US" w:eastAsia="zh-CN"/>
                    </w:rPr>
                    <w:t>0.48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Align w:val="center"/>
                </w:tcPr>
                <w:p>
                  <w:pPr>
                    <w:jc w:val="center"/>
                    <w:rPr>
                      <w:szCs w:val="21"/>
                    </w:rPr>
                  </w:pPr>
                  <w:r>
                    <w:rPr>
                      <w:szCs w:val="21"/>
                    </w:rPr>
                    <w:t>2</w:t>
                  </w:r>
                </w:p>
              </w:tc>
              <w:tc>
                <w:tcPr>
                  <w:tcW w:w="823" w:type="pct"/>
                  <w:vMerge w:val="continue"/>
                  <w:vAlign w:val="center"/>
                </w:tcPr>
                <w:p>
                  <w:pPr>
                    <w:widowControl/>
                    <w:jc w:val="left"/>
                    <w:rPr>
                      <w:szCs w:val="21"/>
                    </w:rPr>
                  </w:pPr>
                </w:p>
              </w:tc>
              <w:tc>
                <w:tcPr>
                  <w:tcW w:w="810" w:type="pct"/>
                  <w:vAlign w:val="center"/>
                </w:tcPr>
                <w:p>
                  <w:pPr>
                    <w:jc w:val="center"/>
                    <w:rPr>
                      <w:szCs w:val="21"/>
                    </w:rPr>
                  </w:pPr>
                  <w:r>
                    <w:rPr>
                      <w:szCs w:val="21"/>
                    </w:rPr>
                    <w:t>SS</w:t>
                  </w:r>
                </w:p>
              </w:tc>
              <w:tc>
                <w:tcPr>
                  <w:tcW w:w="1129" w:type="pct"/>
                  <w:vAlign w:val="center"/>
                </w:tcPr>
                <w:p>
                  <w:pPr>
                    <w:adjustRightInd w:val="0"/>
                    <w:snapToGrid w:val="0"/>
                    <w:jc w:val="center"/>
                    <w:rPr>
                      <w:szCs w:val="21"/>
                    </w:rPr>
                  </w:pPr>
                  <w:r>
                    <w:rPr>
                      <w:szCs w:val="21"/>
                    </w:rPr>
                    <w:t>300</w:t>
                  </w:r>
                </w:p>
              </w:tc>
              <w:tc>
                <w:tcPr>
                  <w:tcW w:w="829" w:type="pct"/>
                  <w:vAlign w:val="center"/>
                </w:tcPr>
                <w:p>
                  <w:pPr>
                    <w:adjustRightInd w:val="0"/>
                    <w:snapToGrid w:val="0"/>
                    <w:jc w:val="center"/>
                    <w:rPr>
                      <w:rFonts w:hint="default" w:eastAsia="宋体"/>
                      <w:szCs w:val="21"/>
                      <w:lang w:val="en-US" w:eastAsia="zh-CN"/>
                    </w:rPr>
                  </w:pPr>
                  <w:r>
                    <w:rPr>
                      <w:rFonts w:hint="eastAsia"/>
                      <w:szCs w:val="21"/>
                      <w:lang w:val="en-US" w:eastAsia="zh-CN"/>
                    </w:rPr>
                    <w:t>0.0012</w:t>
                  </w:r>
                </w:p>
              </w:tc>
              <w:tc>
                <w:tcPr>
                  <w:tcW w:w="996" w:type="pct"/>
                </w:tcPr>
                <w:p>
                  <w:pPr>
                    <w:adjustRightInd w:val="0"/>
                    <w:snapToGrid w:val="0"/>
                    <w:jc w:val="center"/>
                    <w:rPr>
                      <w:rFonts w:hint="default" w:eastAsia="宋体"/>
                      <w:szCs w:val="21"/>
                      <w:lang w:val="en-US" w:eastAsia="zh-CN"/>
                    </w:rPr>
                  </w:pPr>
                  <w:r>
                    <w:rPr>
                      <w:rFonts w:hint="eastAsia"/>
                      <w:szCs w:val="21"/>
                      <w:lang w:val="en-US" w:eastAsia="zh-CN"/>
                    </w:rPr>
                    <w:t>0.36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Align w:val="center"/>
                </w:tcPr>
                <w:p>
                  <w:pPr>
                    <w:jc w:val="center"/>
                    <w:rPr>
                      <w:szCs w:val="21"/>
                    </w:rPr>
                  </w:pPr>
                  <w:r>
                    <w:rPr>
                      <w:szCs w:val="21"/>
                    </w:rPr>
                    <w:t>3</w:t>
                  </w:r>
                </w:p>
              </w:tc>
              <w:tc>
                <w:tcPr>
                  <w:tcW w:w="823" w:type="pct"/>
                  <w:vMerge w:val="continue"/>
                  <w:vAlign w:val="center"/>
                </w:tcPr>
                <w:p>
                  <w:pPr>
                    <w:widowControl/>
                    <w:jc w:val="left"/>
                    <w:rPr>
                      <w:szCs w:val="21"/>
                    </w:rPr>
                  </w:pPr>
                </w:p>
              </w:tc>
              <w:tc>
                <w:tcPr>
                  <w:tcW w:w="810" w:type="pct"/>
                  <w:vAlign w:val="center"/>
                </w:tcPr>
                <w:p>
                  <w:pPr>
                    <w:jc w:val="center"/>
                    <w:rPr>
                      <w:szCs w:val="21"/>
                    </w:rPr>
                  </w:pPr>
                  <w:r>
                    <w:rPr>
                      <w:szCs w:val="21"/>
                    </w:rPr>
                    <w:t>NH</w:t>
                  </w:r>
                  <w:r>
                    <w:rPr>
                      <w:szCs w:val="21"/>
                      <w:vertAlign w:val="subscript"/>
                    </w:rPr>
                    <w:t>3</w:t>
                  </w:r>
                  <w:r>
                    <w:rPr>
                      <w:szCs w:val="21"/>
                    </w:rPr>
                    <w:t>-N</w:t>
                  </w:r>
                </w:p>
              </w:tc>
              <w:tc>
                <w:tcPr>
                  <w:tcW w:w="1129" w:type="pct"/>
                  <w:vAlign w:val="center"/>
                </w:tcPr>
                <w:p>
                  <w:pPr>
                    <w:adjustRightInd w:val="0"/>
                    <w:snapToGrid w:val="0"/>
                    <w:jc w:val="center"/>
                    <w:rPr>
                      <w:szCs w:val="21"/>
                    </w:rPr>
                  </w:pPr>
                  <w:r>
                    <w:rPr>
                      <w:szCs w:val="21"/>
                    </w:rPr>
                    <w:t>30</w:t>
                  </w:r>
                </w:p>
              </w:tc>
              <w:tc>
                <w:tcPr>
                  <w:tcW w:w="829" w:type="pct"/>
                  <w:vAlign w:val="center"/>
                </w:tcPr>
                <w:p>
                  <w:pPr>
                    <w:adjustRightInd w:val="0"/>
                    <w:snapToGrid w:val="0"/>
                    <w:jc w:val="center"/>
                    <w:rPr>
                      <w:rFonts w:hint="default" w:eastAsia="宋体"/>
                      <w:szCs w:val="21"/>
                      <w:lang w:val="en-US" w:eastAsia="zh-CN"/>
                    </w:rPr>
                  </w:pPr>
                  <w:r>
                    <w:rPr>
                      <w:rFonts w:hint="eastAsia"/>
                      <w:szCs w:val="21"/>
                      <w:lang w:val="en-US" w:eastAsia="zh-CN"/>
                    </w:rPr>
                    <w:t>0.00012</w:t>
                  </w:r>
                </w:p>
              </w:tc>
              <w:tc>
                <w:tcPr>
                  <w:tcW w:w="996" w:type="pct"/>
                </w:tcPr>
                <w:p>
                  <w:pPr>
                    <w:adjustRightInd w:val="0"/>
                    <w:snapToGrid w:val="0"/>
                    <w:jc w:val="center"/>
                    <w:rPr>
                      <w:rFonts w:hint="default" w:eastAsia="宋体"/>
                      <w:szCs w:val="21"/>
                      <w:lang w:val="en-US" w:eastAsia="zh-CN"/>
                    </w:rPr>
                  </w:pPr>
                  <w:r>
                    <w:rPr>
                      <w:rFonts w:hint="eastAsia"/>
                      <w:szCs w:val="21"/>
                      <w:lang w:val="en-US" w:eastAsia="zh-CN"/>
                    </w:rPr>
                    <w:t>0.036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Align w:val="center"/>
                </w:tcPr>
                <w:p>
                  <w:pPr>
                    <w:jc w:val="center"/>
                    <w:rPr>
                      <w:szCs w:val="21"/>
                    </w:rPr>
                  </w:pPr>
                  <w:r>
                    <w:rPr>
                      <w:szCs w:val="21"/>
                    </w:rPr>
                    <w:t>4</w:t>
                  </w:r>
                </w:p>
              </w:tc>
              <w:tc>
                <w:tcPr>
                  <w:tcW w:w="823" w:type="pct"/>
                  <w:vMerge w:val="continue"/>
                  <w:vAlign w:val="center"/>
                </w:tcPr>
                <w:p>
                  <w:pPr>
                    <w:widowControl/>
                    <w:jc w:val="left"/>
                    <w:rPr>
                      <w:szCs w:val="21"/>
                    </w:rPr>
                  </w:pPr>
                </w:p>
              </w:tc>
              <w:tc>
                <w:tcPr>
                  <w:tcW w:w="810" w:type="pct"/>
                  <w:vAlign w:val="center"/>
                </w:tcPr>
                <w:p>
                  <w:pPr>
                    <w:jc w:val="center"/>
                    <w:rPr>
                      <w:szCs w:val="21"/>
                    </w:rPr>
                  </w:pPr>
                  <w:r>
                    <w:rPr>
                      <w:szCs w:val="21"/>
                    </w:rPr>
                    <w:t>TP</w:t>
                  </w:r>
                </w:p>
              </w:tc>
              <w:tc>
                <w:tcPr>
                  <w:tcW w:w="1129" w:type="pct"/>
                  <w:vAlign w:val="center"/>
                </w:tcPr>
                <w:p>
                  <w:pPr>
                    <w:adjustRightInd w:val="0"/>
                    <w:snapToGrid w:val="0"/>
                    <w:jc w:val="center"/>
                    <w:rPr>
                      <w:szCs w:val="21"/>
                    </w:rPr>
                  </w:pPr>
                  <w:r>
                    <w:rPr>
                      <w:szCs w:val="21"/>
                    </w:rPr>
                    <w:t>5</w:t>
                  </w:r>
                </w:p>
              </w:tc>
              <w:tc>
                <w:tcPr>
                  <w:tcW w:w="829" w:type="pct"/>
                  <w:vAlign w:val="center"/>
                </w:tcPr>
                <w:p>
                  <w:pPr>
                    <w:adjustRightInd w:val="0"/>
                    <w:snapToGrid w:val="0"/>
                    <w:jc w:val="center"/>
                    <w:rPr>
                      <w:rFonts w:hint="default" w:eastAsia="宋体"/>
                      <w:szCs w:val="21"/>
                      <w:lang w:val="en-US" w:eastAsia="zh-CN"/>
                    </w:rPr>
                  </w:pPr>
                  <w:r>
                    <w:rPr>
                      <w:rFonts w:hint="eastAsia"/>
                      <w:szCs w:val="21"/>
                      <w:lang w:val="en-US" w:eastAsia="zh-CN"/>
                    </w:rPr>
                    <w:t>0.00002</w:t>
                  </w:r>
                </w:p>
              </w:tc>
              <w:tc>
                <w:tcPr>
                  <w:tcW w:w="996" w:type="pct"/>
                </w:tcPr>
                <w:p>
                  <w:pPr>
                    <w:adjustRightInd w:val="0"/>
                    <w:snapToGrid w:val="0"/>
                    <w:jc w:val="center"/>
                    <w:rPr>
                      <w:rFonts w:hint="default" w:eastAsia="宋体"/>
                      <w:szCs w:val="21"/>
                      <w:lang w:val="en-US" w:eastAsia="zh-CN"/>
                    </w:rPr>
                  </w:pPr>
                  <w:r>
                    <w:rPr>
                      <w:rFonts w:hint="eastAsia"/>
                      <w:szCs w:val="21"/>
                      <w:lang w:val="en-US" w:eastAsia="zh-CN"/>
                    </w:rPr>
                    <w:t>0.006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411" w:type="pct"/>
                  <w:vAlign w:val="center"/>
                </w:tcPr>
                <w:p>
                  <w:pPr>
                    <w:jc w:val="center"/>
                    <w:rPr>
                      <w:szCs w:val="21"/>
                    </w:rPr>
                  </w:pPr>
                  <w:r>
                    <w:rPr>
                      <w:szCs w:val="21"/>
                    </w:rPr>
                    <w:t>5</w:t>
                  </w:r>
                </w:p>
              </w:tc>
              <w:tc>
                <w:tcPr>
                  <w:tcW w:w="823" w:type="pct"/>
                  <w:vMerge w:val="continue"/>
                  <w:vAlign w:val="center"/>
                </w:tcPr>
                <w:p>
                  <w:pPr>
                    <w:widowControl/>
                    <w:jc w:val="left"/>
                    <w:rPr>
                      <w:szCs w:val="21"/>
                    </w:rPr>
                  </w:pPr>
                </w:p>
              </w:tc>
              <w:tc>
                <w:tcPr>
                  <w:tcW w:w="810" w:type="pct"/>
                  <w:vAlign w:val="center"/>
                </w:tcPr>
                <w:p>
                  <w:pPr>
                    <w:jc w:val="center"/>
                    <w:rPr>
                      <w:szCs w:val="21"/>
                    </w:rPr>
                  </w:pPr>
                  <w:r>
                    <w:rPr>
                      <w:szCs w:val="21"/>
                    </w:rPr>
                    <w:t>TN</w:t>
                  </w:r>
                </w:p>
              </w:tc>
              <w:tc>
                <w:tcPr>
                  <w:tcW w:w="1129" w:type="pct"/>
                  <w:vAlign w:val="center"/>
                </w:tcPr>
                <w:p>
                  <w:pPr>
                    <w:adjustRightInd w:val="0"/>
                    <w:snapToGrid w:val="0"/>
                    <w:jc w:val="center"/>
                    <w:rPr>
                      <w:szCs w:val="21"/>
                    </w:rPr>
                  </w:pPr>
                  <w:r>
                    <w:rPr>
                      <w:szCs w:val="21"/>
                    </w:rPr>
                    <w:t>40</w:t>
                  </w:r>
                </w:p>
              </w:tc>
              <w:tc>
                <w:tcPr>
                  <w:tcW w:w="829" w:type="pct"/>
                  <w:vAlign w:val="center"/>
                </w:tcPr>
                <w:p>
                  <w:pPr>
                    <w:adjustRightInd w:val="0"/>
                    <w:snapToGrid w:val="0"/>
                    <w:jc w:val="center"/>
                    <w:rPr>
                      <w:rFonts w:hint="default" w:eastAsia="宋体"/>
                      <w:szCs w:val="21"/>
                      <w:lang w:val="en-US" w:eastAsia="zh-CN"/>
                    </w:rPr>
                  </w:pPr>
                  <w:r>
                    <w:rPr>
                      <w:rFonts w:hint="eastAsia"/>
                      <w:szCs w:val="21"/>
                      <w:lang w:val="en-US" w:eastAsia="zh-CN"/>
                    </w:rPr>
                    <w:t>0.00018</w:t>
                  </w:r>
                </w:p>
              </w:tc>
              <w:tc>
                <w:tcPr>
                  <w:tcW w:w="996" w:type="pct"/>
                </w:tcPr>
                <w:p>
                  <w:pPr>
                    <w:adjustRightInd w:val="0"/>
                    <w:snapToGrid w:val="0"/>
                    <w:jc w:val="center"/>
                    <w:rPr>
                      <w:rFonts w:hint="default" w:eastAsia="宋体"/>
                      <w:szCs w:val="21"/>
                      <w:lang w:val="en-US" w:eastAsia="zh-CN"/>
                    </w:rPr>
                  </w:pPr>
                  <w:r>
                    <w:rPr>
                      <w:rFonts w:hint="eastAsia"/>
                      <w:szCs w:val="21"/>
                      <w:lang w:val="en-US" w:eastAsia="zh-CN"/>
                    </w:rPr>
                    <w:t>0.054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restart"/>
                  <w:vAlign w:val="center"/>
                </w:tcPr>
                <w:p>
                  <w:pPr>
                    <w:jc w:val="center"/>
                    <w:rPr>
                      <w:szCs w:val="21"/>
                    </w:rPr>
                  </w:pPr>
                  <w:r>
                    <w:rPr>
                      <w:szCs w:val="21"/>
                    </w:rPr>
                    <w:t>全厂排放口合计</w:t>
                  </w:r>
                </w:p>
              </w:tc>
              <w:tc>
                <w:tcPr>
                  <w:tcW w:w="1958" w:type="pct"/>
                  <w:gridSpan w:val="2"/>
                  <w:vAlign w:val="center"/>
                </w:tcPr>
                <w:p>
                  <w:pPr>
                    <w:jc w:val="center"/>
                    <w:rPr>
                      <w:szCs w:val="21"/>
                    </w:rPr>
                  </w:pPr>
                  <w:r>
                    <w:rPr>
                      <w:szCs w:val="21"/>
                    </w:rPr>
                    <w:t>CODcr</w:t>
                  </w:r>
                </w:p>
              </w:tc>
              <w:tc>
                <w:tcPr>
                  <w:tcW w:w="1640" w:type="dxa"/>
                  <w:vAlign w:val="top"/>
                </w:tcPr>
                <w:p>
                  <w:pPr>
                    <w:adjustRightInd w:val="0"/>
                    <w:snapToGrid w:val="0"/>
                    <w:jc w:val="center"/>
                    <w:rPr>
                      <w:kern w:val="0"/>
                      <w:szCs w:val="21"/>
                    </w:rPr>
                  </w:pPr>
                  <w:r>
                    <w:rPr>
                      <w:rFonts w:hint="eastAsia"/>
                      <w:kern w:val="0"/>
                      <w:szCs w:val="21"/>
                      <w:lang w:val="en-US" w:eastAsia="zh-CN"/>
                    </w:rPr>
                    <w:t>0.48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vAlign w:val="center"/>
                </w:tcPr>
                <w:p>
                  <w:pPr>
                    <w:widowControl/>
                    <w:jc w:val="left"/>
                    <w:rPr>
                      <w:szCs w:val="21"/>
                    </w:rPr>
                  </w:pPr>
                </w:p>
              </w:tc>
              <w:tc>
                <w:tcPr>
                  <w:tcW w:w="1958" w:type="pct"/>
                  <w:gridSpan w:val="2"/>
                  <w:vAlign w:val="center"/>
                </w:tcPr>
                <w:p>
                  <w:pPr>
                    <w:jc w:val="center"/>
                    <w:rPr>
                      <w:szCs w:val="21"/>
                    </w:rPr>
                  </w:pPr>
                  <w:r>
                    <w:rPr>
                      <w:szCs w:val="21"/>
                    </w:rPr>
                    <w:t>SS</w:t>
                  </w:r>
                </w:p>
              </w:tc>
              <w:tc>
                <w:tcPr>
                  <w:tcW w:w="1640" w:type="dxa"/>
                  <w:vAlign w:val="top"/>
                </w:tcPr>
                <w:p>
                  <w:pPr>
                    <w:adjustRightInd w:val="0"/>
                    <w:snapToGrid w:val="0"/>
                    <w:jc w:val="center"/>
                    <w:rPr>
                      <w:szCs w:val="21"/>
                    </w:rPr>
                  </w:pPr>
                  <w:r>
                    <w:rPr>
                      <w:rFonts w:hint="eastAsia"/>
                      <w:szCs w:val="21"/>
                      <w:lang w:val="en-US" w:eastAsia="zh-CN"/>
                    </w:rPr>
                    <w:t>0.36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vAlign w:val="center"/>
                </w:tcPr>
                <w:p>
                  <w:pPr>
                    <w:widowControl/>
                    <w:jc w:val="left"/>
                    <w:rPr>
                      <w:szCs w:val="21"/>
                    </w:rPr>
                  </w:pPr>
                </w:p>
              </w:tc>
              <w:tc>
                <w:tcPr>
                  <w:tcW w:w="1958" w:type="pct"/>
                  <w:gridSpan w:val="2"/>
                  <w:vAlign w:val="center"/>
                </w:tcPr>
                <w:p>
                  <w:pPr>
                    <w:jc w:val="center"/>
                    <w:rPr>
                      <w:szCs w:val="21"/>
                    </w:rPr>
                  </w:pPr>
                  <w:r>
                    <w:rPr>
                      <w:szCs w:val="21"/>
                    </w:rPr>
                    <w:t>NH</w:t>
                  </w:r>
                  <w:r>
                    <w:rPr>
                      <w:szCs w:val="21"/>
                      <w:vertAlign w:val="subscript"/>
                    </w:rPr>
                    <w:t>3</w:t>
                  </w:r>
                  <w:r>
                    <w:rPr>
                      <w:szCs w:val="21"/>
                    </w:rPr>
                    <w:t>-N</w:t>
                  </w:r>
                </w:p>
              </w:tc>
              <w:tc>
                <w:tcPr>
                  <w:tcW w:w="1640" w:type="dxa"/>
                  <w:vAlign w:val="top"/>
                </w:tcPr>
                <w:p>
                  <w:pPr>
                    <w:adjustRightInd w:val="0"/>
                    <w:snapToGrid w:val="0"/>
                    <w:jc w:val="center"/>
                    <w:rPr>
                      <w:szCs w:val="21"/>
                    </w:rPr>
                  </w:pPr>
                  <w:r>
                    <w:rPr>
                      <w:rFonts w:hint="eastAsia"/>
                      <w:szCs w:val="21"/>
                      <w:lang w:val="en-US" w:eastAsia="zh-CN"/>
                    </w:rPr>
                    <w:t>0.036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vAlign w:val="center"/>
                </w:tcPr>
                <w:p>
                  <w:pPr>
                    <w:widowControl/>
                    <w:jc w:val="left"/>
                    <w:rPr>
                      <w:szCs w:val="21"/>
                    </w:rPr>
                  </w:pPr>
                </w:p>
              </w:tc>
              <w:tc>
                <w:tcPr>
                  <w:tcW w:w="1958" w:type="pct"/>
                  <w:gridSpan w:val="2"/>
                  <w:vAlign w:val="center"/>
                </w:tcPr>
                <w:p>
                  <w:pPr>
                    <w:jc w:val="center"/>
                    <w:rPr>
                      <w:szCs w:val="21"/>
                    </w:rPr>
                  </w:pPr>
                  <w:r>
                    <w:rPr>
                      <w:szCs w:val="21"/>
                    </w:rPr>
                    <w:t>TP</w:t>
                  </w:r>
                </w:p>
              </w:tc>
              <w:tc>
                <w:tcPr>
                  <w:tcW w:w="1640" w:type="dxa"/>
                  <w:vAlign w:val="top"/>
                </w:tcPr>
                <w:p>
                  <w:pPr>
                    <w:adjustRightInd w:val="0"/>
                    <w:snapToGrid w:val="0"/>
                    <w:jc w:val="center"/>
                    <w:rPr>
                      <w:szCs w:val="21"/>
                    </w:rPr>
                  </w:pPr>
                  <w:r>
                    <w:rPr>
                      <w:rFonts w:hint="eastAsia"/>
                      <w:szCs w:val="21"/>
                      <w:lang w:val="en-US" w:eastAsia="zh-CN"/>
                    </w:rPr>
                    <w:t>0.006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45" w:type="pct"/>
                  <w:gridSpan w:val="3"/>
                  <w:vMerge w:val="continue"/>
                  <w:vAlign w:val="center"/>
                </w:tcPr>
                <w:p>
                  <w:pPr>
                    <w:widowControl/>
                    <w:jc w:val="left"/>
                    <w:rPr>
                      <w:szCs w:val="21"/>
                    </w:rPr>
                  </w:pPr>
                </w:p>
              </w:tc>
              <w:tc>
                <w:tcPr>
                  <w:tcW w:w="1958" w:type="pct"/>
                  <w:gridSpan w:val="2"/>
                  <w:vAlign w:val="center"/>
                </w:tcPr>
                <w:p>
                  <w:pPr>
                    <w:jc w:val="center"/>
                    <w:rPr>
                      <w:szCs w:val="21"/>
                    </w:rPr>
                  </w:pPr>
                  <w:r>
                    <w:rPr>
                      <w:szCs w:val="21"/>
                    </w:rPr>
                    <w:t>TN</w:t>
                  </w:r>
                </w:p>
              </w:tc>
              <w:tc>
                <w:tcPr>
                  <w:tcW w:w="1640" w:type="dxa"/>
                  <w:vAlign w:val="top"/>
                </w:tcPr>
                <w:p>
                  <w:pPr>
                    <w:adjustRightInd w:val="0"/>
                    <w:snapToGrid w:val="0"/>
                    <w:jc w:val="center"/>
                    <w:rPr>
                      <w:szCs w:val="21"/>
                    </w:rPr>
                  </w:pPr>
                  <w:r>
                    <w:rPr>
                      <w:rFonts w:hint="eastAsia"/>
                      <w:szCs w:val="21"/>
                      <w:lang w:val="en-US" w:eastAsia="zh-CN"/>
                    </w:rPr>
                    <w:t>0.054</w:t>
                  </w:r>
                </w:p>
              </w:tc>
            </w:tr>
          </w:tbl>
          <w:p>
            <w:pPr>
              <w:adjustRightInd w:val="0"/>
              <w:snapToGrid w:val="0"/>
              <w:spacing w:line="360" w:lineRule="auto"/>
              <w:ind w:firstLine="482" w:firstLineChars="200"/>
              <w:rPr>
                <w:b/>
                <w:color w:val="000000"/>
                <w:sz w:val="24"/>
              </w:rPr>
            </w:pPr>
            <w:r>
              <w:rPr>
                <w:rFonts w:hint="eastAsia"/>
                <w:b/>
                <w:color w:val="000000"/>
                <w:sz w:val="24"/>
              </w:rPr>
              <w:t>2</w:t>
            </w:r>
            <w:r>
              <w:rPr>
                <w:b/>
                <w:color w:val="000000"/>
                <w:sz w:val="24"/>
              </w:rPr>
              <w:t>.4</w:t>
            </w:r>
            <w:r>
              <w:rPr>
                <w:rFonts w:hint="eastAsia"/>
                <w:b/>
                <w:color w:val="000000"/>
                <w:sz w:val="24"/>
              </w:rPr>
              <w:t>水环境影响分析</w:t>
            </w:r>
          </w:p>
          <w:p>
            <w:pPr>
              <w:adjustRightInd w:val="0"/>
              <w:snapToGrid w:val="0"/>
              <w:spacing w:line="360" w:lineRule="auto"/>
              <w:ind w:firstLine="480" w:firstLineChars="200"/>
              <w:rPr>
                <w:bCs/>
                <w:color w:val="000000"/>
                <w:sz w:val="24"/>
              </w:rPr>
            </w:pPr>
            <w:r>
              <w:rPr>
                <w:rFonts w:hint="eastAsia"/>
                <w:bCs/>
                <w:color w:val="000000"/>
                <w:sz w:val="24"/>
              </w:rPr>
              <w:t>本项目的建设对周围水环境影较小，不会降低区域水环境质量功能类别。</w:t>
            </w:r>
          </w:p>
          <w:p>
            <w:pPr>
              <w:adjustRightInd w:val="0"/>
              <w:snapToGrid w:val="0"/>
              <w:spacing w:line="360" w:lineRule="auto"/>
              <w:rPr>
                <w:b/>
                <w:color w:val="000000"/>
                <w:sz w:val="24"/>
              </w:rPr>
            </w:pPr>
            <w:r>
              <w:rPr>
                <w:b/>
                <w:color w:val="000000"/>
                <w:sz w:val="24"/>
              </w:rPr>
              <w:t>3</w:t>
            </w:r>
            <w:r>
              <w:rPr>
                <w:rFonts w:hint="eastAsia"/>
                <w:b/>
                <w:color w:val="000000"/>
                <w:sz w:val="24"/>
              </w:rPr>
              <w:t>、</w:t>
            </w:r>
            <w:r>
              <w:rPr>
                <w:b/>
                <w:color w:val="000000"/>
                <w:sz w:val="24"/>
              </w:rPr>
              <w:t>噪声</w:t>
            </w:r>
          </w:p>
          <w:p>
            <w:pPr>
              <w:adjustRightInd w:val="0"/>
              <w:snapToGrid w:val="0"/>
              <w:spacing w:line="360" w:lineRule="auto"/>
              <w:ind w:firstLine="482" w:firstLineChars="200"/>
              <w:rPr>
                <w:b/>
                <w:color w:val="000000"/>
                <w:sz w:val="24"/>
              </w:rPr>
            </w:pPr>
            <w:r>
              <w:rPr>
                <w:b/>
                <w:color w:val="000000"/>
                <w:sz w:val="24"/>
              </w:rPr>
              <w:t>3.1</w:t>
            </w:r>
            <w:r>
              <w:rPr>
                <w:rFonts w:hint="eastAsia"/>
                <w:b/>
                <w:color w:val="000000"/>
                <w:sz w:val="24"/>
              </w:rPr>
              <w:t>噪声源强</w:t>
            </w:r>
          </w:p>
          <w:p>
            <w:pPr>
              <w:adjustRightInd w:val="0"/>
              <w:snapToGrid w:val="0"/>
              <w:spacing w:line="360" w:lineRule="auto"/>
              <w:ind w:firstLine="420"/>
              <w:rPr>
                <w:b/>
                <w:spacing w:val="-8"/>
                <w:sz w:val="24"/>
              </w:rPr>
            </w:pPr>
            <w:r>
              <w:rPr>
                <w:sz w:val="24"/>
                <w:szCs w:val="22"/>
              </w:rPr>
              <w:t>项目噪声来源于设备运行时产生的噪声，计划经厂房隔声及距离衰减后，预计隔声可达</w:t>
            </w:r>
            <w:r>
              <w:rPr>
                <w:rFonts w:hint="eastAsia"/>
                <w:sz w:val="24"/>
                <w:szCs w:val="22"/>
                <w:lang w:val="en-US" w:eastAsia="zh-CN"/>
              </w:rPr>
              <w:t>25</w:t>
            </w:r>
            <w:r>
              <w:rPr>
                <w:sz w:val="24"/>
                <w:szCs w:val="22"/>
              </w:rPr>
              <w:t>dB（A），厂界噪声能够达到《工业企业厂界环境噪声排放标准》（GB12348-2008）</w:t>
            </w:r>
            <w:r>
              <w:rPr>
                <w:rFonts w:hint="eastAsia"/>
                <w:sz w:val="24"/>
                <w:szCs w:val="22"/>
                <w:lang w:val="en-US" w:eastAsia="zh-CN"/>
              </w:rPr>
              <w:t>2</w:t>
            </w:r>
            <w:r>
              <w:rPr>
                <w:sz w:val="24"/>
                <w:szCs w:val="22"/>
              </w:rPr>
              <w:t>类标准要求。本项目噪声源强见表</w:t>
            </w:r>
            <w:r>
              <w:rPr>
                <w:rFonts w:hint="eastAsia"/>
                <w:sz w:val="24"/>
                <w:szCs w:val="22"/>
              </w:rPr>
              <w:t>4-</w:t>
            </w:r>
            <w:r>
              <w:rPr>
                <w:rFonts w:hint="eastAsia"/>
                <w:sz w:val="24"/>
                <w:szCs w:val="22"/>
                <w:lang w:val="en-US" w:eastAsia="zh-CN"/>
              </w:rPr>
              <w:t>17</w:t>
            </w:r>
            <w:r>
              <w:rPr>
                <w:sz w:val="24"/>
                <w:szCs w:val="22"/>
              </w:rPr>
              <w:t>。</w:t>
            </w:r>
          </w:p>
          <w:p>
            <w:pPr>
              <w:jc w:val="center"/>
              <w:outlineLvl w:val="0"/>
              <w:rPr>
                <w:b/>
                <w:spacing w:val="-8"/>
                <w:sz w:val="24"/>
              </w:rPr>
            </w:pPr>
            <w:r>
              <w:rPr>
                <w:b/>
                <w:spacing w:val="-8"/>
                <w:sz w:val="24"/>
              </w:rPr>
              <w:t>表</w:t>
            </w:r>
            <w:r>
              <w:rPr>
                <w:rFonts w:hint="eastAsia"/>
                <w:b/>
                <w:spacing w:val="-8"/>
                <w:sz w:val="24"/>
              </w:rPr>
              <w:t>4-</w:t>
            </w:r>
            <w:r>
              <w:rPr>
                <w:rFonts w:hint="eastAsia"/>
                <w:b/>
                <w:spacing w:val="-8"/>
                <w:sz w:val="24"/>
                <w:lang w:val="en-US" w:eastAsia="zh-CN"/>
              </w:rPr>
              <w:t>17</w:t>
            </w:r>
            <w:r>
              <w:rPr>
                <w:rFonts w:hint="eastAsia"/>
                <w:b/>
                <w:spacing w:val="-8"/>
                <w:sz w:val="24"/>
              </w:rPr>
              <w:t>本项目噪声产生源强汇总表</w:t>
            </w:r>
          </w:p>
          <w:tbl>
            <w:tblPr>
              <w:tblStyle w:val="36"/>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1289"/>
              <w:gridCol w:w="1352"/>
              <w:gridCol w:w="966"/>
              <w:gridCol w:w="966"/>
              <w:gridCol w:w="966"/>
              <w:gridCol w:w="11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42" w:type="pct"/>
                  <w:vMerge w:val="restart"/>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设备名称</w:t>
                  </w:r>
                </w:p>
              </w:tc>
              <w:tc>
                <w:tcPr>
                  <w:tcW w:w="758" w:type="pct"/>
                  <w:vMerge w:val="restart"/>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数量(台)</w:t>
                  </w:r>
                </w:p>
              </w:tc>
              <w:tc>
                <w:tcPr>
                  <w:tcW w:w="795" w:type="pct"/>
                  <w:vMerge w:val="restart"/>
                  <w:vAlign w:val="center"/>
                </w:tcPr>
                <w:p>
                  <w:pPr>
                    <w:pStyle w:val="2"/>
                    <w:jc w:val="center"/>
                    <w:rPr>
                      <w:rFonts w:hint="default" w:ascii="Times New Roman" w:hAnsi="Times New Roman" w:eastAsia="宋体" w:cs="Times New Roman"/>
                      <w:b/>
                      <w:bCs/>
                      <w:kern w:val="2"/>
                      <w:sz w:val="21"/>
                      <w:szCs w:val="21"/>
                      <w:lang w:val="en-US" w:eastAsia="zh-CN" w:bidi="ar-SA"/>
                    </w:rPr>
                  </w:pPr>
                  <w:r>
                    <w:rPr>
                      <w:rFonts w:hint="eastAsia" w:cs="Times New Roman"/>
                      <w:b/>
                      <w:bCs/>
                      <w:kern w:val="2"/>
                      <w:sz w:val="21"/>
                      <w:szCs w:val="21"/>
                      <w:lang w:val="en-US" w:eastAsia="zh-CN" w:bidi="ar-SA"/>
                    </w:rPr>
                    <w:t>噪声</w:t>
                  </w:r>
                  <w:r>
                    <w:rPr>
                      <w:rFonts w:hint="default" w:ascii="Times New Roman" w:hAnsi="Times New Roman" w:eastAsia="宋体" w:cs="Times New Roman"/>
                      <w:b/>
                      <w:bCs/>
                      <w:kern w:val="2"/>
                      <w:sz w:val="21"/>
                      <w:szCs w:val="21"/>
                      <w:lang w:val="en-US" w:eastAsia="zh-CN" w:bidi="ar-SA"/>
                    </w:rPr>
                    <w:t>值</w:t>
                  </w:r>
                </w:p>
                <w:p>
                  <w:pPr>
                    <w:pStyle w:val="2"/>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b/>
                      <w:bCs/>
                      <w:kern w:val="2"/>
                      <w:sz w:val="21"/>
                      <w:szCs w:val="21"/>
                      <w:lang w:val="en-US" w:eastAsia="zh-CN" w:bidi="ar-SA"/>
                    </w:rPr>
                    <w:t>dB（A）</w:t>
                  </w:r>
                </w:p>
              </w:tc>
              <w:tc>
                <w:tcPr>
                  <w:tcW w:w="2403" w:type="pct"/>
                  <w:gridSpan w:val="4"/>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sz w:val="21"/>
                      <w:szCs w:val="21"/>
                    </w:rPr>
                    <w:t>距最近厂界距离m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042" w:type="pct"/>
                  <w:vMerge w:val="continue"/>
                  <w:vAlign w:val="center"/>
                </w:tcPr>
                <w:p>
                  <w:pPr>
                    <w:adjustRightInd w:val="0"/>
                    <w:snapToGrid w:val="0"/>
                    <w:jc w:val="center"/>
                    <w:rPr>
                      <w:rFonts w:hint="default" w:ascii="Times New Roman" w:hAnsi="Times New Roman" w:eastAsia="宋体" w:cs="Times New Roman"/>
                      <w:b/>
                      <w:bCs/>
                      <w:sz w:val="21"/>
                      <w:szCs w:val="21"/>
                    </w:rPr>
                  </w:pPr>
                </w:p>
              </w:tc>
              <w:tc>
                <w:tcPr>
                  <w:tcW w:w="758" w:type="pct"/>
                  <w:vMerge w:val="continue"/>
                  <w:vAlign w:val="center"/>
                </w:tcPr>
                <w:p>
                  <w:pPr>
                    <w:adjustRightInd w:val="0"/>
                    <w:snapToGrid w:val="0"/>
                    <w:jc w:val="center"/>
                    <w:rPr>
                      <w:rFonts w:hint="default" w:ascii="Times New Roman" w:hAnsi="Times New Roman" w:eastAsia="宋体" w:cs="Times New Roman"/>
                      <w:b/>
                      <w:bCs/>
                      <w:sz w:val="21"/>
                      <w:szCs w:val="21"/>
                    </w:rPr>
                  </w:pPr>
                </w:p>
              </w:tc>
              <w:tc>
                <w:tcPr>
                  <w:tcW w:w="795" w:type="pct"/>
                  <w:vMerge w:val="continue"/>
                  <w:vAlign w:val="center"/>
                </w:tcPr>
                <w:p>
                  <w:pPr>
                    <w:adjustRightInd w:val="0"/>
                    <w:snapToGrid w:val="0"/>
                    <w:jc w:val="center"/>
                    <w:rPr>
                      <w:rFonts w:hint="default" w:ascii="Times New Roman" w:hAnsi="Times New Roman" w:eastAsia="宋体" w:cs="Times New Roman"/>
                      <w:b/>
                      <w:bCs/>
                      <w:sz w:val="21"/>
                      <w:szCs w:val="21"/>
                    </w:rPr>
                  </w:pPr>
                </w:p>
              </w:tc>
              <w:tc>
                <w:tcPr>
                  <w:tcW w:w="568" w:type="pct"/>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东</w:t>
                  </w:r>
                </w:p>
              </w:tc>
              <w:tc>
                <w:tcPr>
                  <w:tcW w:w="568" w:type="pct"/>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南</w:t>
                  </w:r>
                </w:p>
              </w:tc>
              <w:tc>
                <w:tcPr>
                  <w:tcW w:w="568" w:type="pct"/>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西</w:t>
                  </w:r>
                </w:p>
              </w:tc>
              <w:tc>
                <w:tcPr>
                  <w:tcW w:w="699" w:type="pct"/>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2" w:type="pct"/>
                  <w:vAlign w:val="center"/>
                </w:tcPr>
                <w:p>
                  <w:pPr>
                    <w:widowControl/>
                    <w:adjustRightInd w:val="0"/>
                    <w:snapToGrid w:val="0"/>
                    <w:jc w:val="center"/>
                    <w:textAlignment w:val="center"/>
                    <w:rPr>
                      <w:szCs w:val="21"/>
                    </w:rPr>
                  </w:pPr>
                  <w:r>
                    <w:rPr>
                      <w:rFonts w:hint="eastAsia"/>
                      <w:szCs w:val="22"/>
                      <w:lang w:eastAsia="zh-CN"/>
                    </w:rPr>
                    <w:t>上下机器人系统</w:t>
                  </w:r>
                </w:p>
              </w:tc>
              <w:tc>
                <w:tcPr>
                  <w:tcW w:w="758" w:type="pct"/>
                  <w:vAlign w:val="center"/>
                </w:tcPr>
                <w:p>
                  <w:pPr>
                    <w:adjustRightInd w:val="0"/>
                    <w:jc w:val="center"/>
                    <w:rPr>
                      <w:rFonts w:hint="eastAsia" w:eastAsia="宋体"/>
                      <w:kern w:val="0"/>
                      <w:szCs w:val="21"/>
                      <w:lang w:val="en-US" w:eastAsia="zh-CN"/>
                    </w:rPr>
                  </w:pPr>
                  <w:r>
                    <w:rPr>
                      <w:rFonts w:hint="eastAsia"/>
                      <w:kern w:val="0"/>
                      <w:szCs w:val="21"/>
                      <w:lang w:val="en-US" w:eastAsia="zh-CN"/>
                    </w:rPr>
                    <w:t>4</w:t>
                  </w:r>
                </w:p>
              </w:tc>
              <w:tc>
                <w:tcPr>
                  <w:tcW w:w="795" w:type="pct"/>
                  <w:vAlign w:val="center"/>
                </w:tcPr>
                <w:p>
                  <w:pPr>
                    <w:adjustRightInd w:val="0"/>
                    <w:jc w:val="center"/>
                    <w:rPr>
                      <w:rFonts w:hint="default" w:eastAsia="宋体"/>
                      <w:kern w:val="0"/>
                      <w:szCs w:val="21"/>
                      <w:lang w:val="en-US" w:eastAsia="zh-CN"/>
                    </w:rPr>
                  </w:pPr>
                  <w:r>
                    <w:rPr>
                      <w:rFonts w:hint="eastAsia"/>
                      <w:kern w:val="0"/>
                      <w:szCs w:val="21"/>
                      <w:lang w:val="en-US" w:eastAsia="zh-CN"/>
                    </w:rPr>
                    <w:t>80</w:t>
                  </w:r>
                </w:p>
              </w:tc>
              <w:tc>
                <w:tcPr>
                  <w:tcW w:w="568" w:type="pct"/>
                  <w:vAlign w:val="center"/>
                </w:tcPr>
                <w:p>
                  <w:pPr>
                    <w:widowControl/>
                    <w:jc w:val="center"/>
                    <w:rPr>
                      <w:rFonts w:hint="default" w:eastAsia="宋体"/>
                      <w:kern w:val="0"/>
                      <w:szCs w:val="21"/>
                      <w:lang w:val="en-US" w:eastAsia="zh-CN"/>
                    </w:rPr>
                  </w:pPr>
                  <w:r>
                    <w:rPr>
                      <w:rFonts w:hint="eastAsia"/>
                      <w:kern w:val="0"/>
                      <w:szCs w:val="21"/>
                      <w:lang w:val="en-US" w:eastAsia="zh-CN"/>
                    </w:rPr>
                    <w:t>500</w:t>
                  </w:r>
                </w:p>
              </w:tc>
              <w:tc>
                <w:tcPr>
                  <w:tcW w:w="568" w:type="pct"/>
                  <w:vAlign w:val="center"/>
                </w:tcPr>
                <w:p>
                  <w:pPr>
                    <w:widowControl/>
                    <w:jc w:val="center"/>
                    <w:rPr>
                      <w:kern w:val="0"/>
                      <w:szCs w:val="21"/>
                    </w:rPr>
                  </w:pPr>
                  <w:r>
                    <w:rPr>
                      <w:rFonts w:hint="eastAsia"/>
                      <w:kern w:val="0"/>
                      <w:szCs w:val="21"/>
                      <w:lang w:val="en-US" w:eastAsia="zh-CN"/>
                    </w:rPr>
                    <w:t>15</w:t>
                  </w:r>
                </w:p>
              </w:tc>
              <w:tc>
                <w:tcPr>
                  <w:tcW w:w="568" w:type="pct"/>
                  <w:vAlign w:val="center"/>
                </w:tcPr>
                <w:p>
                  <w:pPr>
                    <w:widowControl/>
                    <w:jc w:val="center"/>
                    <w:rPr>
                      <w:rFonts w:hint="default" w:eastAsia="宋体"/>
                      <w:kern w:val="0"/>
                      <w:szCs w:val="21"/>
                      <w:lang w:val="en-US" w:eastAsia="zh-CN"/>
                    </w:rPr>
                  </w:pPr>
                  <w:r>
                    <w:rPr>
                      <w:rFonts w:hint="eastAsia"/>
                      <w:kern w:val="0"/>
                      <w:szCs w:val="21"/>
                      <w:lang w:val="en-US" w:eastAsia="zh-CN"/>
                    </w:rPr>
                    <w:t>370</w:t>
                  </w:r>
                </w:p>
              </w:tc>
              <w:tc>
                <w:tcPr>
                  <w:tcW w:w="699" w:type="pct"/>
                  <w:vAlign w:val="center"/>
                </w:tcPr>
                <w:p>
                  <w:pPr>
                    <w:widowControl/>
                    <w:jc w:val="center"/>
                    <w:rPr>
                      <w:rFonts w:hint="default" w:eastAsia="宋体"/>
                      <w:kern w:val="0"/>
                      <w:szCs w:val="21"/>
                      <w:lang w:val="en-US" w:eastAsia="zh-CN"/>
                    </w:rPr>
                  </w:pPr>
                  <w:r>
                    <w:rPr>
                      <w:rFonts w:hint="eastAsia"/>
                      <w:kern w:val="0"/>
                      <w:szCs w:val="21"/>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2" w:type="pct"/>
                  <w:vAlign w:val="center"/>
                </w:tcPr>
                <w:p>
                  <w:pPr>
                    <w:widowControl/>
                    <w:adjustRightInd w:val="0"/>
                    <w:snapToGrid w:val="0"/>
                    <w:jc w:val="center"/>
                    <w:textAlignment w:val="center"/>
                    <w:rPr>
                      <w:szCs w:val="21"/>
                    </w:rPr>
                  </w:pPr>
                  <w:r>
                    <w:rPr>
                      <w:rFonts w:hint="eastAsia"/>
                      <w:szCs w:val="22"/>
                      <w:lang w:eastAsia="zh-CN"/>
                    </w:rPr>
                    <w:t>水平堆垛机</w:t>
                  </w:r>
                </w:p>
              </w:tc>
              <w:tc>
                <w:tcPr>
                  <w:tcW w:w="758" w:type="pct"/>
                  <w:vAlign w:val="center"/>
                </w:tcPr>
                <w:p>
                  <w:pPr>
                    <w:adjustRightInd w:val="0"/>
                    <w:jc w:val="center"/>
                    <w:rPr>
                      <w:rFonts w:hint="eastAsia" w:eastAsia="宋体"/>
                      <w:kern w:val="0"/>
                      <w:szCs w:val="21"/>
                      <w:lang w:val="en-US" w:eastAsia="zh-CN"/>
                    </w:rPr>
                  </w:pPr>
                  <w:r>
                    <w:rPr>
                      <w:rFonts w:hint="eastAsia"/>
                      <w:kern w:val="0"/>
                      <w:szCs w:val="21"/>
                      <w:lang w:val="en-US" w:eastAsia="zh-CN"/>
                    </w:rPr>
                    <w:t>3</w:t>
                  </w:r>
                </w:p>
              </w:tc>
              <w:tc>
                <w:tcPr>
                  <w:tcW w:w="795" w:type="pct"/>
                  <w:vAlign w:val="center"/>
                </w:tcPr>
                <w:p>
                  <w:pPr>
                    <w:adjustRightInd w:val="0"/>
                    <w:jc w:val="center"/>
                    <w:rPr>
                      <w:rFonts w:hint="default" w:eastAsia="宋体"/>
                      <w:szCs w:val="21"/>
                      <w:lang w:val="en-US" w:eastAsia="zh-CN"/>
                    </w:rPr>
                  </w:pPr>
                  <w:r>
                    <w:rPr>
                      <w:rFonts w:hint="eastAsia"/>
                      <w:szCs w:val="21"/>
                      <w:lang w:val="en-US" w:eastAsia="zh-CN"/>
                    </w:rPr>
                    <w:t>80</w:t>
                  </w:r>
                </w:p>
              </w:tc>
              <w:tc>
                <w:tcPr>
                  <w:tcW w:w="568" w:type="pct"/>
                  <w:vAlign w:val="center"/>
                </w:tcPr>
                <w:p>
                  <w:pPr>
                    <w:widowControl/>
                    <w:jc w:val="center"/>
                    <w:rPr>
                      <w:rFonts w:hint="default" w:eastAsia="宋体"/>
                      <w:kern w:val="0"/>
                      <w:szCs w:val="21"/>
                      <w:lang w:val="en-US" w:eastAsia="zh-CN"/>
                    </w:rPr>
                  </w:pPr>
                  <w:r>
                    <w:rPr>
                      <w:rFonts w:hint="eastAsia"/>
                      <w:kern w:val="0"/>
                      <w:szCs w:val="21"/>
                      <w:lang w:val="en-US" w:eastAsia="zh-CN"/>
                    </w:rPr>
                    <w:t>600</w:t>
                  </w:r>
                </w:p>
              </w:tc>
              <w:tc>
                <w:tcPr>
                  <w:tcW w:w="568" w:type="pct"/>
                  <w:vAlign w:val="center"/>
                </w:tcPr>
                <w:p>
                  <w:pPr>
                    <w:widowControl/>
                    <w:jc w:val="center"/>
                    <w:rPr>
                      <w:kern w:val="0"/>
                      <w:szCs w:val="21"/>
                    </w:rPr>
                  </w:pPr>
                  <w:r>
                    <w:rPr>
                      <w:rFonts w:hint="eastAsia"/>
                      <w:kern w:val="0"/>
                      <w:szCs w:val="21"/>
                      <w:lang w:val="en-US" w:eastAsia="zh-CN"/>
                    </w:rPr>
                    <w:t>15</w:t>
                  </w:r>
                </w:p>
              </w:tc>
              <w:tc>
                <w:tcPr>
                  <w:tcW w:w="568" w:type="pct"/>
                  <w:vAlign w:val="center"/>
                </w:tcPr>
                <w:p>
                  <w:pPr>
                    <w:widowControl/>
                    <w:jc w:val="center"/>
                    <w:rPr>
                      <w:rFonts w:hint="default" w:eastAsia="宋体"/>
                      <w:kern w:val="0"/>
                      <w:szCs w:val="21"/>
                      <w:lang w:val="en-US" w:eastAsia="zh-CN"/>
                    </w:rPr>
                  </w:pPr>
                  <w:r>
                    <w:rPr>
                      <w:rFonts w:hint="eastAsia"/>
                      <w:kern w:val="0"/>
                      <w:szCs w:val="21"/>
                      <w:lang w:val="en-US" w:eastAsia="zh-CN"/>
                    </w:rPr>
                    <w:t>270</w:t>
                  </w:r>
                </w:p>
              </w:tc>
              <w:tc>
                <w:tcPr>
                  <w:tcW w:w="699" w:type="pct"/>
                  <w:vAlign w:val="center"/>
                </w:tcPr>
                <w:p>
                  <w:pPr>
                    <w:widowControl/>
                    <w:jc w:val="center"/>
                    <w:rPr>
                      <w:kern w:val="0"/>
                      <w:szCs w:val="21"/>
                    </w:rPr>
                  </w:pPr>
                  <w:r>
                    <w:rPr>
                      <w:rFonts w:hint="eastAsia"/>
                      <w:kern w:val="0"/>
                      <w:szCs w:val="21"/>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2" w:type="pct"/>
                  <w:vAlign w:val="center"/>
                </w:tcPr>
                <w:p>
                  <w:pPr>
                    <w:widowControl/>
                    <w:adjustRightInd w:val="0"/>
                    <w:snapToGrid w:val="0"/>
                    <w:jc w:val="center"/>
                    <w:textAlignment w:val="center"/>
                    <w:rPr>
                      <w:szCs w:val="21"/>
                    </w:rPr>
                  </w:pPr>
                  <w:r>
                    <w:rPr>
                      <w:rFonts w:hint="eastAsia"/>
                      <w:szCs w:val="22"/>
                      <w:lang w:eastAsia="zh-CN"/>
                    </w:rPr>
                    <w:t>激光打孔机</w:t>
                  </w:r>
                </w:p>
              </w:tc>
              <w:tc>
                <w:tcPr>
                  <w:tcW w:w="758" w:type="pct"/>
                  <w:vAlign w:val="center"/>
                </w:tcPr>
                <w:p>
                  <w:pPr>
                    <w:adjustRightInd w:val="0"/>
                    <w:jc w:val="center"/>
                    <w:rPr>
                      <w:rFonts w:hint="eastAsia" w:eastAsia="宋体"/>
                      <w:kern w:val="0"/>
                      <w:szCs w:val="21"/>
                      <w:lang w:val="en-US" w:eastAsia="zh-CN"/>
                    </w:rPr>
                  </w:pPr>
                  <w:r>
                    <w:rPr>
                      <w:rFonts w:hint="eastAsia"/>
                      <w:kern w:val="0"/>
                      <w:szCs w:val="21"/>
                      <w:lang w:val="en-US" w:eastAsia="zh-CN"/>
                    </w:rPr>
                    <w:t>2</w:t>
                  </w:r>
                </w:p>
              </w:tc>
              <w:tc>
                <w:tcPr>
                  <w:tcW w:w="795" w:type="pct"/>
                  <w:vAlign w:val="center"/>
                </w:tcPr>
                <w:p>
                  <w:pPr>
                    <w:adjustRightInd w:val="0"/>
                    <w:jc w:val="center"/>
                    <w:rPr>
                      <w:rFonts w:hint="default" w:eastAsia="宋体"/>
                      <w:szCs w:val="21"/>
                      <w:lang w:val="en-US" w:eastAsia="zh-CN"/>
                    </w:rPr>
                  </w:pPr>
                  <w:r>
                    <w:rPr>
                      <w:rFonts w:hint="eastAsia"/>
                      <w:szCs w:val="21"/>
                      <w:lang w:val="en-US" w:eastAsia="zh-CN"/>
                    </w:rPr>
                    <w:t>85</w:t>
                  </w:r>
                </w:p>
              </w:tc>
              <w:tc>
                <w:tcPr>
                  <w:tcW w:w="568" w:type="pct"/>
                  <w:vAlign w:val="center"/>
                </w:tcPr>
                <w:p>
                  <w:pPr>
                    <w:widowControl/>
                    <w:jc w:val="center"/>
                    <w:rPr>
                      <w:rFonts w:hint="default" w:eastAsia="宋体"/>
                      <w:kern w:val="0"/>
                      <w:szCs w:val="21"/>
                      <w:lang w:val="en-US" w:eastAsia="zh-CN"/>
                    </w:rPr>
                  </w:pPr>
                  <w:r>
                    <w:rPr>
                      <w:rFonts w:hint="eastAsia"/>
                      <w:kern w:val="0"/>
                      <w:szCs w:val="21"/>
                      <w:lang w:val="en-US" w:eastAsia="zh-CN"/>
                    </w:rPr>
                    <w:t>520</w:t>
                  </w:r>
                </w:p>
              </w:tc>
              <w:tc>
                <w:tcPr>
                  <w:tcW w:w="568" w:type="pct"/>
                  <w:vAlign w:val="center"/>
                </w:tcPr>
                <w:p>
                  <w:pPr>
                    <w:widowControl/>
                    <w:jc w:val="center"/>
                    <w:rPr>
                      <w:kern w:val="0"/>
                      <w:szCs w:val="21"/>
                    </w:rPr>
                  </w:pPr>
                  <w:r>
                    <w:rPr>
                      <w:rFonts w:hint="eastAsia"/>
                      <w:kern w:val="0"/>
                      <w:szCs w:val="21"/>
                      <w:lang w:val="en-US" w:eastAsia="zh-CN"/>
                    </w:rPr>
                    <w:t>15</w:t>
                  </w:r>
                </w:p>
              </w:tc>
              <w:tc>
                <w:tcPr>
                  <w:tcW w:w="568" w:type="pct"/>
                  <w:vAlign w:val="center"/>
                </w:tcPr>
                <w:p>
                  <w:pPr>
                    <w:widowControl/>
                    <w:jc w:val="center"/>
                    <w:rPr>
                      <w:rFonts w:hint="default" w:eastAsia="宋体"/>
                      <w:kern w:val="0"/>
                      <w:szCs w:val="21"/>
                      <w:lang w:val="en-US" w:eastAsia="zh-CN"/>
                    </w:rPr>
                  </w:pPr>
                  <w:r>
                    <w:rPr>
                      <w:rFonts w:hint="eastAsia"/>
                      <w:kern w:val="0"/>
                      <w:szCs w:val="21"/>
                      <w:lang w:val="en-US" w:eastAsia="zh-CN"/>
                    </w:rPr>
                    <w:t>250</w:t>
                  </w:r>
                </w:p>
              </w:tc>
              <w:tc>
                <w:tcPr>
                  <w:tcW w:w="699" w:type="pct"/>
                  <w:vAlign w:val="center"/>
                </w:tcPr>
                <w:p>
                  <w:pPr>
                    <w:widowControl/>
                    <w:jc w:val="center"/>
                    <w:rPr>
                      <w:kern w:val="0"/>
                      <w:szCs w:val="21"/>
                    </w:rPr>
                  </w:pPr>
                  <w:r>
                    <w:rPr>
                      <w:rFonts w:hint="eastAsia"/>
                      <w:kern w:val="0"/>
                      <w:szCs w:val="21"/>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2" w:type="pct"/>
                  <w:vAlign w:val="center"/>
                </w:tcPr>
                <w:p>
                  <w:pPr>
                    <w:widowControl/>
                    <w:adjustRightInd w:val="0"/>
                    <w:snapToGrid w:val="0"/>
                    <w:jc w:val="center"/>
                    <w:textAlignment w:val="center"/>
                    <w:rPr>
                      <w:szCs w:val="21"/>
                    </w:rPr>
                  </w:pPr>
                  <w:r>
                    <w:rPr>
                      <w:rFonts w:hint="eastAsia"/>
                      <w:szCs w:val="22"/>
                      <w:lang w:eastAsia="zh-CN"/>
                    </w:rPr>
                    <w:t>清洗机</w:t>
                  </w:r>
                </w:p>
              </w:tc>
              <w:tc>
                <w:tcPr>
                  <w:tcW w:w="758" w:type="pct"/>
                  <w:vAlign w:val="center"/>
                </w:tcPr>
                <w:p>
                  <w:pPr>
                    <w:adjustRightInd w:val="0"/>
                    <w:jc w:val="center"/>
                    <w:rPr>
                      <w:rFonts w:hint="eastAsia" w:eastAsia="宋体"/>
                      <w:kern w:val="0"/>
                      <w:szCs w:val="21"/>
                      <w:lang w:val="en-US" w:eastAsia="zh-CN"/>
                    </w:rPr>
                  </w:pPr>
                  <w:r>
                    <w:rPr>
                      <w:rFonts w:hint="eastAsia"/>
                      <w:kern w:val="0"/>
                      <w:szCs w:val="21"/>
                      <w:lang w:val="en-US" w:eastAsia="zh-CN"/>
                    </w:rPr>
                    <w:t>3</w:t>
                  </w:r>
                </w:p>
              </w:tc>
              <w:tc>
                <w:tcPr>
                  <w:tcW w:w="795" w:type="pct"/>
                  <w:vAlign w:val="center"/>
                </w:tcPr>
                <w:p>
                  <w:pPr>
                    <w:adjustRightInd w:val="0"/>
                    <w:jc w:val="center"/>
                    <w:rPr>
                      <w:rFonts w:hint="default" w:eastAsia="宋体"/>
                      <w:szCs w:val="21"/>
                      <w:lang w:val="en-US" w:eastAsia="zh-CN"/>
                    </w:rPr>
                  </w:pPr>
                  <w:r>
                    <w:rPr>
                      <w:rFonts w:hint="eastAsia"/>
                      <w:szCs w:val="21"/>
                      <w:lang w:val="en-US" w:eastAsia="zh-CN"/>
                    </w:rPr>
                    <w:t>80</w:t>
                  </w:r>
                </w:p>
              </w:tc>
              <w:tc>
                <w:tcPr>
                  <w:tcW w:w="568" w:type="pct"/>
                  <w:vAlign w:val="center"/>
                </w:tcPr>
                <w:p>
                  <w:pPr>
                    <w:widowControl/>
                    <w:jc w:val="center"/>
                    <w:rPr>
                      <w:rFonts w:hint="default" w:eastAsia="宋体"/>
                      <w:kern w:val="0"/>
                      <w:szCs w:val="21"/>
                      <w:lang w:val="en-US" w:eastAsia="zh-CN"/>
                    </w:rPr>
                  </w:pPr>
                  <w:r>
                    <w:rPr>
                      <w:rFonts w:hint="eastAsia"/>
                      <w:kern w:val="0"/>
                      <w:szCs w:val="21"/>
                      <w:lang w:val="en-US" w:eastAsia="zh-CN"/>
                    </w:rPr>
                    <w:t>525</w:t>
                  </w:r>
                </w:p>
              </w:tc>
              <w:tc>
                <w:tcPr>
                  <w:tcW w:w="568" w:type="pct"/>
                  <w:vAlign w:val="center"/>
                </w:tcPr>
                <w:p>
                  <w:pPr>
                    <w:widowControl/>
                    <w:jc w:val="center"/>
                    <w:rPr>
                      <w:kern w:val="0"/>
                      <w:szCs w:val="21"/>
                    </w:rPr>
                  </w:pPr>
                  <w:r>
                    <w:rPr>
                      <w:rFonts w:hint="eastAsia"/>
                      <w:kern w:val="0"/>
                      <w:szCs w:val="21"/>
                      <w:lang w:val="en-US" w:eastAsia="zh-CN"/>
                    </w:rPr>
                    <w:t>15</w:t>
                  </w:r>
                </w:p>
              </w:tc>
              <w:tc>
                <w:tcPr>
                  <w:tcW w:w="568" w:type="pct"/>
                  <w:vAlign w:val="center"/>
                </w:tcPr>
                <w:p>
                  <w:pPr>
                    <w:widowControl/>
                    <w:jc w:val="center"/>
                    <w:rPr>
                      <w:rFonts w:hint="default" w:eastAsia="宋体"/>
                      <w:kern w:val="0"/>
                      <w:szCs w:val="21"/>
                      <w:lang w:val="en-US" w:eastAsia="zh-CN"/>
                    </w:rPr>
                  </w:pPr>
                  <w:r>
                    <w:rPr>
                      <w:rFonts w:hint="eastAsia"/>
                      <w:kern w:val="0"/>
                      <w:szCs w:val="21"/>
                      <w:lang w:val="en-US" w:eastAsia="zh-CN"/>
                    </w:rPr>
                    <w:t>245</w:t>
                  </w:r>
                </w:p>
              </w:tc>
              <w:tc>
                <w:tcPr>
                  <w:tcW w:w="699" w:type="pct"/>
                  <w:vAlign w:val="center"/>
                </w:tcPr>
                <w:p>
                  <w:pPr>
                    <w:widowControl/>
                    <w:jc w:val="center"/>
                    <w:rPr>
                      <w:kern w:val="0"/>
                      <w:szCs w:val="21"/>
                    </w:rPr>
                  </w:pPr>
                  <w:r>
                    <w:rPr>
                      <w:rFonts w:hint="eastAsia"/>
                      <w:kern w:val="0"/>
                      <w:szCs w:val="21"/>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2" w:type="pct"/>
                  <w:vAlign w:val="center"/>
                </w:tcPr>
                <w:p>
                  <w:pPr>
                    <w:widowControl/>
                    <w:adjustRightInd w:val="0"/>
                    <w:snapToGrid w:val="0"/>
                    <w:jc w:val="center"/>
                    <w:textAlignment w:val="center"/>
                    <w:rPr>
                      <w:szCs w:val="21"/>
                    </w:rPr>
                  </w:pPr>
                  <w:r>
                    <w:rPr>
                      <w:rFonts w:hint="eastAsia"/>
                      <w:szCs w:val="22"/>
                      <w:lang w:eastAsia="zh-CN"/>
                    </w:rPr>
                    <w:t>丝网印刷机</w:t>
                  </w:r>
                </w:p>
              </w:tc>
              <w:tc>
                <w:tcPr>
                  <w:tcW w:w="758" w:type="pct"/>
                  <w:vAlign w:val="center"/>
                </w:tcPr>
                <w:p>
                  <w:pPr>
                    <w:adjustRightInd w:val="0"/>
                    <w:jc w:val="center"/>
                    <w:rPr>
                      <w:rFonts w:hint="eastAsia" w:eastAsia="宋体"/>
                      <w:kern w:val="0"/>
                      <w:szCs w:val="21"/>
                      <w:lang w:val="en-US" w:eastAsia="zh-CN"/>
                    </w:rPr>
                  </w:pPr>
                  <w:r>
                    <w:rPr>
                      <w:rFonts w:hint="eastAsia"/>
                      <w:kern w:val="0"/>
                      <w:szCs w:val="21"/>
                      <w:lang w:val="en-US" w:eastAsia="zh-CN"/>
                    </w:rPr>
                    <w:t>2</w:t>
                  </w:r>
                </w:p>
              </w:tc>
              <w:tc>
                <w:tcPr>
                  <w:tcW w:w="795" w:type="pct"/>
                  <w:vAlign w:val="center"/>
                </w:tcPr>
                <w:p>
                  <w:pPr>
                    <w:adjustRightInd w:val="0"/>
                    <w:jc w:val="center"/>
                    <w:rPr>
                      <w:rFonts w:hint="default" w:eastAsia="宋体"/>
                      <w:szCs w:val="21"/>
                      <w:lang w:val="en-US" w:eastAsia="zh-CN"/>
                    </w:rPr>
                  </w:pPr>
                  <w:r>
                    <w:rPr>
                      <w:rFonts w:hint="eastAsia"/>
                      <w:szCs w:val="21"/>
                      <w:lang w:val="en-US" w:eastAsia="zh-CN"/>
                    </w:rPr>
                    <w:t>80</w:t>
                  </w:r>
                </w:p>
              </w:tc>
              <w:tc>
                <w:tcPr>
                  <w:tcW w:w="568" w:type="pct"/>
                  <w:vAlign w:val="center"/>
                </w:tcPr>
                <w:p>
                  <w:pPr>
                    <w:widowControl/>
                    <w:jc w:val="center"/>
                    <w:rPr>
                      <w:rFonts w:hint="default" w:eastAsia="宋体"/>
                      <w:kern w:val="0"/>
                      <w:szCs w:val="21"/>
                      <w:lang w:val="en-US" w:eastAsia="zh-CN"/>
                    </w:rPr>
                  </w:pPr>
                  <w:r>
                    <w:rPr>
                      <w:rFonts w:hint="eastAsia"/>
                      <w:kern w:val="0"/>
                      <w:szCs w:val="21"/>
                      <w:lang w:val="en-US" w:eastAsia="zh-CN"/>
                    </w:rPr>
                    <w:t>530</w:t>
                  </w:r>
                </w:p>
              </w:tc>
              <w:tc>
                <w:tcPr>
                  <w:tcW w:w="568" w:type="pct"/>
                  <w:vAlign w:val="center"/>
                </w:tcPr>
                <w:p>
                  <w:pPr>
                    <w:widowControl/>
                    <w:jc w:val="center"/>
                    <w:rPr>
                      <w:kern w:val="0"/>
                      <w:szCs w:val="21"/>
                    </w:rPr>
                  </w:pPr>
                  <w:r>
                    <w:rPr>
                      <w:rFonts w:hint="eastAsia"/>
                      <w:kern w:val="0"/>
                      <w:szCs w:val="21"/>
                      <w:lang w:val="en-US" w:eastAsia="zh-CN"/>
                    </w:rPr>
                    <w:t>15</w:t>
                  </w:r>
                </w:p>
              </w:tc>
              <w:tc>
                <w:tcPr>
                  <w:tcW w:w="568" w:type="pct"/>
                  <w:vAlign w:val="center"/>
                </w:tcPr>
                <w:p>
                  <w:pPr>
                    <w:widowControl/>
                    <w:jc w:val="center"/>
                    <w:rPr>
                      <w:rFonts w:hint="default" w:eastAsia="宋体"/>
                      <w:kern w:val="0"/>
                      <w:szCs w:val="21"/>
                      <w:lang w:val="en-US" w:eastAsia="zh-CN"/>
                    </w:rPr>
                  </w:pPr>
                  <w:r>
                    <w:rPr>
                      <w:rFonts w:hint="eastAsia"/>
                      <w:kern w:val="0"/>
                      <w:szCs w:val="21"/>
                      <w:lang w:val="en-US" w:eastAsia="zh-CN"/>
                    </w:rPr>
                    <w:t>240</w:t>
                  </w:r>
                </w:p>
              </w:tc>
              <w:tc>
                <w:tcPr>
                  <w:tcW w:w="699" w:type="pct"/>
                  <w:vAlign w:val="center"/>
                </w:tcPr>
                <w:p>
                  <w:pPr>
                    <w:widowControl/>
                    <w:jc w:val="center"/>
                    <w:rPr>
                      <w:kern w:val="0"/>
                      <w:szCs w:val="21"/>
                    </w:rPr>
                  </w:pPr>
                  <w:r>
                    <w:rPr>
                      <w:rFonts w:hint="eastAsia"/>
                      <w:kern w:val="0"/>
                      <w:szCs w:val="21"/>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2" w:type="pct"/>
                  <w:vAlign w:val="center"/>
                </w:tcPr>
                <w:p>
                  <w:pPr>
                    <w:widowControl/>
                    <w:adjustRightInd w:val="0"/>
                    <w:snapToGrid w:val="0"/>
                    <w:jc w:val="center"/>
                    <w:textAlignment w:val="center"/>
                    <w:rPr>
                      <w:szCs w:val="21"/>
                    </w:rPr>
                  </w:pPr>
                  <w:r>
                    <w:rPr>
                      <w:rFonts w:hint="eastAsia"/>
                      <w:szCs w:val="22"/>
                      <w:lang w:eastAsia="zh-CN"/>
                    </w:rPr>
                    <w:t>烘干机</w:t>
                  </w:r>
                </w:p>
              </w:tc>
              <w:tc>
                <w:tcPr>
                  <w:tcW w:w="758" w:type="pct"/>
                  <w:vAlign w:val="center"/>
                </w:tcPr>
                <w:p>
                  <w:pPr>
                    <w:adjustRightInd w:val="0"/>
                    <w:jc w:val="center"/>
                    <w:rPr>
                      <w:rFonts w:hint="eastAsia" w:eastAsia="宋体"/>
                      <w:bCs/>
                      <w:szCs w:val="21"/>
                      <w:lang w:val="en-US" w:eastAsia="zh-CN"/>
                    </w:rPr>
                  </w:pPr>
                  <w:r>
                    <w:rPr>
                      <w:rFonts w:hint="eastAsia"/>
                      <w:bCs/>
                      <w:szCs w:val="21"/>
                      <w:lang w:val="en-US" w:eastAsia="zh-CN"/>
                    </w:rPr>
                    <w:t>1</w:t>
                  </w:r>
                </w:p>
              </w:tc>
              <w:tc>
                <w:tcPr>
                  <w:tcW w:w="795" w:type="pct"/>
                  <w:vAlign w:val="center"/>
                </w:tcPr>
                <w:p>
                  <w:pPr>
                    <w:adjustRightInd w:val="0"/>
                    <w:jc w:val="center"/>
                    <w:rPr>
                      <w:rFonts w:hint="default" w:eastAsia="宋体"/>
                      <w:szCs w:val="21"/>
                      <w:lang w:val="en-US" w:eastAsia="zh-CN"/>
                    </w:rPr>
                  </w:pPr>
                  <w:r>
                    <w:rPr>
                      <w:rFonts w:hint="eastAsia"/>
                      <w:szCs w:val="21"/>
                      <w:lang w:val="en-US" w:eastAsia="zh-CN"/>
                    </w:rPr>
                    <w:t>85</w:t>
                  </w:r>
                </w:p>
              </w:tc>
              <w:tc>
                <w:tcPr>
                  <w:tcW w:w="568" w:type="pct"/>
                  <w:vAlign w:val="center"/>
                </w:tcPr>
                <w:p>
                  <w:pPr>
                    <w:widowControl/>
                    <w:jc w:val="center"/>
                    <w:rPr>
                      <w:rFonts w:hint="default" w:eastAsia="宋体"/>
                      <w:bCs/>
                      <w:szCs w:val="21"/>
                      <w:lang w:val="en-US" w:eastAsia="zh-CN"/>
                    </w:rPr>
                  </w:pPr>
                  <w:r>
                    <w:rPr>
                      <w:rFonts w:hint="eastAsia"/>
                      <w:bCs/>
                      <w:szCs w:val="21"/>
                      <w:lang w:val="en-US" w:eastAsia="zh-CN"/>
                    </w:rPr>
                    <w:t>535</w:t>
                  </w:r>
                </w:p>
              </w:tc>
              <w:tc>
                <w:tcPr>
                  <w:tcW w:w="568" w:type="pct"/>
                  <w:vAlign w:val="center"/>
                </w:tcPr>
                <w:p>
                  <w:pPr>
                    <w:widowControl/>
                    <w:jc w:val="center"/>
                    <w:rPr>
                      <w:rFonts w:hint="eastAsia"/>
                      <w:bCs/>
                      <w:szCs w:val="21"/>
                    </w:rPr>
                  </w:pPr>
                  <w:r>
                    <w:rPr>
                      <w:rFonts w:hint="eastAsia"/>
                      <w:kern w:val="0"/>
                      <w:szCs w:val="21"/>
                      <w:lang w:val="en-US" w:eastAsia="zh-CN"/>
                    </w:rPr>
                    <w:t>15</w:t>
                  </w:r>
                </w:p>
              </w:tc>
              <w:tc>
                <w:tcPr>
                  <w:tcW w:w="568" w:type="pct"/>
                  <w:vAlign w:val="center"/>
                </w:tcPr>
                <w:p>
                  <w:pPr>
                    <w:widowControl/>
                    <w:jc w:val="center"/>
                    <w:rPr>
                      <w:rFonts w:hint="default" w:eastAsia="宋体"/>
                      <w:bCs/>
                      <w:szCs w:val="21"/>
                      <w:lang w:val="en-US" w:eastAsia="zh-CN"/>
                    </w:rPr>
                  </w:pPr>
                  <w:r>
                    <w:rPr>
                      <w:rFonts w:hint="eastAsia"/>
                      <w:bCs/>
                      <w:szCs w:val="21"/>
                      <w:lang w:val="en-US" w:eastAsia="zh-CN"/>
                    </w:rPr>
                    <w:t>235</w:t>
                  </w:r>
                </w:p>
              </w:tc>
              <w:tc>
                <w:tcPr>
                  <w:tcW w:w="699" w:type="pct"/>
                  <w:vAlign w:val="center"/>
                </w:tcPr>
                <w:p>
                  <w:pPr>
                    <w:widowControl/>
                    <w:jc w:val="center"/>
                    <w:rPr>
                      <w:rFonts w:hint="eastAsia"/>
                      <w:bCs/>
                      <w:szCs w:val="21"/>
                    </w:rPr>
                  </w:pPr>
                  <w:r>
                    <w:rPr>
                      <w:rFonts w:hint="eastAsia"/>
                      <w:kern w:val="0"/>
                      <w:szCs w:val="21"/>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2" w:type="pct"/>
                  <w:vAlign w:val="center"/>
                </w:tcPr>
                <w:p>
                  <w:pPr>
                    <w:widowControl/>
                    <w:adjustRightInd w:val="0"/>
                    <w:snapToGrid w:val="0"/>
                    <w:jc w:val="center"/>
                    <w:textAlignment w:val="center"/>
                    <w:rPr>
                      <w:szCs w:val="21"/>
                    </w:rPr>
                  </w:pPr>
                  <w:r>
                    <w:rPr>
                      <w:rFonts w:hint="eastAsia"/>
                      <w:szCs w:val="22"/>
                      <w:lang w:eastAsia="zh-CN"/>
                    </w:rPr>
                    <w:t>钢化炉</w:t>
                  </w:r>
                </w:p>
              </w:tc>
              <w:tc>
                <w:tcPr>
                  <w:tcW w:w="758" w:type="pct"/>
                  <w:vAlign w:val="center"/>
                </w:tcPr>
                <w:p>
                  <w:pPr>
                    <w:adjustRightInd w:val="0"/>
                    <w:jc w:val="center"/>
                    <w:rPr>
                      <w:rFonts w:hint="eastAsia" w:eastAsia="宋体"/>
                      <w:bCs/>
                      <w:szCs w:val="21"/>
                      <w:lang w:val="en-US" w:eastAsia="zh-CN"/>
                    </w:rPr>
                  </w:pPr>
                  <w:r>
                    <w:rPr>
                      <w:rFonts w:hint="eastAsia"/>
                      <w:bCs/>
                      <w:szCs w:val="21"/>
                      <w:lang w:val="en-US" w:eastAsia="zh-CN"/>
                    </w:rPr>
                    <w:t>1</w:t>
                  </w:r>
                </w:p>
              </w:tc>
              <w:tc>
                <w:tcPr>
                  <w:tcW w:w="795" w:type="pct"/>
                  <w:vAlign w:val="center"/>
                </w:tcPr>
                <w:p>
                  <w:pPr>
                    <w:adjustRightInd w:val="0"/>
                    <w:jc w:val="center"/>
                    <w:rPr>
                      <w:rFonts w:hint="default" w:eastAsia="宋体"/>
                      <w:szCs w:val="21"/>
                      <w:lang w:val="en-US" w:eastAsia="zh-CN"/>
                    </w:rPr>
                  </w:pPr>
                  <w:r>
                    <w:rPr>
                      <w:rFonts w:hint="eastAsia"/>
                      <w:szCs w:val="21"/>
                      <w:lang w:val="en-US" w:eastAsia="zh-CN"/>
                    </w:rPr>
                    <w:t>85</w:t>
                  </w:r>
                </w:p>
              </w:tc>
              <w:tc>
                <w:tcPr>
                  <w:tcW w:w="568" w:type="pct"/>
                  <w:vAlign w:val="center"/>
                </w:tcPr>
                <w:p>
                  <w:pPr>
                    <w:widowControl/>
                    <w:jc w:val="center"/>
                    <w:rPr>
                      <w:rFonts w:hint="default" w:eastAsia="宋体"/>
                      <w:bCs/>
                      <w:szCs w:val="21"/>
                      <w:lang w:val="en-US" w:eastAsia="zh-CN"/>
                    </w:rPr>
                  </w:pPr>
                  <w:r>
                    <w:rPr>
                      <w:rFonts w:hint="eastAsia"/>
                      <w:bCs/>
                      <w:szCs w:val="21"/>
                      <w:lang w:val="en-US" w:eastAsia="zh-CN"/>
                    </w:rPr>
                    <w:t>540</w:t>
                  </w:r>
                </w:p>
              </w:tc>
              <w:tc>
                <w:tcPr>
                  <w:tcW w:w="568" w:type="pct"/>
                  <w:vAlign w:val="center"/>
                </w:tcPr>
                <w:p>
                  <w:pPr>
                    <w:widowControl/>
                    <w:jc w:val="center"/>
                    <w:rPr>
                      <w:rFonts w:hint="eastAsia"/>
                      <w:bCs/>
                      <w:szCs w:val="21"/>
                    </w:rPr>
                  </w:pPr>
                  <w:r>
                    <w:rPr>
                      <w:rFonts w:hint="eastAsia"/>
                      <w:kern w:val="0"/>
                      <w:szCs w:val="21"/>
                      <w:lang w:val="en-US" w:eastAsia="zh-CN"/>
                    </w:rPr>
                    <w:t>15</w:t>
                  </w:r>
                </w:p>
              </w:tc>
              <w:tc>
                <w:tcPr>
                  <w:tcW w:w="568" w:type="pct"/>
                  <w:vAlign w:val="center"/>
                </w:tcPr>
                <w:p>
                  <w:pPr>
                    <w:widowControl/>
                    <w:jc w:val="center"/>
                    <w:rPr>
                      <w:rFonts w:hint="default" w:eastAsia="宋体"/>
                      <w:bCs/>
                      <w:szCs w:val="21"/>
                      <w:lang w:val="en-US" w:eastAsia="zh-CN"/>
                    </w:rPr>
                  </w:pPr>
                  <w:r>
                    <w:rPr>
                      <w:rFonts w:hint="eastAsia"/>
                      <w:bCs/>
                      <w:szCs w:val="21"/>
                      <w:lang w:val="en-US" w:eastAsia="zh-CN"/>
                    </w:rPr>
                    <w:t>230</w:t>
                  </w:r>
                </w:p>
              </w:tc>
              <w:tc>
                <w:tcPr>
                  <w:tcW w:w="699" w:type="pct"/>
                  <w:vAlign w:val="center"/>
                </w:tcPr>
                <w:p>
                  <w:pPr>
                    <w:widowControl/>
                    <w:jc w:val="center"/>
                    <w:rPr>
                      <w:rFonts w:hint="eastAsia"/>
                      <w:bCs/>
                      <w:szCs w:val="21"/>
                    </w:rPr>
                  </w:pPr>
                  <w:r>
                    <w:rPr>
                      <w:rFonts w:hint="eastAsia"/>
                      <w:kern w:val="0"/>
                      <w:szCs w:val="21"/>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2" w:type="pct"/>
                  <w:vAlign w:val="center"/>
                </w:tcPr>
                <w:p>
                  <w:pPr>
                    <w:widowControl/>
                    <w:adjustRightInd w:val="0"/>
                    <w:snapToGrid w:val="0"/>
                    <w:jc w:val="center"/>
                    <w:textAlignment w:val="center"/>
                    <w:rPr>
                      <w:szCs w:val="21"/>
                    </w:rPr>
                  </w:pPr>
                  <w:r>
                    <w:rPr>
                      <w:rFonts w:hint="eastAsia"/>
                      <w:szCs w:val="22"/>
                      <w:lang w:eastAsia="zh-CN"/>
                    </w:rPr>
                    <w:t>磨边机</w:t>
                  </w:r>
                </w:p>
              </w:tc>
              <w:tc>
                <w:tcPr>
                  <w:tcW w:w="758" w:type="pct"/>
                  <w:vAlign w:val="center"/>
                </w:tcPr>
                <w:p>
                  <w:pPr>
                    <w:adjustRightInd w:val="0"/>
                    <w:jc w:val="center"/>
                    <w:rPr>
                      <w:rFonts w:hint="eastAsia" w:eastAsia="宋体"/>
                      <w:bCs/>
                      <w:szCs w:val="21"/>
                      <w:lang w:val="en-US" w:eastAsia="zh-CN"/>
                    </w:rPr>
                  </w:pPr>
                  <w:r>
                    <w:rPr>
                      <w:rFonts w:hint="eastAsia"/>
                      <w:bCs/>
                      <w:szCs w:val="21"/>
                      <w:lang w:val="en-US" w:eastAsia="zh-CN"/>
                    </w:rPr>
                    <w:t>2</w:t>
                  </w:r>
                </w:p>
              </w:tc>
              <w:tc>
                <w:tcPr>
                  <w:tcW w:w="795" w:type="pct"/>
                  <w:vAlign w:val="center"/>
                </w:tcPr>
                <w:p>
                  <w:pPr>
                    <w:adjustRightInd w:val="0"/>
                    <w:jc w:val="center"/>
                    <w:rPr>
                      <w:rFonts w:hint="default" w:eastAsia="宋体"/>
                      <w:szCs w:val="21"/>
                      <w:lang w:val="en-US" w:eastAsia="zh-CN"/>
                    </w:rPr>
                  </w:pPr>
                  <w:r>
                    <w:rPr>
                      <w:rFonts w:hint="eastAsia"/>
                      <w:szCs w:val="21"/>
                      <w:lang w:val="en-US" w:eastAsia="zh-CN"/>
                    </w:rPr>
                    <w:t>90</w:t>
                  </w:r>
                </w:p>
              </w:tc>
              <w:tc>
                <w:tcPr>
                  <w:tcW w:w="568" w:type="pct"/>
                  <w:vAlign w:val="center"/>
                </w:tcPr>
                <w:p>
                  <w:pPr>
                    <w:widowControl/>
                    <w:jc w:val="center"/>
                    <w:rPr>
                      <w:rFonts w:hint="default" w:eastAsia="宋体"/>
                      <w:bCs/>
                      <w:szCs w:val="21"/>
                      <w:lang w:val="en-US" w:eastAsia="zh-CN"/>
                    </w:rPr>
                  </w:pPr>
                  <w:r>
                    <w:rPr>
                      <w:rFonts w:hint="eastAsia"/>
                      <w:bCs/>
                      <w:szCs w:val="21"/>
                      <w:lang w:val="en-US" w:eastAsia="zh-CN"/>
                    </w:rPr>
                    <w:t>510</w:t>
                  </w:r>
                </w:p>
              </w:tc>
              <w:tc>
                <w:tcPr>
                  <w:tcW w:w="568" w:type="pct"/>
                  <w:vAlign w:val="center"/>
                </w:tcPr>
                <w:p>
                  <w:pPr>
                    <w:widowControl/>
                    <w:jc w:val="center"/>
                    <w:rPr>
                      <w:rFonts w:hint="eastAsia"/>
                      <w:bCs/>
                      <w:szCs w:val="21"/>
                    </w:rPr>
                  </w:pPr>
                  <w:r>
                    <w:rPr>
                      <w:rFonts w:hint="eastAsia"/>
                      <w:kern w:val="0"/>
                      <w:szCs w:val="21"/>
                      <w:lang w:val="en-US" w:eastAsia="zh-CN"/>
                    </w:rPr>
                    <w:t>15</w:t>
                  </w:r>
                </w:p>
              </w:tc>
              <w:tc>
                <w:tcPr>
                  <w:tcW w:w="568" w:type="pct"/>
                  <w:vAlign w:val="center"/>
                </w:tcPr>
                <w:p>
                  <w:pPr>
                    <w:widowControl/>
                    <w:jc w:val="center"/>
                    <w:rPr>
                      <w:rFonts w:hint="default" w:eastAsia="宋体"/>
                      <w:bCs/>
                      <w:szCs w:val="21"/>
                      <w:lang w:val="en-US" w:eastAsia="zh-CN"/>
                    </w:rPr>
                  </w:pPr>
                  <w:r>
                    <w:rPr>
                      <w:rFonts w:hint="eastAsia"/>
                      <w:bCs/>
                      <w:szCs w:val="21"/>
                      <w:lang w:val="en-US" w:eastAsia="zh-CN"/>
                    </w:rPr>
                    <w:t>260</w:t>
                  </w:r>
                </w:p>
              </w:tc>
              <w:tc>
                <w:tcPr>
                  <w:tcW w:w="699" w:type="pct"/>
                  <w:vAlign w:val="center"/>
                </w:tcPr>
                <w:p>
                  <w:pPr>
                    <w:widowControl/>
                    <w:jc w:val="center"/>
                    <w:rPr>
                      <w:rFonts w:hint="eastAsia"/>
                      <w:bCs/>
                      <w:szCs w:val="21"/>
                    </w:rPr>
                  </w:pPr>
                  <w:r>
                    <w:rPr>
                      <w:rFonts w:hint="eastAsia"/>
                      <w:kern w:val="0"/>
                      <w:szCs w:val="21"/>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2" w:type="pct"/>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下片铺纸机</w:t>
                  </w:r>
                </w:p>
              </w:tc>
              <w:tc>
                <w:tcPr>
                  <w:tcW w:w="758" w:type="pct"/>
                  <w:vAlign w:val="center"/>
                </w:tcPr>
                <w:p>
                  <w:pPr>
                    <w:adjustRightInd w:val="0"/>
                    <w:jc w:val="center"/>
                    <w:rPr>
                      <w:rFonts w:hint="eastAsia" w:eastAsia="宋体"/>
                      <w:bCs/>
                      <w:szCs w:val="21"/>
                      <w:lang w:val="en-US" w:eastAsia="zh-CN"/>
                    </w:rPr>
                  </w:pPr>
                  <w:r>
                    <w:rPr>
                      <w:rFonts w:hint="eastAsia"/>
                      <w:bCs/>
                      <w:szCs w:val="21"/>
                      <w:lang w:val="en-US" w:eastAsia="zh-CN"/>
                    </w:rPr>
                    <w:t>4</w:t>
                  </w:r>
                </w:p>
              </w:tc>
              <w:tc>
                <w:tcPr>
                  <w:tcW w:w="795" w:type="pct"/>
                  <w:vAlign w:val="center"/>
                </w:tcPr>
                <w:p>
                  <w:pPr>
                    <w:adjustRightInd w:val="0"/>
                    <w:jc w:val="center"/>
                    <w:rPr>
                      <w:rFonts w:hint="default" w:eastAsia="宋体"/>
                      <w:szCs w:val="21"/>
                      <w:lang w:val="en-US" w:eastAsia="zh-CN"/>
                    </w:rPr>
                  </w:pPr>
                  <w:r>
                    <w:rPr>
                      <w:rFonts w:hint="eastAsia"/>
                      <w:szCs w:val="21"/>
                      <w:lang w:val="en-US" w:eastAsia="zh-CN"/>
                    </w:rPr>
                    <w:t>80</w:t>
                  </w:r>
                </w:p>
              </w:tc>
              <w:tc>
                <w:tcPr>
                  <w:tcW w:w="568" w:type="pct"/>
                  <w:vAlign w:val="center"/>
                </w:tcPr>
                <w:p>
                  <w:pPr>
                    <w:widowControl/>
                    <w:jc w:val="center"/>
                    <w:rPr>
                      <w:rFonts w:hint="default" w:eastAsia="宋体"/>
                      <w:bCs/>
                      <w:szCs w:val="21"/>
                      <w:lang w:val="en-US" w:eastAsia="zh-CN"/>
                    </w:rPr>
                  </w:pPr>
                  <w:r>
                    <w:rPr>
                      <w:rFonts w:hint="eastAsia"/>
                      <w:bCs/>
                      <w:szCs w:val="21"/>
                      <w:lang w:val="en-US" w:eastAsia="zh-CN"/>
                    </w:rPr>
                    <w:t>580</w:t>
                  </w:r>
                </w:p>
              </w:tc>
              <w:tc>
                <w:tcPr>
                  <w:tcW w:w="568" w:type="pct"/>
                  <w:vAlign w:val="center"/>
                </w:tcPr>
                <w:p>
                  <w:pPr>
                    <w:widowControl/>
                    <w:jc w:val="center"/>
                    <w:rPr>
                      <w:rFonts w:hint="eastAsia"/>
                      <w:bCs/>
                      <w:szCs w:val="21"/>
                    </w:rPr>
                  </w:pPr>
                  <w:r>
                    <w:rPr>
                      <w:rFonts w:hint="eastAsia"/>
                      <w:kern w:val="0"/>
                      <w:szCs w:val="21"/>
                      <w:lang w:val="en-US" w:eastAsia="zh-CN"/>
                    </w:rPr>
                    <w:t>15</w:t>
                  </w:r>
                </w:p>
              </w:tc>
              <w:tc>
                <w:tcPr>
                  <w:tcW w:w="568" w:type="pct"/>
                  <w:vAlign w:val="center"/>
                </w:tcPr>
                <w:p>
                  <w:pPr>
                    <w:widowControl/>
                    <w:jc w:val="center"/>
                    <w:rPr>
                      <w:rFonts w:hint="default" w:eastAsia="宋体"/>
                      <w:bCs/>
                      <w:szCs w:val="21"/>
                      <w:lang w:val="en-US" w:eastAsia="zh-CN"/>
                    </w:rPr>
                  </w:pPr>
                  <w:r>
                    <w:rPr>
                      <w:rFonts w:hint="eastAsia"/>
                      <w:bCs/>
                      <w:szCs w:val="21"/>
                      <w:lang w:val="en-US" w:eastAsia="zh-CN"/>
                    </w:rPr>
                    <w:t>290</w:t>
                  </w:r>
                </w:p>
              </w:tc>
              <w:tc>
                <w:tcPr>
                  <w:tcW w:w="699" w:type="pct"/>
                  <w:vAlign w:val="center"/>
                </w:tcPr>
                <w:p>
                  <w:pPr>
                    <w:widowControl/>
                    <w:jc w:val="center"/>
                    <w:rPr>
                      <w:rFonts w:hint="eastAsia"/>
                      <w:bCs/>
                      <w:szCs w:val="21"/>
                    </w:rPr>
                  </w:pPr>
                  <w:r>
                    <w:rPr>
                      <w:rFonts w:hint="eastAsia"/>
                      <w:kern w:val="0"/>
                      <w:szCs w:val="21"/>
                      <w:lang w:val="en-US" w:eastAsia="zh-CN"/>
                    </w:rPr>
                    <w:t>185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42" w:type="pct"/>
                  <w:vAlign w:val="center"/>
                </w:tcPr>
                <w:p>
                  <w:pPr>
                    <w:widowControl/>
                    <w:adjustRightInd w:val="0"/>
                    <w:snapToGrid w:val="0"/>
                    <w:jc w:val="center"/>
                    <w:textAlignment w:val="center"/>
                    <w:rPr>
                      <w:szCs w:val="21"/>
                    </w:rPr>
                  </w:pPr>
                  <w:r>
                    <w:rPr>
                      <w:rFonts w:hint="eastAsia"/>
                      <w:szCs w:val="22"/>
                      <w:lang w:eastAsia="zh-CN"/>
                    </w:rPr>
                    <w:t>连线辊道</w:t>
                  </w:r>
                </w:p>
              </w:tc>
              <w:tc>
                <w:tcPr>
                  <w:tcW w:w="758" w:type="pct"/>
                  <w:vAlign w:val="center"/>
                </w:tcPr>
                <w:p>
                  <w:pPr>
                    <w:adjustRightInd w:val="0"/>
                    <w:jc w:val="center"/>
                    <w:rPr>
                      <w:rFonts w:hint="eastAsia" w:eastAsia="宋体"/>
                      <w:bCs/>
                      <w:szCs w:val="21"/>
                      <w:lang w:val="en-US" w:eastAsia="zh-CN"/>
                    </w:rPr>
                  </w:pPr>
                  <w:r>
                    <w:rPr>
                      <w:rFonts w:hint="eastAsia"/>
                      <w:bCs/>
                      <w:szCs w:val="21"/>
                      <w:lang w:val="en-US" w:eastAsia="zh-CN"/>
                    </w:rPr>
                    <w:t>1</w:t>
                  </w:r>
                </w:p>
              </w:tc>
              <w:tc>
                <w:tcPr>
                  <w:tcW w:w="795" w:type="pct"/>
                  <w:vAlign w:val="center"/>
                </w:tcPr>
                <w:p>
                  <w:pPr>
                    <w:adjustRightInd w:val="0"/>
                    <w:jc w:val="center"/>
                    <w:rPr>
                      <w:rFonts w:hint="default" w:eastAsia="宋体"/>
                      <w:szCs w:val="21"/>
                      <w:lang w:val="en-US" w:eastAsia="zh-CN"/>
                    </w:rPr>
                  </w:pPr>
                  <w:r>
                    <w:rPr>
                      <w:rFonts w:hint="eastAsia"/>
                      <w:szCs w:val="21"/>
                      <w:lang w:val="en-US" w:eastAsia="zh-CN"/>
                    </w:rPr>
                    <w:t>80</w:t>
                  </w:r>
                </w:p>
              </w:tc>
              <w:tc>
                <w:tcPr>
                  <w:tcW w:w="568" w:type="pct"/>
                  <w:vAlign w:val="center"/>
                </w:tcPr>
                <w:p>
                  <w:pPr>
                    <w:widowControl/>
                    <w:jc w:val="center"/>
                    <w:rPr>
                      <w:rFonts w:hint="default" w:eastAsia="宋体"/>
                      <w:bCs/>
                      <w:szCs w:val="21"/>
                      <w:lang w:val="en-US" w:eastAsia="zh-CN"/>
                    </w:rPr>
                  </w:pPr>
                  <w:r>
                    <w:rPr>
                      <w:rFonts w:hint="eastAsia"/>
                      <w:bCs/>
                      <w:szCs w:val="21"/>
                      <w:lang w:val="en-US" w:eastAsia="zh-CN"/>
                    </w:rPr>
                    <w:t>550</w:t>
                  </w:r>
                </w:p>
              </w:tc>
              <w:tc>
                <w:tcPr>
                  <w:tcW w:w="568" w:type="pct"/>
                  <w:vAlign w:val="center"/>
                </w:tcPr>
                <w:p>
                  <w:pPr>
                    <w:widowControl/>
                    <w:jc w:val="center"/>
                    <w:rPr>
                      <w:rFonts w:hint="eastAsia"/>
                      <w:bCs/>
                      <w:szCs w:val="21"/>
                    </w:rPr>
                  </w:pPr>
                  <w:r>
                    <w:rPr>
                      <w:rFonts w:hint="eastAsia"/>
                      <w:kern w:val="0"/>
                      <w:szCs w:val="21"/>
                      <w:lang w:val="en-US" w:eastAsia="zh-CN"/>
                    </w:rPr>
                    <w:t>15</w:t>
                  </w:r>
                </w:p>
              </w:tc>
              <w:tc>
                <w:tcPr>
                  <w:tcW w:w="568" w:type="pct"/>
                  <w:vAlign w:val="center"/>
                </w:tcPr>
                <w:p>
                  <w:pPr>
                    <w:widowControl/>
                    <w:jc w:val="center"/>
                    <w:rPr>
                      <w:rFonts w:hint="default" w:eastAsia="宋体"/>
                      <w:bCs/>
                      <w:szCs w:val="21"/>
                      <w:lang w:val="en-US" w:eastAsia="zh-CN"/>
                    </w:rPr>
                  </w:pPr>
                  <w:r>
                    <w:rPr>
                      <w:rFonts w:hint="eastAsia"/>
                      <w:bCs/>
                      <w:szCs w:val="21"/>
                      <w:lang w:val="en-US" w:eastAsia="zh-CN"/>
                    </w:rPr>
                    <w:t>320</w:t>
                  </w:r>
                </w:p>
              </w:tc>
              <w:tc>
                <w:tcPr>
                  <w:tcW w:w="699" w:type="pct"/>
                  <w:vAlign w:val="center"/>
                </w:tcPr>
                <w:p>
                  <w:pPr>
                    <w:widowControl/>
                    <w:jc w:val="center"/>
                    <w:rPr>
                      <w:rFonts w:hint="eastAsia"/>
                      <w:bCs/>
                      <w:szCs w:val="21"/>
                    </w:rPr>
                  </w:pPr>
                  <w:r>
                    <w:rPr>
                      <w:rFonts w:hint="eastAsia"/>
                      <w:kern w:val="0"/>
                      <w:szCs w:val="21"/>
                      <w:lang w:val="en-US" w:eastAsia="zh-CN"/>
                    </w:rPr>
                    <w:t>185</w:t>
                  </w:r>
                </w:p>
              </w:tc>
            </w:tr>
          </w:tbl>
          <w:p>
            <w:pPr>
              <w:spacing w:line="360" w:lineRule="auto"/>
              <w:ind w:firstLine="482" w:firstLineChars="200"/>
              <w:rPr>
                <w:rFonts w:hint="eastAsia"/>
                <w:b/>
                <w:bCs/>
                <w:sz w:val="24"/>
                <w:highlight w:val="none"/>
              </w:rPr>
            </w:pPr>
          </w:p>
          <w:p>
            <w:pPr>
              <w:spacing w:line="360" w:lineRule="auto"/>
              <w:ind w:firstLine="482" w:firstLineChars="200"/>
              <w:rPr>
                <w:rFonts w:hint="eastAsia"/>
                <w:b/>
                <w:bCs/>
                <w:sz w:val="24"/>
                <w:highlight w:val="none"/>
              </w:rPr>
            </w:pPr>
          </w:p>
          <w:p>
            <w:pPr>
              <w:spacing w:line="360" w:lineRule="auto"/>
              <w:ind w:firstLine="241" w:firstLineChars="100"/>
              <w:rPr>
                <w:rFonts w:hint="eastAsia" w:eastAsia="宋体"/>
                <w:b/>
                <w:sz w:val="24"/>
                <w:highlight w:val="none"/>
                <w:lang w:eastAsia="zh-CN"/>
              </w:rPr>
            </w:pPr>
            <w:r>
              <w:rPr>
                <w:rFonts w:hint="eastAsia"/>
                <w:b/>
                <w:bCs/>
                <w:sz w:val="24"/>
                <w:highlight w:val="none"/>
              </w:rPr>
              <w:t>3</w:t>
            </w:r>
            <w:r>
              <w:rPr>
                <w:b/>
                <w:bCs/>
                <w:sz w:val="24"/>
                <w:highlight w:val="none"/>
              </w:rPr>
              <w:t>.2</w:t>
            </w:r>
            <w:r>
              <w:rPr>
                <w:rFonts w:hint="eastAsia"/>
                <w:b/>
                <w:bCs/>
                <w:sz w:val="24"/>
                <w:highlight w:val="none"/>
                <w:lang w:val="en-US" w:eastAsia="zh-CN"/>
              </w:rPr>
              <w:t>噪声预测</w:t>
            </w:r>
          </w:p>
          <w:p>
            <w:pPr>
              <w:jc w:val="center"/>
              <w:rPr>
                <w:b/>
              </w:rPr>
            </w:pPr>
            <w:r>
              <w:rPr>
                <w:rFonts w:hint="default" w:ascii="Times New Roman" w:hAnsi="Times New Roman" w:eastAsia="宋体" w:cs="Times New Roman"/>
                <w:b/>
                <w:sz w:val="24"/>
                <w:szCs w:val="24"/>
              </w:rPr>
              <w:t xml:space="preserve">表4-18 </w:t>
            </w:r>
            <w:r>
              <w:rPr>
                <w:rFonts w:hint="eastAsia" w:cs="Times New Roman"/>
                <w:b/>
                <w:sz w:val="24"/>
                <w:szCs w:val="24"/>
                <w:lang w:eastAsia="zh-CN"/>
              </w:rPr>
              <w:t>距离衰减和厂房隔声对各预测点的影响值</w:t>
            </w:r>
            <w:r>
              <w:rPr>
                <w:rFonts w:hint="default" w:ascii="Times New Roman" w:hAnsi="Times New Roman" w:eastAsia="宋体" w:cs="Times New Roman"/>
                <w:b/>
                <w:sz w:val="24"/>
                <w:szCs w:val="24"/>
              </w:rPr>
              <w:t xml:space="preserve"> 单位：dB（A）</w:t>
            </w:r>
          </w:p>
          <w:tbl>
            <w:tblPr>
              <w:tblStyle w:val="36"/>
              <w:tblW w:w="470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1558"/>
              <w:gridCol w:w="1558"/>
              <w:gridCol w:w="1558"/>
              <w:gridCol w:w="15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04" w:type="pct"/>
                  <w:vAlign w:val="center"/>
                </w:tcPr>
                <w:p>
                  <w:pPr>
                    <w:adjustRightInd w:val="0"/>
                    <w:snapToGrid w:val="0"/>
                    <w:jc w:val="center"/>
                    <w:rPr>
                      <w:rFonts w:hint="eastAsia" w:ascii="Times New Roman" w:hAnsi="Times New Roman" w:eastAsia="宋体" w:cs="Times New Roman"/>
                      <w:b/>
                      <w:bCs/>
                      <w:sz w:val="21"/>
                      <w:szCs w:val="21"/>
                      <w:lang w:eastAsia="zh-CN"/>
                    </w:rPr>
                  </w:pPr>
                  <w:r>
                    <w:rPr>
                      <w:rFonts w:hint="eastAsia" w:ascii="Times New Roman" w:hAnsi="Times New Roman" w:cs="Times New Roman"/>
                      <w:b/>
                      <w:bCs/>
                      <w:sz w:val="21"/>
                      <w:szCs w:val="21"/>
                      <w:lang w:eastAsia="zh-CN"/>
                    </w:rPr>
                    <w:t>声源名称</w:t>
                  </w:r>
                </w:p>
              </w:tc>
              <w:tc>
                <w:tcPr>
                  <w:tcW w:w="973" w:type="pct"/>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东</w:t>
                  </w:r>
                </w:p>
              </w:tc>
              <w:tc>
                <w:tcPr>
                  <w:tcW w:w="973" w:type="pct"/>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南</w:t>
                  </w:r>
                </w:p>
              </w:tc>
              <w:tc>
                <w:tcPr>
                  <w:tcW w:w="973" w:type="pct"/>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西</w:t>
                  </w:r>
                </w:p>
              </w:tc>
              <w:tc>
                <w:tcPr>
                  <w:tcW w:w="974" w:type="pct"/>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szCs w:val="21"/>
                    </w:rPr>
                  </w:pPr>
                  <w:r>
                    <w:rPr>
                      <w:rFonts w:hint="eastAsia"/>
                      <w:szCs w:val="22"/>
                      <w:lang w:eastAsia="zh-CN"/>
                    </w:rPr>
                    <w:t>上下机器人系统</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7.0</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37.5</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9.7</w:t>
                  </w:r>
                </w:p>
              </w:tc>
              <w:tc>
                <w:tcPr>
                  <w:tcW w:w="974" w:type="pct"/>
                  <w:vAlign w:val="center"/>
                </w:tcPr>
                <w:p>
                  <w:pPr>
                    <w:widowControl/>
                    <w:jc w:val="center"/>
                    <w:rPr>
                      <w:rFonts w:hint="default" w:eastAsia="宋体"/>
                      <w:kern w:val="0"/>
                      <w:szCs w:val="21"/>
                      <w:lang w:val="en-US" w:eastAsia="zh-CN"/>
                    </w:rPr>
                  </w:pPr>
                  <w:r>
                    <w:rPr>
                      <w:rFonts w:hint="eastAsia"/>
                      <w:kern w:val="0"/>
                      <w:szCs w:val="21"/>
                      <w:lang w:val="en-US" w:eastAsia="zh-CN"/>
                    </w:rPr>
                    <w:t>23.5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szCs w:val="21"/>
                    </w:rPr>
                  </w:pPr>
                  <w:r>
                    <w:rPr>
                      <w:rFonts w:hint="eastAsia"/>
                      <w:szCs w:val="22"/>
                      <w:lang w:eastAsia="zh-CN"/>
                    </w:rPr>
                    <w:t>水平堆垛机</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4.2</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36.2</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11.1</w:t>
                  </w:r>
                </w:p>
              </w:tc>
              <w:tc>
                <w:tcPr>
                  <w:tcW w:w="974" w:type="pct"/>
                  <w:vAlign w:val="center"/>
                </w:tcPr>
                <w:p>
                  <w:pPr>
                    <w:widowControl/>
                    <w:jc w:val="center"/>
                    <w:rPr>
                      <w:rFonts w:hint="default" w:eastAsia="宋体"/>
                      <w:kern w:val="0"/>
                      <w:szCs w:val="21"/>
                      <w:lang w:val="en-US" w:eastAsia="zh-CN"/>
                    </w:rPr>
                  </w:pPr>
                  <w:r>
                    <w:rPr>
                      <w:rFonts w:hint="eastAsia"/>
                      <w:kern w:val="0"/>
                      <w:szCs w:val="21"/>
                      <w:lang w:val="en-US" w:eastAsia="zh-CN"/>
                    </w:rPr>
                    <w:t>22.3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szCs w:val="21"/>
                    </w:rPr>
                  </w:pPr>
                  <w:r>
                    <w:rPr>
                      <w:rFonts w:hint="eastAsia"/>
                      <w:szCs w:val="22"/>
                      <w:lang w:eastAsia="zh-CN"/>
                    </w:rPr>
                    <w:t>激光打孔机</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8.7</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39.5</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15.1</w:t>
                  </w:r>
                </w:p>
              </w:tc>
              <w:tc>
                <w:tcPr>
                  <w:tcW w:w="974" w:type="pct"/>
                  <w:vAlign w:val="center"/>
                </w:tcPr>
                <w:p>
                  <w:pPr>
                    <w:widowControl/>
                    <w:jc w:val="center"/>
                    <w:rPr>
                      <w:rFonts w:hint="default" w:eastAsia="宋体"/>
                      <w:kern w:val="0"/>
                      <w:szCs w:val="21"/>
                      <w:lang w:val="en-US" w:eastAsia="zh-CN"/>
                    </w:rPr>
                  </w:pPr>
                  <w:r>
                    <w:rPr>
                      <w:rFonts w:hint="eastAsia"/>
                      <w:kern w:val="0"/>
                      <w:szCs w:val="21"/>
                      <w:lang w:val="en-US" w:eastAsia="zh-CN"/>
                    </w:rPr>
                    <w:t>25.5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szCs w:val="21"/>
                    </w:rPr>
                  </w:pPr>
                  <w:r>
                    <w:rPr>
                      <w:rFonts w:hint="eastAsia"/>
                      <w:szCs w:val="22"/>
                      <w:lang w:eastAsia="zh-CN"/>
                    </w:rPr>
                    <w:t>清洗机</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5.4</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36.2</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12.0</w:t>
                  </w:r>
                </w:p>
              </w:tc>
              <w:tc>
                <w:tcPr>
                  <w:tcW w:w="974" w:type="pct"/>
                  <w:vAlign w:val="center"/>
                </w:tcPr>
                <w:p>
                  <w:pPr>
                    <w:widowControl/>
                    <w:jc w:val="center"/>
                    <w:rPr>
                      <w:rFonts w:hint="default" w:eastAsia="宋体"/>
                      <w:kern w:val="0"/>
                      <w:szCs w:val="21"/>
                      <w:lang w:val="en-US" w:eastAsia="zh-CN"/>
                    </w:rPr>
                  </w:pPr>
                  <w:r>
                    <w:rPr>
                      <w:rFonts w:hint="eastAsia"/>
                      <w:kern w:val="0"/>
                      <w:szCs w:val="21"/>
                      <w:lang w:val="en-US" w:eastAsia="zh-CN"/>
                    </w:rPr>
                    <w:t>22.3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szCs w:val="21"/>
                    </w:rPr>
                  </w:pPr>
                  <w:r>
                    <w:rPr>
                      <w:rFonts w:hint="eastAsia"/>
                      <w:szCs w:val="22"/>
                      <w:lang w:eastAsia="zh-CN"/>
                    </w:rPr>
                    <w:t>丝网印刷机</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3.5</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34.5</w:t>
                  </w:r>
                </w:p>
              </w:tc>
              <w:tc>
                <w:tcPr>
                  <w:tcW w:w="973" w:type="pct"/>
                  <w:vAlign w:val="center"/>
                </w:tcPr>
                <w:p>
                  <w:pPr>
                    <w:widowControl/>
                    <w:jc w:val="center"/>
                    <w:rPr>
                      <w:rFonts w:hint="default" w:eastAsia="宋体"/>
                      <w:kern w:val="0"/>
                      <w:szCs w:val="21"/>
                      <w:lang w:val="en-US" w:eastAsia="zh-CN"/>
                    </w:rPr>
                  </w:pPr>
                  <w:r>
                    <w:rPr>
                      <w:rFonts w:hint="eastAsia"/>
                      <w:kern w:val="0"/>
                      <w:szCs w:val="21"/>
                      <w:lang w:val="en-US" w:eastAsia="zh-CN"/>
                    </w:rPr>
                    <w:t>10.4</w:t>
                  </w:r>
                </w:p>
              </w:tc>
              <w:tc>
                <w:tcPr>
                  <w:tcW w:w="974" w:type="pct"/>
                  <w:vAlign w:val="center"/>
                </w:tcPr>
                <w:p>
                  <w:pPr>
                    <w:widowControl/>
                    <w:jc w:val="center"/>
                    <w:rPr>
                      <w:rFonts w:hint="default" w:eastAsia="宋体"/>
                      <w:kern w:val="0"/>
                      <w:szCs w:val="21"/>
                      <w:lang w:val="en-US" w:eastAsia="zh-CN"/>
                    </w:rPr>
                  </w:pPr>
                  <w:r>
                    <w:rPr>
                      <w:rFonts w:hint="eastAsia"/>
                      <w:kern w:val="0"/>
                      <w:szCs w:val="21"/>
                      <w:lang w:val="en-US" w:eastAsia="zh-CN"/>
                    </w:rPr>
                    <w:t>20.5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szCs w:val="21"/>
                    </w:rPr>
                  </w:pPr>
                  <w:r>
                    <w:rPr>
                      <w:rFonts w:hint="eastAsia"/>
                      <w:szCs w:val="22"/>
                      <w:lang w:eastAsia="zh-CN"/>
                    </w:rPr>
                    <w:t>烘干机</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5.4</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36.5</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12.6</w:t>
                  </w:r>
                </w:p>
              </w:tc>
              <w:tc>
                <w:tcPr>
                  <w:tcW w:w="974" w:type="pct"/>
                  <w:vAlign w:val="center"/>
                </w:tcPr>
                <w:p>
                  <w:pPr>
                    <w:widowControl/>
                    <w:jc w:val="center"/>
                    <w:rPr>
                      <w:rFonts w:hint="default" w:eastAsia="宋体"/>
                      <w:bCs/>
                      <w:szCs w:val="21"/>
                      <w:lang w:val="en-US" w:eastAsia="zh-CN"/>
                    </w:rPr>
                  </w:pPr>
                  <w:r>
                    <w:rPr>
                      <w:rFonts w:hint="eastAsia"/>
                      <w:bCs/>
                      <w:szCs w:val="21"/>
                      <w:lang w:val="en-US" w:eastAsia="zh-CN"/>
                    </w:rPr>
                    <w:t>22.5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szCs w:val="21"/>
                    </w:rPr>
                  </w:pPr>
                  <w:r>
                    <w:rPr>
                      <w:rFonts w:hint="eastAsia"/>
                      <w:szCs w:val="22"/>
                      <w:lang w:eastAsia="zh-CN"/>
                    </w:rPr>
                    <w:t>钢化炉</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5.4</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36.5</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12.8</w:t>
                  </w:r>
                </w:p>
              </w:tc>
              <w:tc>
                <w:tcPr>
                  <w:tcW w:w="974" w:type="pct"/>
                  <w:vAlign w:val="center"/>
                </w:tcPr>
                <w:p>
                  <w:pPr>
                    <w:widowControl/>
                    <w:jc w:val="center"/>
                    <w:rPr>
                      <w:rFonts w:hint="default" w:eastAsia="宋体"/>
                      <w:bCs/>
                      <w:szCs w:val="21"/>
                      <w:lang w:val="en-US" w:eastAsia="zh-CN"/>
                    </w:rPr>
                  </w:pPr>
                  <w:r>
                    <w:rPr>
                      <w:rFonts w:hint="eastAsia"/>
                      <w:bCs/>
                      <w:szCs w:val="21"/>
                      <w:lang w:val="en-US" w:eastAsia="zh-CN"/>
                    </w:rPr>
                    <w:t>22.5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szCs w:val="21"/>
                    </w:rPr>
                  </w:pPr>
                  <w:r>
                    <w:rPr>
                      <w:rFonts w:hint="eastAsia"/>
                      <w:szCs w:val="22"/>
                      <w:lang w:eastAsia="zh-CN"/>
                    </w:rPr>
                    <w:t>磨边机</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13.9</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44.5</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19.7</w:t>
                  </w:r>
                </w:p>
              </w:tc>
              <w:tc>
                <w:tcPr>
                  <w:tcW w:w="974" w:type="pct"/>
                  <w:vAlign w:val="center"/>
                </w:tcPr>
                <w:p>
                  <w:pPr>
                    <w:widowControl/>
                    <w:jc w:val="center"/>
                    <w:rPr>
                      <w:rFonts w:hint="default" w:eastAsia="宋体"/>
                      <w:bCs/>
                      <w:szCs w:val="21"/>
                      <w:lang w:val="en-US" w:eastAsia="zh-CN"/>
                    </w:rPr>
                  </w:pPr>
                  <w:r>
                    <w:rPr>
                      <w:rFonts w:hint="eastAsia"/>
                      <w:bCs/>
                      <w:szCs w:val="21"/>
                      <w:lang w:val="en-US" w:eastAsia="zh-CN"/>
                    </w:rPr>
                    <w:t>30.5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下片铺纸机</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5.8</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37.5</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11.8</w:t>
                  </w:r>
                </w:p>
              </w:tc>
              <w:tc>
                <w:tcPr>
                  <w:tcW w:w="974" w:type="pct"/>
                  <w:vAlign w:val="center"/>
                </w:tcPr>
                <w:p>
                  <w:pPr>
                    <w:widowControl/>
                    <w:jc w:val="center"/>
                    <w:rPr>
                      <w:rFonts w:hint="default" w:eastAsia="宋体"/>
                      <w:bCs/>
                      <w:szCs w:val="21"/>
                      <w:lang w:val="en-US" w:eastAsia="zh-CN"/>
                    </w:rPr>
                  </w:pPr>
                  <w:r>
                    <w:rPr>
                      <w:rFonts w:hint="eastAsia"/>
                      <w:bCs/>
                      <w:szCs w:val="21"/>
                      <w:lang w:val="en-US" w:eastAsia="zh-CN"/>
                    </w:rPr>
                    <w:t>23.5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szCs w:val="21"/>
                    </w:rPr>
                  </w:pPr>
                  <w:r>
                    <w:rPr>
                      <w:rFonts w:hint="eastAsia"/>
                      <w:szCs w:val="22"/>
                      <w:lang w:eastAsia="zh-CN"/>
                    </w:rPr>
                    <w:t>连线辊道</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0.2</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31.5</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4.9</w:t>
                  </w:r>
                </w:p>
              </w:tc>
              <w:tc>
                <w:tcPr>
                  <w:tcW w:w="974" w:type="pct"/>
                  <w:vAlign w:val="center"/>
                </w:tcPr>
                <w:p>
                  <w:pPr>
                    <w:widowControl/>
                    <w:jc w:val="center"/>
                    <w:rPr>
                      <w:rFonts w:hint="default" w:eastAsia="宋体"/>
                      <w:bCs/>
                      <w:szCs w:val="21"/>
                      <w:lang w:val="en-US" w:eastAsia="zh-CN"/>
                    </w:rPr>
                  </w:pPr>
                  <w:r>
                    <w:rPr>
                      <w:rFonts w:hint="eastAsia"/>
                      <w:bCs/>
                      <w:szCs w:val="21"/>
                      <w:lang w:val="en-US" w:eastAsia="zh-CN"/>
                    </w:rPr>
                    <w:t>17.5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04" w:type="pct"/>
                  <w:vAlign w:val="center"/>
                </w:tcPr>
                <w:p>
                  <w:pPr>
                    <w:widowControl/>
                    <w:adjustRightInd w:val="0"/>
                    <w:snapToGrid w:val="0"/>
                    <w:jc w:val="center"/>
                    <w:textAlignment w:val="center"/>
                    <w:rPr>
                      <w:rFonts w:hint="eastAsia"/>
                      <w:szCs w:val="22"/>
                      <w:lang w:eastAsia="zh-CN"/>
                    </w:rPr>
                  </w:pPr>
                  <w:r>
                    <w:rPr>
                      <w:rFonts w:hint="eastAsia"/>
                      <w:szCs w:val="22"/>
                      <w:lang w:eastAsia="zh-CN"/>
                    </w:rPr>
                    <w:t>总贡献值</w:t>
                  </w:r>
                </w:p>
              </w:tc>
              <w:tc>
                <w:tcPr>
                  <w:tcW w:w="973" w:type="pct"/>
                  <w:vAlign w:val="center"/>
                </w:tcPr>
                <w:p>
                  <w:pPr>
                    <w:widowControl/>
                    <w:jc w:val="center"/>
                    <w:rPr>
                      <w:rFonts w:hint="default"/>
                      <w:bCs/>
                      <w:szCs w:val="21"/>
                      <w:lang w:val="en-US" w:eastAsia="zh-CN"/>
                    </w:rPr>
                  </w:pPr>
                  <w:r>
                    <w:rPr>
                      <w:rFonts w:hint="eastAsia"/>
                      <w:bCs/>
                      <w:szCs w:val="21"/>
                      <w:lang w:val="en-US" w:eastAsia="zh-CN"/>
                    </w:rPr>
                    <w:t>21.6</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48.4</w:t>
                  </w:r>
                </w:p>
              </w:tc>
              <w:tc>
                <w:tcPr>
                  <w:tcW w:w="973" w:type="pct"/>
                  <w:vAlign w:val="center"/>
                </w:tcPr>
                <w:p>
                  <w:pPr>
                    <w:widowControl/>
                    <w:jc w:val="center"/>
                    <w:rPr>
                      <w:rFonts w:hint="default" w:eastAsia="宋体"/>
                      <w:bCs/>
                      <w:szCs w:val="21"/>
                      <w:lang w:val="en-US" w:eastAsia="zh-CN"/>
                    </w:rPr>
                  </w:pPr>
                  <w:r>
                    <w:rPr>
                      <w:rFonts w:hint="eastAsia"/>
                      <w:bCs/>
                      <w:szCs w:val="21"/>
                      <w:lang w:val="en-US" w:eastAsia="zh-CN"/>
                    </w:rPr>
                    <w:t>25.0</w:t>
                  </w:r>
                </w:p>
              </w:tc>
              <w:tc>
                <w:tcPr>
                  <w:tcW w:w="974" w:type="pct"/>
                  <w:vAlign w:val="center"/>
                </w:tcPr>
                <w:p>
                  <w:pPr>
                    <w:widowControl/>
                    <w:jc w:val="center"/>
                    <w:rPr>
                      <w:rFonts w:hint="default" w:eastAsia="宋体"/>
                      <w:bCs/>
                      <w:szCs w:val="21"/>
                      <w:lang w:val="en-US" w:eastAsia="zh-CN"/>
                    </w:rPr>
                  </w:pPr>
                  <w:r>
                    <w:rPr>
                      <w:rFonts w:hint="eastAsia"/>
                      <w:bCs/>
                      <w:szCs w:val="21"/>
                      <w:lang w:val="en-US" w:eastAsia="zh-CN"/>
                    </w:rPr>
                    <w:t>34.5</w:t>
                  </w:r>
                </w:p>
              </w:tc>
            </w:tr>
          </w:tbl>
          <w:p>
            <w:pPr>
              <w:adjustRightInd w:val="0"/>
              <w:snapToGrid w:val="0"/>
              <w:spacing w:line="360" w:lineRule="auto"/>
              <w:rPr>
                <w:rFonts w:hint="default" w:eastAsia="宋体"/>
                <w:sz w:val="24"/>
                <w:lang w:val="en-US" w:eastAsia="zh-CN"/>
              </w:rPr>
            </w:pPr>
            <w:r>
              <w:rPr>
                <w:rFonts w:hint="eastAsia"/>
                <w:sz w:val="24"/>
                <w:lang w:val="en-US" w:eastAsia="zh-CN"/>
              </w:rPr>
              <w:t xml:space="preserve"> </w:t>
            </w:r>
          </w:p>
          <w:p>
            <w:pPr>
              <w:adjustRightInd w:val="0"/>
              <w:snapToGrid w:val="0"/>
              <w:spacing w:line="360" w:lineRule="auto"/>
              <w:ind w:firstLine="241" w:firstLineChars="100"/>
              <w:rPr>
                <w:rFonts w:hint="eastAsia"/>
                <w:sz w:val="24"/>
              </w:rPr>
            </w:pPr>
            <w:r>
              <w:rPr>
                <w:rFonts w:hint="eastAsia"/>
                <w:b/>
                <w:bCs/>
                <w:sz w:val="24"/>
                <w:highlight w:val="none"/>
              </w:rPr>
              <w:t>3</w:t>
            </w:r>
            <w:r>
              <w:rPr>
                <w:b/>
                <w:bCs/>
                <w:sz w:val="24"/>
                <w:highlight w:val="none"/>
              </w:rPr>
              <w:t>.</w:t>
            </w:r>
            <w:r>
              <w:rPr>
                <w:rFonts w:hint="eastAsia" w:ascii="Times New Roman" w:hAnsi="Times New Roman" w:cs="Times New Roman"/>
                <w:b/>
                <w:bCs/>
                <w:sz w:val="24"/>
                <w:highlight w:val="none"/>
                <w:lang w:val="en-US" w:eastAsia="zh-CN"/>
              </w:rPr>
              <w:t>3</w:t>
            </w:r>
            <w:r>
              <w:rPr>
                <w:rFonts w:hint="eastAsia" w:ascii="Times New Roman" w:hAnsi="Times New Roman" w:cs="Times New Roman"/>
                <w:b/>
                <w:bCs/>
                <w:sz w:val="24"/>
                <w:highlight w:val="none"/>
              </w:rPr>
              <w:t>达标分析</w:t>
            </w:r>
            <w:r>
              <w:rPr>
                <w:rFonts w:hint="eastAsia" w:ascii="Times New Roman" w:hAnsi="Times New Roman" w:cs="Times New Roman"/>
                <w:b/>
                <w:bCs/>
                <w:sz w:val="24"/>
                <w:highlight w:val="none"/>
              </w:rPr>
              <w:tab/>
            </w:r>
          </w:p>
          <w:p>
            <w:pPr>
              <w:adjustRightInd w:val="0"/>
              <w:snapToGrid w:val="0"/>
              <w:spacing w:line="360" w:lineRule="auto"/>
              <w:ind w:firstLine="480" w:firstLineChars="200"/>
              <w:rPr>
                <w:rFonts w:hint="eastAsia"/>
                <w:kern w:val="0"/>
                <w:sz w:val="24"/>
              </w:rPr>
            </w:pPr>
            <w:r>
              <w:rPr>
                <w:rFonts w:hint="eastAsia"/>
                <w:sz w:val="24"/>
              </w:rPr>
              <w:t>根据上述预测结果，</w:t>
            </w:r>
            <w:r>
              <w:rPr>
                <w:rFonts w:hint="eastAsia"/>
                <w:sz w:val="24"/>
                <w:lang w:eastAsia="zh-CN"/>
              </w:rPr>
              <w:t>本项目主要噪声设备经距离衰减和厂房隔声后，到南、西、北、东面厂</w:t>
            </w:r>
            <w:r>
              <w:rPr>
                <w:rFonts w:hint="eastAsia" w:ascii="Times New Roman" w:hAnsi="Times New Roman" w:cs="Times New Roman"/>
                <w:sz w:val="24"/>
                <w:lang w:eastAsia="zh-CN"/>
              </w:rPr>
              <w:t>界时影响数值在</w:t>
            </w:r>
            <w:r>
              <w:rPr>
                <w:rFonts w:hint="eastAsia" w:ascii="Times New Roman" w:hAnsi="Times New Roman" w:cs="Times New Roman"/>
                <w:sz w:val="24"/>
                <w:lang w:val="en-US" w:eastAsia="zh-CN"/>
              </w:rPr>
              <w:t>21.6~48.4</w:t>
            </w:r>
            <w:r>
              <w:rPr>
                <w:rFonts w:hint="default" w:ascii="Times New Roman" w:hAnsi="Times New Roman" w:cs="Times New Roman"/>
                <w:sz w:val="24"/>
              </w:rPr>
              <w:t>dB（A）</w:t>
            </w:r>
            <w:r>
              <w:rPr>
                <w:rFonts w:hint="eastAsia" w:ascii="Times New Roman" w:hAnsi="Times New Roman" w:cs="Times New Roman"/>
                <w:sz w:val="24"/>
                <w:lang w:eastAsia="zh-CN"/>
              </w:rPr>
              <w:t>之间。</w:t>
            </w:r>
            <w:r>
              <w:rPr>
                <w:rFonts w:hint="eastAsia" w:ascii="Times New Roman" w:hAnsi="Times New Roman" w:cs="Times New Roman"/>
                <w:sz w:val="24"/>
              </w:rPr>
              <w:t>本项目</w:t>
            </w:r>
            <w:r>
              <w:rPr>
                <w:rFonts w:hint="eastAsia"/>
                <w:kern w:val="0"/>
                <w:sz w:val="24"/>
              </w:rPr>
              <w:t>厂界昼间</w:t>
            </w:r>
            <w:r>
              <w:rPr>
                <w:rFonts w:hint="eastAsia"/>
                <w:kern w:val="0"/>
                <w:sz w:val="24"/>
                <w:lang w:val="en-US" w:eastAsia="zh-CN"/>
              </w:rPr>
              <w:t>夜间</w:t>
            </w:r>
            <w:r>
              <w:rPr>
                <w:rFonts w:hint="eastAsia"/>
                <w:kern w:val="0"/>
                <w:sz w:val="24"/>
              </w:rPr>
              <w:t>噪声</w:t>
            </w:r>
            <w:r>
              <w:rPr>
                <w:rFonts w:hint="eastAsia"/>
                <w:sz w:val="24"/>
              </w:rPr>
              <w:t>能达到</w:t>
            </w:r>
            <w:r>
              <w:rPr>
                <w:rFonts w:hint="eastAsia"/>
                <w:kern w:val="0"/>
                <w:sz w:val="24"/>
              </w:rPr>
              <w:t>《</w:t>
            </w:r>
            <w:r>
              <w:rPr>
                <w:rFonts w:hint="eastAsia" w:ascii="宋体" w:hAnsi="宋体"/>
                <w:sz w:val="24"/>
              </w:rPr>
              <w:t>工业企业厂界环境噪声排放标准</w:t>
            </w:r>
            <w:r>
              <w:rPr>
                <w:rFonts w:hint="eastAsia"/>
                <w:kern w:val="0"/>
                <w:sz w:val="24"/>
              </w:rPr>
              <w:t>》（GB12348-2008）中的</w:t>
            </w:r>
            <w:r>
              <w:rPr>
                <w:rFonts w:hint="eastAsia"/>
                <w:kern w:val="0"/>
                <w:sz w:val="24"/>
                <w:lang w:val="en-US" w:eastAsia="zh-CN"/>
              </w:rPr>
              <w:t>2</w:t>
            </w:r>
            <w:r>
              <w:rPr>
                <w:rFonts w:hint="eastAsia"/>
                <w:kern w:val="0"/>
                <w:sz w:val="24"/>
              </w:rPr>
              <w:t>类标准。为确保本项目噪声达标排放，要求建设单位采取以下措施：</w:t>
            </w:r>
          </w:p>
          <w:p>
            <w:pPr>
              <w:adjustRightInd w:val="0"/>
              <w:snapToGrid w:val="0"/>
              <w:spacing w:line="360" w:lineRule="auto"/>
              <w:ind w:firstLine="480" w:firstLineChars="200"/>
              <w:rPr>
                <w:rFonts w:hint="eastAsia"/>
                <w:sz w:val="24"/>
              </w:rPr>
            </w:pPr>
            <w:r>
              <w:rPr>
                <w:sz w:val="24"/>
              </w:rPr>
              <w:t>尽可能选择低噪声设备；合理布局车间内生产设备；加强设备的维护，确保设备处于良好的运转状态，杜绝因设备不正常运转时产生的高噪声现象；对高噪声设备采取适当减振降噪措施。</w:t>
            </w:r>
          </w:p>
          <w:p>
            <w:pPr>
              <w:spacing w:line="360" w:lineRule="auto"/>
              <w:ind w:firstLine="480" w:firstLineChars="200"/>
              <w:rPr>
                <w:rFonts w:hint="eastAsia"/>
                <w:sz w:val="24"/>
              </w:rPr>
            </w:pPr>
            <w:r>
              <w:rPr>
                <w:rFonts w:hint="eastAsia"/>
                <w:sz w:val="24"/>
              </w:rPr>
              <w:t>经采取上述噪声防治措施后，预计本项目厂界噪声排放能达到相应标准。且项目周边50m范围内无声环境保护目标，不会对周边声环境造成不利影响。</w:t>
            </w:r>
          </w:p>
          <w:p>
            <w:pPr>
              <w:adjustRightInd w:val="0"/>
              <w:snapToGrid w:val="0"/>
              <w:spacing w:line="360" w:lineRule="auto"/>
              <w:ind w:firstLine="241" w:firstLineChars="100"/>
              <w:rPr>
                <w:rFonts w:hint="eastAsia" w:ascii="Times New Roman" w:hAnsi="Times New Roman" w:cs="Times New Roman"/>
                <w:b/>
                <w:bCs/>
                <w:sz w:val="24"/>
                <w:highlight w:val="none"/>
              </w:rPr>
            </w:pPr>
            <w:r>
              <w:rPr>
                <w:rFonts w:hint="eastAsia" w:ascii="Times New Roman" w:hAnsi="Times New Roman" w:cs="Times New Roman"/>
                <w:b/>
                <w:bCs/>
                <w:sz w:val="24"/>
                <w:highlight w:val="none"/>
                <w:lang w:val="en-US" w:eastAsia="zh-CN"/>
              </w:rPr>
              <w:t>3.4</w:t>
            </w:r>
            <w:r>
              <w:rPr>
                <w:rFonts w:hint="eastAsia" w:ascii="Times New Roman" w:hAnsi="Times New Roman" w:cs="Times New Roman"/>
                <w:b/>
                <w:bCs/>
                <w:sz w:val="24"/>
                <w:highlight w:val="none"/>
              </w:rPr>
              <w:t>监测计划</w:t>
            </w:r>
          </w:p>
          <w:p>
            <w:pPr>
              <w:adjustRightInd w:val="0"/>
              <w:snapToGrid w:val="0"/>
              <w:spacing w:line="360" w:lineRule="auto"/>
              <w:ind w:firstLine="480" w:firstLineChars="200"/>
              <w:rPr>
                <w:rFonts w:hint="eastAsia"/>
                <w:color w:val="FF0000"/>
                <w:sz w:val="24"/>
              </w:rPr>
            </w:pPr>
            <w:r>
              <w:rPr>
                <w:rFonts w:hint="eastAsia"/>
                <w:sz w:val="24"/>
              </w:rPr>
              <w:t>根据《排污单位自行监测技术指南 总则》（</w:t>
            </w:r>
            <w:r>
              <w:rPr>
                <w:sz w:val="24"/>
              </w:rPr>
              <w:t>HJ 819-2017</w:t>
            </w:r>
            <w:r>
              <w:rPr>
                <w:rFonts w:hint="eastAsia"/>
                <w:sz w:val="24"/>
              </w:rPr>
              <w:t>）中的相关规定，</w:t>
            </w:r>
            <w:r>
              <w:rPr>
                <w:sz w:val="24"/>
              </w:rPr>
              <w:t>本项目营运期</w:t>
            </w:r>
            <w:r>
              <w:rPr>
                <w:rFonts w:hint="eastAsia"/>
                <w:sz w:val="24"/>
              </w:rPr>
              <w:t>噪声</w:t>
            </w:r>
            <w:r>
              <w:rPr>
                <w:sz w:val="24"/>
              </w:rPr>
              <w:t>监测计划见表4-</w:t>
            </w:r>
            <w:r>
              <w:rPr>
                <w:rFonts w:hint="eastAsia"/>
                <w:sz w:val="24"/>
                <w:lang w:val="en-US" w:eastAsia="zh-CN"/>
              </w:rPr>
              <w:t>19</w:t>
            </w:r>
            <w:r>
              <w:rPr>
                <w:sz w:val="24"/>
              </w:rPr>
              <w:t>。</w:t>
            </w:r>
          </w:p>
          <w:p>
            <w:pPr>
              <w:adjustRightInd w:val="0"/>
              <w:snapToGrid w:val="0"/>
              <w:jc w:val="center"/>
              <w:rPr>
                <w:rFonts w:hint="eastAsia"/>
                <w:b/>
                <w:szCs w:val="21"/>
              </w:rPr>
            </w:pPr>
            <w:r>
              <w:rPr>
                <w:rFonts w:hint="eastAsia"/>
                <w:b/>
                <w:szCs w:val="21"/>
              </w:rPr>
              <w:t>表4-</w:t>
            </w:r>
            <w:r>
              <w:rPr>
                <w:rFonts w:hint="eastAsia"/>
                <w:b/>
                <w:szCs w:val="21"/>
                <w:lang w:val="en-US" w:eastAsia="zh-CN"/>
              </w:rPr>
              <w:t>19</w:t>
            </w:r>
            <w:r>
              <w:rPr>
                <w:rFonts w:hint="eastAsia"/>
                <w:b/>
                <w:szCs w:val="21"/>
              </w:rPr>
              <w:t xml:space="preserve"> 噪声监测计划</w:t>
            </w:r>
          </w:p>
          <w:tbl>
            <w:tblPr>
              <w:tblStyle w:val="36"/>
              <w:tblW w:w="8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1559"/>
              <w:gridCol w:w="1297"/>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2" w:type="dxa"/>
                  <w:noWrap w:val="0"/>
                  <w:vAlign w:val="center"/>
                </w:tcPr>
                <w:p>
                  <w:pPr>
                    <w:pStyle w:val="171"/>
                    <w:adjustRightInd w:val="0"/>
                    <w:snapToGrid w:val="0"/>
                    <w:spacing w:line="240" w:lineRule="auto"/>
                    <w:rPr>
                      <w:sz w:val="21"/>
                      <w:szCs w:val="21"/>
                    </w:rPr>
                  </w:pPr>
                  <w:r>
                    <w:rPr>
                      <w:sz w:val="21"/>
                      <w:szCs w:val="21"/>
                    </w:rPr>
                    <w:t>监测点位</w:t>
                  </w:r>
                </w:p>
              </w:tc>
              <w:tc>
                <w:tcPr>
                  <w:tcW w:w="1559" w:type="dxa"/>
                  <w:noWrap w:val="0"/>
                  <w:vAlign w:val="center"/>
                </w:tcPr>
                <w:p>
                  <w:pPr>
                    <w:pStyle w:val="171"/>
                    <w:adjustRightInd w:val="0"/>
                    <w:snapToGrid w:val="0"/>
                    <w:spacing w:line="240" w:lineRule="auto"/>
                    <w:rPr>
                      <w:sz w:val="21"/>
                      <w:szCs w:val="21"/>
                    </w:rPr>
                  </w:pPr>
                  <w:r>
                    <w:rPr>
                      <w:sz w:val="21"/>
                      <w:szCs w:val="21"/>
                    </w:rPr>
                    <w:t>监测指标</w:t>
                  </w:r>
                </w:p>
              </w:tc>
              <w:tc>
                <w:tcPr>
                  <w:tcW w:w="1297" w:type="dxa"/>
                  <w:noWrap w:val="0"/>
                  <w:vAlign w:val="center"/>
                </w:tcPr>
                <w:p>
                  <w:pPr>
                    <w:pStyle w:val="171"/>
                    <w:adjustRightInd w:val="0"/>
                    <w:snapToGrid w:val="0"/>
                    <w:spacing w:line="240" w:lineRule="auto"/>
                    <w:rPr>
                      <w:sz w:val="21"/>
                      <w:szCs w:val="21"/>
                    </w:rPr>
                  </w:pPr>
                  <w:r>
                    <w:rPr>
                      <w:sz w:val="21"/>
                      <w:szCs w:val="21"/>
                    </w:rPr>
                    <w:t>监测频次</w:t>
                  </w:r>
                </w:p>
              </w:tc>
              <w:tc>
                <w:tcPr>
                  <w:tcW w:w="3967" w:type="dxa"/>
                  <w:noWrap w:val="0"/>
                  <w:vAlign w:val="center"/>
                </w:tcPr>
                <w:p>
                  <w:pPr>
                    <w:pStyle w:val="171"/>
                    <w:adjustRightInd w:val="0"/>
                    <w:snapToGrid w:val="0"/>
                    <w:spacing w:line="240" w:lineRule="auto"/>
                    <w:rPr>
                      <w:sz w:val="21"/>
                      <w:szCs w:val="21"/>
                    </w:rPr>
                  </w:pPr>
                  <w:r>
                    <w:rPr>
                      <w:sz w:val="21"/>
                      <w:szCs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2" w:type="dxa"/>
                  <w:noWrap w:val="0"/>
                  <w:vAlign w:val="center"/>
                </w:tcPr>
                <w:p>
                  <w:pPr>
                    <w:pStyle w:val="171"/>
                    <w:adjustRightInd w:val="0"/>
                    <w:snapToGrid w:val="0"/>
                    <w:spacing w:line="240" w:lineRule="auto"/>
                    <w:rPr>
                      <w:sz w:val="21"/>
                      <w:szCs w:val="21"/>
                    </w:rPr>
                  </w:pPr>
                  <w:r>
                    <w:rPr>
                      <w:rFonts w:hint="eastAsia"/>
                      <w:sz w:val="21"/>
                      <w:szCs w:val="21"/>
                    </w:rPr>
                    <w:t>厂界</w:t>
                  </w:r>
                </w:p>
              </w:tc>
              <w:tc>
                <w:tcPr>
                  <w:tcW w:w="1559" w:type="dxa"/>
                  <w:noWrap w:val="0"/>
                  <w:vAlign w:val="center"/>
                </w:tcPr>
                <w:p>
                  <w:pPr>
                    <w:pStyle w:val="171"/>
                    <w:adjustRightInd w:val="0"/>
                    <w:snapToGrid w:val="0"/>
                    <w:spacing w:line="240" w:lineRule="auto"/>
                    <w:rPr>
                      <w:rFonts w:hint="eastAsia"/>
                      <w:sz w:val="21"/>
                      <w:szCs w:val="21"/>
                    </w:rPr>
                  </w:pPr>
                  <w:r>
                    <w:rPr>
                      <w:rFonts w:hint="eastAsia"/>
                      <w:sz w:val="21"/>
                      <w:szCs w:val="21"/>
                    </w:rPr>
                    <w:t>昼间Leq（A）</w:t>
                  </w:r>
                </w:p>
              </w:tc>
              <w:tc>
                <w:tcPr>
                  <w:tcW w:w="1297" w:type="dxa"/>
                  <w:noWrap w:val="0"/>
                  <w:vAlign w:val="center"/>
                </w:tcPr>
                <w:p>
                  <w:pPr>
                    <w:pStyle w:val="171"/>
                    <w:adjustRightInd w:val="0"/>
                    <w:snapToGrid w:val="0"/>
                    <w:spacing w:line="240" w:lineRule="auto"/>
                    <w:rPr>
                      <w:rFonts w:hint="eastAsia"/>
                      <w:sz w:val="21"/>
                      <w:szCs w:val="21"/>
                    </w:rPr>
                  </w:pPr>
                  <w:r>
                    <w:rPr>
                      <w:rFonts w:hint="eastAsia"/>
                      <w:sz w:val="21"/>
                      <w:szCs w:val="21"/>
                    </w:rPr>
                    <w:t>1</w:t>
                  </w:r>
                  <w:r>
                    <w:rPr>
                      <w:sz w:val="21"/>
                      <w:szCs w:val="21"/>
                    </w:rPr>
                    <w:t>次</w:t>
                  </w:r>
                  <w:r>
                    <w:rPr>
                      <w:rFonts w:hint="eastAsia"/>
                      <w:sz w:val="21"/>
                      <w:szCs w:val="21"/>
                    </w:rPr>
                    <w:t>/季度</w:t>
                  </w:r>
                </w:p>
              </w:tc>
              <w:tc>
                <w:tcPr>
                  <w:tcW w:w="3967" w:type="dxa"/>
                  <w:noWrap w:val="0"/>
                  <w:vAlign w:val="center"/>
                </w:tcPr>
                <w:p>
                  <w:pPr>
                    <w:pStyle w:val="171"/>
                    <w:adjustRightInd w:val="0"/>
                    <w:snapToGrid w:val="0"/>
                    <w:spacing w:line="240" w:lineRule="auto"/>
                    <w:rPr>
                      <w:rFonts w:hint="eastAsia"/>
                      <w:sz w:val="21"/>
                      <w:szCs w:val="21"/>
                    </w:rPr>
                  </w:pPr>
                  <w:r>
                    <w:rPr>
                      <w:rFonts w:hint="eastAsia"/>
                      <w:sz w:val="21"/>
                      <w:szCs w:val="21"/>
                    </w:rPr>
                    <w:t>《</w:t>
                  </w:r>
                  <w:r>
                    <w:rPr>
                      <w:rFonts w:hint="eastAsia" w:ascii="宋体" w:hAnsi="宋体"/>
                      <w:sz w:val="21"/>
                      <w:szCs w:val="21"/>
                    </w:rPr>
                    <w:t>工业企业厂界环境噪声排放标准</w:t>
                  </w:r>
                  <w:r>
                    <w:rPr>
                      <w:rFonts w:hint="eastAsia"/>
                      <w:sz w:val="21"/>
                      <w:szCs w:val="21"/>
                    </w:rPr>
                    <w:t>》（GB12348-2008）中的</w:t>
                  </w:r>
                  <w:r>
                    <w:rPr>
                      <w:rFonts w:hint="eastAsia"/>
                      <w:sz w:val="21"/>
                      <w:szCs w:val="21"/>
                      <w:lang w:val="en-US" w:eastAsia="zh-CN"/>
                    </w:rPr>
                    <w:t>2</w:t>
                  </w:r>
                  <w:r>
                    <w:rPr>
                      <w:rFonts w:hint="eastAsia"/>
                      <w:sz w:val="21"/>
                      <w:szCs w:val="21"/>
                    </w:rPr>
                    <w:t>类标准</w:t>
                  </w:r>
                </w:p>
              </w:tc>
            </w:tr>
          </w:tbl>
          <w:p>
            <w:pPr>
              <w:spacing w:line="360" w:lineRule="auto"/>
              <w:ind w:firstLine="482" w:firstLineChars="200"/>
              <w:rPr>
                <w:b/>
                <w:bCs/>
                <w:sz w:val="24"/>
              </w:rPr>
            </w:pPr>
            <w:r>
              <w:rPr>
                <w:rFonts w:hint="eastAsia"/>
                <w:b/>
                <w:bCs/>
                <w:sz w:val="24"/>
                <w:lang w:val="en-US" w:eastAsia="zh-CN"/>
              </w:rPr>
              <w:t>4</w:t>
            </w:r>
            <w:r>
              <w:rPr>
                <w:rFonts w:hint="eastAsia"/>
                <w:b/>
                <w:bCs/>
                <w:sz w:val="24"/>
              </w:rPr>
              <w:t>、</w:t>
            </w:r>
            <w:r>
              <w:rPr>
                <w:b/>
                <w:bCs/>
                <w:sz w:val="24"/>
              </w:rPr>
              <w:t>固体废弃物</w:t>
            </w:r>
          </w:p>
          <w:p>
            <w:pPr>
              <w:adjustRightInd w:val="0"/>
              <w:snapToGrid w:val="0"/>
              <w:spacing w:line="360" w:lineRule="auto"/>
              <w:ind w:firstLine="482" w:firstLineChars="200"/>
              <w:rPr>
                <w:b/>
                <w:bCs/>
                <w:sz w:val="24"/>
                <w:szCs w:val="20"/>
              </w:rPr>
            </w:pPr>
            <w:r>
              <w:rPr>
                <w:rFonts w:hint="eastAsia"/>
                <w:b/>
                <w:bCs/>
                <w:sz w:val="24"/>
                <w:szCs w:val="20"/>
                <w:lang w:val="en-US" w:eastAsia="zh-CN"/>
              </w:rPr>
              <w:t>4</w:t>
            </w:r>
            <w:r>
              <w:rPr>
                <w:b/>
                <w:bCs/>
                <w:sz w:val="24"/>
                <w:szCs w:val="20"/>
              </w:rPr>
              <w:t>.1</w:t>
            </w:r>
            <w:r>
              <w:rPr>
                <w:rFonts w:hint="eastAsia"/>
                <w:b/>
                <w:bCs/>
                <w:sz w:val="24"/>
                <w:szCs w:val="20"/>
              </w:rPr>
              <w:t>固废产生情况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本项目固体废物主要为职工生活垃圾、废包装桶、激光切割工序产生的玻璃碎屑、检测工序产生不合格品、收集的粉尘、废水处理沉淀池污泥、废活性炭。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（1）生活垃圾</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本项目员定100人，人均生活垃圾产生量约为0.5kg/d·人，项目年工作数为300天，则生活垃圾产生量为15t/a。生活垃圾主要是废纸、垃圾袋、废塑料等，不含特殊有毒有害物质等，由环保部门统一清运处理。</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60" w:leftChars="0" w:firstLine="480" w:firstLineChars="0"/>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废包装桶：本项目釉料为20kg塑料桶装，经计算，产生废釉料桶3050只/年。根据《周体废物鉴别标准通则》(GB34330-2017)，“任何不需要修复和加工即可用于其原始用途的物质，或者在产生点经过修复和加工后满足国家、地方制定或行业通行的产品质量标准并且用于其原始用途的物质"不作为固体废物管理。本项目废包装桶由供应商回收，不需要修复和加工即可用于其原始用途。故不作为固体废物管理。</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60" w:leftChars="0" w:firstLine="480" w:firstLineChars="0"/>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玻璃碎屑：根据企业提供材料，激光切割工序产生玻璃碎屑约40t/a，收集后外售。</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60" w:leftChars="0" w:firstLine="480" w:firstLineChars="0"/>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不合格品：根据企业提供材料，该部分固废产生量约为662t/a，收集后外售。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0" w:leftChars="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kern w:val="2"/>
                <w:sz w:val="24"/>
                <w:szCs w:val="24"/>
                <w:lang w:val="en-US" w:eastAsia="zh-CN" w:bidi="ar-SA"/>
              </w:rPr>
              <w:t>（6）废水处理沉淀池污泥：根据企业提供材料，废水处理沉淀池污泥产生量约为13t/a，收集后外售。</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eastAsia="宋体" w:cs="Times New Roman"/>
                <w:bCs/>
                <w:kern w:val="2"/>
                <w:sz w:val="24"/>
                <w:szCs w:val="24"/>
                <w:lang w:val="en-US" w:eastAsia="zh-CN" w:bidi="ar-SA"/>
              </w:rPr>
            </w:pPr>
            <w:r>
              <w:rPr>
                <w:rFonts w:hint="default" w:ascii="Times New Roman" w:hAnsi="Times New Roman" w:eastAsia="宋体" w:cs="Times New Roman"/>
                <w:bCs/>
                <w:kern w:val="2"/>
                <w:sz w:val="24"/>
                <w:szCs w:val="24"/>
                <w:lang w:val="en-US" w:eastAsia="zh-CN" w:bidi="ar-SA"/>
              </w:rPr>
              <w:t>（7）废活性炭：活性炭吸附装置的活性炭得定期更换，根据《简明通风设计手册》P510页的有效吸附量：每kg活性炭可吸附0.24kg有机废气，本项目有机废气吸附量为0.966t/a。本项目产生废活性炭</w:t>
            </w:r>
            <w:r>
              <w:rPr>
                <w:rFonts w:hint="eastAsia" w:cs="Times New Roman"/>
                <w:bCs/>
                <w:kern w:val="2"/>
                <w:sz w:val="24"/>
                <w:szCs w:val="24"/>
                <w:lang w:val="en-US" w:eastAsia="zh-CN" w:bidi="ar-SA"/>
              </w:rPr>
              <w:t>3.67t</w:t>
            </w:r>
            <w:r>
              <w:rPr>
                <w:rFonts w:hint="default" w:ascii="Times New Roman" w:hAnsi="Times New Roman" w:eastAsia="宋体" w:cs="Times New Roman"/>
                <w:bCs/>
                <w:kern w:val="2"/>
                <w:sz w:val="24"/>
                <w:szCs w:val="24"/>
                <w:lang w:val="en-US" w:eastAsia="zh-CN" w:bidi="ar-SA"/>
              </w:rPr>
              <w:t>/a。废活性炭属于危废(HW49)，委托有资质单位处理。</w:t>
            </w:r>
          </w:p>
          <w:p>
            <w:pPr>
              <w:pStyle w:val="11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结合上述工程分析，</w:t>
            </w:r>
            <w:r>
              <w:rPr>
                <w:rFonts w:hint="default" w:ascii="Times New Roman" w:hAnsi="Times New Roman" w:eastAsia="宋体" w:cs="Times New Roman"/>
                <w:sz w:val="24"/>
                <w:szCs w:val="24"/>
              </w:rPr>
              <w:t>根据《固体废物鉴别标准通则》（GB34330-2017）</w:t>
            </w:r>
            <w:r>
              <w:rPr>
                <w:rFonts w:hint="default" w:ascii="Times New Roman" w:hAnsi="Times New Roman" w:eastAsia="宋体" w:cs="Times New Roman"/>
                <w:bCs/>
                <w:sz w:val="24"/>
                <w:szCs w:val="24"/>
              </w:rPr>
              <w:t>及《国家危险废物名录》（2021版）进行工业固体废物及危险废物的判定</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本项目建成后固体废物产生及属性情况汇总于表4-</w:t>
            </w:r>
            <w:r>
              <w:rPr>
                <w:rFonts w:hint="default" w:ascii="Times New Roman" w:hAnsi="Times New Roman" w:eastAsia="宋体" w:cs="Times New Roman"/>
                <w:bCs/>
                <w:sz w:val="24"/>
                <w:szCs w:val="24"/>
                <w:lang w:val="en-US" w:eastAsia="zh-CN"/>
              </w:rPr>
              <w:t>20</w:t>
            </w:r>
            <w:r>
              <w:rPr>
                <w:rFonts w:hint="default" w:ascii="Times New Roman" w:hAnsi="Times New Roman" w:eastAsia="宋体" w:cs="Times New Roman"/>
                <w:bCs/>
                <w:sz w:val="24"/>
                <w:szCs w:val="24"/>
              </w:rPr>
              <w:t>；固废危险判定见表4-2</w:t>
            </w:r>
            <w:r>
              <w:rPr>
                <w:rFonts w:hint="default" w:ascii="Times New Roman" w:hAnsi="Times New Roman" w:eastAsia="宋体" w:cs="Times New Roman"/>
                <w:bCs/>
                <w:sz w:val="24"/>
                <w:szCs w:val="24"/>
                <w:lang w:val="en-US" w:eastAsia="zh-CN"/>
              </w:rPr>
              <w:t>1</w:t>
            </w:r>
            <w:r>
              <w:rPr>
                <w:rFonts w:hint="default" w:ascii="Times New Roman" w:hAnsi="Times New Roman" w:eastAsia="宋体" w:cs="Times New Roman"/>
                <w:bCs/>
                <w:sz w:val="24"/>
                <w:szCs w:val="24"/>
              </w:rPr>
              <w:t>，处置方法见表4-2</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w:t>
            </w:r>
          </w:p>
          <w:p>
            <w:pPr>
              <w:pStyle w:val="115"/>
              <w:spacing w:line="240" w:lineRule="auto"/>
              <w:rPr>
                <w:rFonts w:eastAsia="宋体"/>
                <w:b/>
                <w:kern w:val="2"/>
                <w:sz w:val="24"/>
              </w:rPr>
            </w:pPr>
            <w:r>
              <w:rPr>
                <w:rFonts w:eastAsia="宋体"/>
                <w:b/>
                <w:kern w:val="2"/>
                <w:sz w:val="24"/>
              </w:rPr>
              <w:br w:type="textWrapping"/>
            </w:r>
          </w:p>
          <w:p>
            <w:pPr>
              <w:pStyle w:val="115"/>
              <w:spacing w:line="240" w:lineRule="auto"/>
              <w:rPr>
                <w:rFonts w:eastAsia="宋体"/>
                <w:b/>
                <w:kern w:val="2"/>
                <w:sz w:val="24"/>
              </w:rPr>
            </w:pPr>
            <w:r>
              <w:rPr>
                <w:rFonts w:eastAsia="宋体"/>
                <w:b/>
                <w:kern w:val="2"/>
                <w:sz w:val="24"/>
              </w:rPr>
              <w:t>表</w:t>
            </w:r>
            <w:r>
              <w:rPr>
                <w:rFonts w:hint="eastAsia" w:eastAsia="宋体"/>
                <w:b/>
                <w:kern w:val="2"/>
                <w:sz w:val="24"/>
              </w:rPr>
              <w:t>4</w:t>
            </w:r>
            <w:r>
              <w:rPr>
                <w:rFonts w:eastAsia="宋体"/>
                <w:b/>
                <w:kern w:val="2"/>
                <w:sz w:val="24"/>
              </w:rPr>
              <w:t>-</w:t>
            </w:r>
            <w:r>
              <w:rPr>
                <w:rFonts w:hint="eastAsia" w:eastAsia="宋体"/>
                <w:b/>
                <w:kern w:val="2"/>
                <w:sz w:val="24"/>
                <w:lang w:val="en-US" w:eastAsia="zh-CN"/>
              </w:rPr>
              <w:t>20</w:t>
            </w:r>
            <w:r>
              <w:rPr>
                <w:rFonts w:hint="eastAsia" w:eastAsia="宋体"/>
                <w:b/>
                <w:kern w:val="2"/>
                <w:sz w:val="24"/>
              </w:rPr>
              <w:t xml:space="preserve">  </w:t>
            </w:r>
            <w:r>
              <w:rPr>
                <w:rFonts w:eastAsia="宋体"/>
                <w:b/>
                <w:kern w:val="2"/>
                <w:sz w:val="24"/>
              </w:rPr>
              <w:t>项目</w:t>
            </w:r>
            <w:r>
              <w:rPr>
                <w:rFonts w:hint="eastAsia" w:eastAsia="宋体"/>
                <w:b/>
                <w:kern w:val="2"/>
                <w:sz w:val="24"/>
              </w:rPr>
              <w:t>固体废物</w:t>
            </w:r>
            <w:r>
              <w:rPr>
                <w:rFonts w:eastAsia="宋体"/>
                <w:b/>
                <w:kern w:val="2"/>
                <w:sz w:val="24"/>
              </w:rPr>
              <w:t>产生及属性</w:t>
            </w:r>
            <w:r>
              <w:rPr>
                <w:rFonts w:hint="eastAsia" w:eastAsia="宋体"/>
                <w:b/>
                <w:kern w:val="2"/>
                <w:sz w:val="24"/>
              </w:rPr>
              <w:t>判定汇总表</w:t>
            </w:r>
          </w:p>
          <w:tbl>
            <w:tblPr>
              <w:tblStyle w:val="36"/>
              <w:tblW w:w="5000"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0" w:type="dxa"/>
                <w:bottom w:w="0" w:type="dxa"/>
                <w:right w:w="0" w:type="dxa"/>
              </w:tblCellMar>
            </w:tblPr>
            <w:tblGrid>
              <w:gridCol w:w="432"/>
              <w:gridCol w:w="1195"/>
              <w:gridCol w:w="1062"/>
              <w:gridCol w:w="795"/>
              <w:gridCol w:w="1461"/>
              <w:gridCol w:w="1060"/>
              <w:gridCol w:w="930"/>
              <w:gridCol w:w="683"/>
              <w:gridCol w:w="87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0" w:hRule="atLeast"/>
              </w:trPr>
              <w:tc>
                <w:tcPr>
                  <w:tcW w:w="254" w:type="pct"/>
                  <w:vMerge w:val="restart"/>
                  <w:tcBorders>
                    <w:top w:val="single" w:color="auto" w:sz="12" w:space="0"/>
                  </w:tcBorders>
                  <w:vAlign w:val="center"/>
                </w:tcPr>
                <w:p>
                  <w:pPr>
                    <w:widowControl/>
                    <w:jc w:val="center"/>
                    <w:rPr>
                      <w:b/>
                      <w:kern w:val="0"/>
                      <w:szCs w:val="21"/>
                    </w:rPr>
                  </w:pPr>
                  <w:r>
                    <w:rPr>
                      <w:b/>
                      <w:kern w:val="0"/>
                      <w:szCs w:val="21"/>
                    </w:rPr>
                    <w:t>序号</w:t>
                  </w:r>
                </w:p>
              </w:tc>
              <w:tc>
                <w:tcPr>
                  <w:tcW w:w="703" w:type="pct"/>
                  <w:vMerge w:val="restart"/>
                  <w:tcBorders>
                    <w:top w:val="single" w:color="auto" w:sz="12" w:space="0"/>
                  </w:tcBorders>
                  <w:vAlign w:val="center"/>
                </w:tcPr>
                <w:p>
                  <w:pPr>
                    <w:widowControl/>
                    <w:jc w:val="center"/>
                    <w:rPr>
                      <w:b/>
                      <w:kern w:val="0"/>
                      <w:szCs w:val="21"/>
                    </w:rPr>
                  </w:pPr>
                  <w:r>
                    <w:rPr>
                      <w:b/>
                      <w:kern w:val="0"/>
                      <w:szCs w:val="21"/>
                    </w:rPr>
                    <w:t>副产品名称</w:t>
                  </w:r>
                </w:p>
              </w:tc>
              <w:tc>
                <w:tcPr>
                  <w:tcW w:w="625" w:type="pct"/>
                  <w:vMerge w:val="restart"/>
                  <w:tcBorders>
                    <w:top w:val="single" w:color="auto" w:sz="12" w:space="0"/>
                  </w:tcBorders>
                  <w:vAlign w:val="center"/>
                </w:tcPr>
                <w:p>
                  <w:pPr>
                    <w:widowControl/>
                    <w:jc w:val="center"/>
                    <w:rPr>
                      <w:b/>
                      <w:kern w:val="0"/>
                      <w:szCs w:val="21"/>
                    </w:rPr>
                  </w:pPr>
                  <w:r>
                    <w:rPr>
                      <w:b/>
                      <w:kern w:val="0"/>
                      <w:szCs w:val="21"/>
                    </w:rPr>
                    <w:t>产生工序</w:t>
                  </w:r>
                </w:p>
              </w:tc>
              <w:tc>
                <w:tcPr>
                  <w:tcW w:w="468" w:type="pct"/>
                  <w:vMerge w:val="restart"/>
                  <w:tcBorders>
                    <w:top w:val="single" w:color="auto" w:sz="12" w:space="0"/>
                  </w:tcBorders>
                  <w:vAlign w:val="center"/>
                </w:tcPr>
                <w:p>
                  <w:pPr>
                    <w:widowControl/>
                    <w:jc w:val="center"/>
                    <w:rPr>
                      <w:b/>
                      <w:kern w:val="0"/>
                      <w:szCs w:val="21"/>
                    </w:rPr>
                  </w:pPr>
                  <w:r>
                    <w:rPr>
                      <w:b/>
                      <w:kern w:val="0"/>
                      <w:szCs w:val="21"/>
                    </w:rPr>
                    <w:t>形态</w:t>
                  </w:r>
                </w:p>
              </w:tc>
              <w:tc>
                <w:tcPr>
                  <w:tcW w:w="860" w:type="pct"/>
                  <w:vMerge w:val="restart"/>
                  <w:tcBorders>
                    <w:top w:val="single" w:color="auto" w:sz="12" w:space="0"/>
                  </w:tcBorders>
                  <w:vAlign w:val="center"/>
                </w:tcPr>
                <w:p>
                  <w:pPr>
                    <w:widowControl/>
                    <w:jc w:val="center"/>
                    <w:rPr>
                      <w:b/>
                      <w:kern w:val="0"/>
                      <w:szCs w:val="21"/>
                    </w:rPr>
                  </w:pPr>
                  <w:r>
                    <w:rPr>
                      <w:b/>
                      <w:kern w:val="0"/>
                      <w:szCs w:val="21"/>
                    </w:rPr>
                    <w:t>主要成分</w:t>
                  </w:r>
                </w:p>
              </w:tc>
              <w:tc>
                <w:tcPr>
                  <w:tcW w:w="624" w:type="pct"/>
                  <w:vMerge w:val="restart"/>
                  <w:tcBorders>
                    <w:top w:val="single" w:color="auto" w:sz="12" w:space="0"/>
                  </w:tcBorders>
                  <w:vAlign w:val="center"/>
                </w:tcPr>
                <w:p>
                  <w:pPr>
                    <w:widowControl/>
                    <w:jc w:val="center"/>
                    <w:rPr>
                      <w:b/>
                      <w:kern w:val="0"/>
                      <w:szCs w:val="21"/>
                    </w:rPr>
                  </w:pPr>
                  <w:r>
                    <w:rPr>
                      <w:b/>
                      <w:kern w:val="0"/>
                      <w:szCs w:val="21"/>
                    </w:rPr>
                    <w:t>估算产生量</w:t>
                  </w:r>
                </w:p>
                <w:p>
                  <w:pPr>
                    <w:widowControl/>
                    <w:jc w:val="center"/>
                    <w:rPr>
                      <w:b/>
                      <w:kern w:val="0"/>
                      <w:szCs w:val="21"/>
                    </w:rPr>
                  </w:pPr>
                  <w:r>
                    <w:rPr>
                      <w:b/>
                      <w:kern w:val="0"/>
                      <w:szCs w:val="21"/>
                    </w:rPr>
                    <w:t>（t/a）</w:t>
                  </w:r>
                </w:p>
              </w:tc>
              <w:tc>
                <w:tcPr>
                  <w:tcW w:w="1465" w:type="pct"/>
                  <w:gridSpan w:val="3"/>
                  <w:tcBorders>
                    <w:top w:val="single" w:color="auto" w:sz="12" w:space="0"/>
                  </w:tcBorders>
                  <w:vAlign w:val="center"/>
                </w:tcPr>
                <w:p>
                  <w:pPr>
                    <w:widowControl/>
                    <w:jc w:val="center"/>
                    <w:rPr>
                      <w:b/>
                      <w:kern w:val="0"/>
                      <w:szCs w:val="21"/>
                    </w:rPr>
                  </w:pPr>
                  <w:r>
                    <w:rPr>
                      <w:b/>
                      <w:kern w:val="0"/>
                      <w:szCs w:val="21"/>
                    </w:rPr>
                    <w:t>种类判断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75" w:hRule="atLeast"/>
              </w:trPr>
              <w:tc>
                <w:tcPr>
                  <w:tcW w:w="254" w:type="pct"/>
                  <w:vMerge w:val="continue"/>
                  <w:vAlign w:val="center"/>
                </w:tcPr>
                <w:p>
                  <w:pPr>
                    <w:widowControl/>
                    <w:jc w:val="center"/>
                    <w:rPr>
                      <w:b/>
                      <w:kern w:val="0"/>
                      <w:szCs w:val="21"/>
                    </w:rPr>
                  </w:pPr>
                </w:p>
              </w:tc>
              <w:tc>
                <w:tcPr>
                  <w:tcW w:w="703" w:type="pct"/>
                  <w:vMerge w:val="continue"/>
                  <w:vAlign w:val="center"/>
                </w:tcPr>
                <w:p>
                  <w:pPr>
                    <w:widowControl/>
                    <w:jc w:val="center"/>
                    <w:rPr>
                      <w:b/>
                      <w:kern w:val="0"/>
                      <w:szCs w:val="21"/>
                    </w:rPr>
                  </w:pPr>
                </w:p>
              </w:tc>
              <w:tc>
                <w:tcPr>
                  <w:tcW w:w="625" w:type="pct"/>
                  <w:vMerge w:val="continue"/>
                  <w:vAlign w:val="center"/>
                </w:tcPr>
                <w:p>
                  <w:pPr>
                    <w:widowControl/>
                    <w:jc w:val="center"/>
                    <w:rPr>
                      <w:b/>
                      <w:kern w:val="0"/>
                      <w:szCs w:val="21"/>
                    </w:rPr>
                  </w:pPr>
                </w:p>
              </w:tc>
              <w:tc>
                <w:tcPr>
                  <w:tcW w:w="468" w:type="pct"/>
                  <w:vMerge w:val="continue"/>
                  <w:vAlign w:val="center"/>
                </w:tcPr>
                <w:p>
                  <w:pPr>
                    <w:widowControl/>
                    <w:jc w:val="center"/>
                    <w:rPr>
                      <w:b/>
                      <w:kern w:val="0"/>
                      <w:szCs w:val="21"/>
                    </w:rPr>
                  </w:pPr>
                </w:p>
              </w:tc>
              <w:tc>
                <w:tcPr>
                  <w:tcW w:w="860" w:type="pct"/>
                  <w:vMerge w:val="continue"/>
                  <w:vAlign w:val="center"/>
                </w:tcPr>
                <w:p>
                  <w:pPr>
                    <w:widowControl/>
                    <w:jc w:val="center"/>
                    <w:rPr>
                      <w:b/>
                      <w:kern w:val="0"/>
                      <w:szCs w:val="21"/>
                    </w:rPr>
                  </w:pPr>
                </w:p>
              </w:tc>
              <w:tc>
                <w:tcPr>
                  <w:tcW w:w="624" w:type="pct"/>
                  <w:vMerge w:val="continue"/>
                  <w:vAlign w:val="center"/>
                </w:tcPr>
                <w:p>
                  <w:pPr>
                    <w:widowControl/>
                    <w:jc w:val="center"/>
                    <w:rPr>
                      <w:b/>
                      <w:kern w:val="0"/>
                      <w:szCs w:val="21"/>
                    </w:rPr>
                  </w:pPr>
                </w:p>
              </w:tc>
              <w:tc>
                <w:tcPr>
                  <w:tcW w:w="547" w:type="pct"/>
                  <w:vAlign w:val="center"/>
                </w:tcPr>
                <w:p>
                  <w:pPr>
                    <w:widowControl/>
                    <w:jc w:val="center"/>
                    <w:rPr>
                      <w:b/>
                      <w:kern w:val="0"/>
                      <w:szCs w:val="21"/>
                    </w:rPr>
                  </w:pPr>
                  <w:r>
                    <w:rPr>
                      <w:b/>
                      <w:kern w:val="0"/>
                      <w:szCs w:val="21"/>
                    </w:rPr>
                    <w:t>固体废物</w:t>
                  </w:r>
                </w:p>
              </w:tc>
              <w:tc>
                <w:tcPr>
                  <w:tcW w:w="402" w:type="pct"/>
                  <w:vAlign w:val="center"/>
                </w:tcPr>
                <w:p>
                  <w:pPr>
                    <w:widowControl/>
                    <w:jc w:val="center"/>
                    <w:rPr>
                      <w:b/>
                      <w:kern w:val="0"/>
                      <w:szCs w:val="21"/>
                    </w:rPr>
                  </w:pPr>
                  <w:r>
                    <w:rPr>
                      <w:b/>
                      <w:kern w:val="0"/>
                      <w:szCs w:val="21"/>
                    </w:rPr>
                    <w:t>副产品</w:t>
                  </w:r>
                </w:p>
              </w:tc>
              <w:tc>
                <w:tcPr>
                  <w:tcW w:w="517" w:type="pct"/>
                  <w:vAlign w:val="center"/>
                </w:tcPr>
                <w:p>
                  <w:pPr>
                    <w:widowControl/>
                    <w:jc w:val="center"/>
                    <w:rPr>
                      <w:b/>
                      <w:kern w:val="0"/>
                      <w:szCs w:val="21"/>
                    </w:rPr>
                  </w:pPr>
                  <w:r>
                    <w:rPr>
                      <w:b/>
                      <w:kern w:val="0"/>
                      <w:szCs w:val="21"/>
                    </w:rPr>
                    <w:t>判定依据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63" w:hRule="atLeast"/>
              </w:trPr>
              <w:tc>
                <w:tcPr>
                  <w:tcW w:w="431" w:type="dxa"/>
                  <w:vAlign w:val="center"/>
                </w:tcPr>
                <w:p>
                  <w:pPr>
                    <w:widowControl/>
                    <w:jc w:val="center"/>
                    <w:textAlignment w:val="center"/>
                    <w:rPr>
                      <w:bCs/>
                      <w:szCs w:val="21"/>
                    </w:rPr>
                  </w:pPr>
                  <w:r>
                    <w:rPr>
                      <w:color w:val="000000"/>
                      <w:kern w:val="0"/>
                      <w:szCs w:val="21"/>
                    </w:rPr>
                    <w:t>1</w:t>
                  </w:r>
                </w:p>
              </w:tc>
              <w:tc>
                <w:tcPr>
                  <w:tcW w:w="1193" w:type="dxa"/>
                  <w:vAlign w:val="center"/>
                </w:tcPr>
                <w:p>
                  <w:pPr>
                    <w:widowControl/>
                    <w:adjustRightInd w:val="0"/>
                    <w:snapToGrid w:val="0"/>
                    <w:jc w:val="center"/>
                    <w:textAlignment w:val="center"/>
                    <w:rPr>
                      <w:szCs w:val="21"/>
                    </w:rPr>
                  </w:pPr>
                  <w:r>
                    <w:rPr>
                      <w:kern w:val="0"/>
                      <w:szCs w:val="21"/>
                      <w:lang w:bidi="ar"/>
                    </w:rPr>
                    <w:t>生活垃圾</w:t>
                  </w:r>
                </w:p>
              </w:tc>
              <w:tc>
                <w:tcPr>
                  <w:tcW w:w="1060" w:type="dxa"/>
                  <w:vAlign w:val="center"/>
                </w:tcPr>
                <w:p>
                  <w:pPr>
                    <w:widowControl/>
                    <w:adjustRightInd w:val="0"/>
                    <w:snapToGrid w:val="0"/>
                    <w:jc w:val="center"/>
                    <w:textAlignment w:val="center"/>
                    <w:rPr>
                      <w:szCs w:val="21"/>
                    </w:rPr>
                  </w:pPr>
                  <w:r>
                    <w:rPr>
                      <w:kern w:val="0"/>
                      <w:szCs w:val="21"/>
                      <w:lang w:bidi="ar"/>
                    </w:rPr>
                    <w:t>员工生活</w:t>
                  </w:r>
                </w:p>
              </w:tc>
              <w:tc>
                <w:tcPr>
                  <w:tcW w:w="794" w:type="dxa"/>
                  <w:vAlign w:val="center"/>
                </w:tcPr>
                <w:p>
                  <w:pPr>
                    <w:widowControl/>
                    <w:jc w:val="center"/>
                    <w:textAlignment w:val="center"/>
                    <w:rPr>
                      <w:bCs/>
                      <w:szCs w:val="21"/>
                    </w:rPr>
                  </w:pPr>
                  <w:r>
                    <w:rPr>
                      <w:color w:val="000000"/>
                      <w:kern w:val="0"/>
                      <w:szCs w:val="21"/>
                    </w:rPr>
                    <w:t>固态</w:t>
                  </w:r>
                </w:p>
              </w:tc>
              <w:tc>
                <w:tcPr>
                  <w:tcW w:w="1459" w:type="dxa"/>
                  <w:vAlign w:val="center"/>
                </w:tcPr>
                <w:p>
                  <w:pPr>
                    <w:widowControl/>
                    <w:jc w:val="center"/>
                    <w:textAlignment w:val="center"/>
                    <w:rPr>
                      <w:szCs w:val="21"/>
                    </w:rPr>
                  </w:pPr>
                  <w:r>
                    <w:rPr>
                      <w:color w:val="000000"/>
                      <w:szCs w:val="21"/>
                    </w:rPr>
                    <w:t>废纸、垃圾袋</w:t>
                  </w:r>
                </w:p>
              </w:tc>
              <w:tc>
                <w:tcPr>
                  <w:tcW w:w="1059" w:type="dxa"/>
                  <w:vAlign w:val="center"/>
                </w:tcPr>
                <w:p>
                  <w:pPr>
                    <w:widowControl/>
                    <w:jc w:val="center"/>
                    <w:textAlignment w:val="center"/>
                    <w:rPr>
                      <w:rFonts w:hint="default" w:eastAsia="宋体"/>
                      <w:bCs/>
                      <w:szCs w:val="21"/>
                      <w:lang w:val="en-US" w:eastAsia="zh-CN"/>
                    </w:rPr>
                  </w:pPr>
                  <w:r>
                    <w:rPr>
                      <w:rFonts w:hint="eastAsia"/>
                      <w:color w:val="000000"/>
                      <w:szCs w:val="21"/>
                      <w:lang w:val="en-US" w:eastAsia="zh-CN"/>
                    </w:rPr>
                    <w:t>15</w:t>
                  </w:r>
                </w:p>
              </w:tc>
              <w:tc>
                <w:tcPr>
                  <w:tcW w:w="928" w:type="dxa"/>
                  <w:vAlign w:val="center"/>
                </w:tcPr>
                <w:p>
                  <w:pPr>
                    <w:widowControl/>
                    <w:jc w:val="center"/>
                    <w:textAlignment w:val="center"/>
                    <w:rPr>
                      <w:kern w:val="0"/>
                      <w:szCs w:val="21"/>
                    </w:rPr>
                  </w:pPr>
                  <w:r>
                    <w:rPr>
                      <w:color w:val="000000"/>
                      <w:kern w:val="0"/>
                      <w:szCs w:val="21"/>
                    </w:rPr>
                    <w:t>√</w:t>
                  </w:r>
                </w:p>
              </w:tc>
              <w:tc>
                <w:tcPr>
                  <w:tcW w:w="682" w:type="dxa"/>
                  <w:vAlign w:val="center"/>
                </w:tcPr>
                <w:p>
                  <w:pPr>
                    <w:widowControl/>
                    <w:jc w:val="center"/>
                    <w:textAlignment w:val="center"/>
                    <w:rPr>
                      <w:kern w:val="0"/>
                      <w:szCs w:val="21"/>
                    </w:rPr>
                  </w:pPr>
                  <w:r>
                    <w:rPr>
                      <w:color w:val="000000"/>
                      <w:kern w:val="0"/>
                      <w:szCs w:val="21"/>
                    </w:rPr>
                    <w:t>/</w:t>
                  </w:r>
                </w:p>
              </w:tc>
              <w:tc>
                <w:tcPr>
                  <w:tcW w:w="517" w:type="pct"/>
                  <w:vMerge w:val="restart"/>
                  <w:vAlign w:val="center"/>
                </w:tcPr>
                <w:p>
                  <w:pPr>
                    <w:jc w:val="center"/>
                  </w:pPr>
                  <w:r>
                    <w:t>固体废物鉴别标准通则</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63" w:hRule="atLeast"/>
              </w:trPr>
              <w:tc>
                <w:tcPr>
                  <w:tcW w:w="431" w:type="dxa"/>
                  <w:vAlign w:val="center"/>
                </w:tcPr>
                <w:p>
                  <w:pPr>
                    <w:widowControl/>
                    <w:jc w:val="center"/>
                    <w:textAlignment w:val="center"/>
                    <w:rPr>
                      <w:bCs/>
                      <w:szCs w:val="21"/>
                    </w:rPr>
                  </w:pPr>
                  <w:r>
                    <w:rPr>
                      <w:color w:val="000000"/>
                      <w:kern w:val="0"/>
                      <w:szCs w:val="21"/>
                    </w:rPr>
                    <w:t>2</w:t>
                  </w:r>
                </w:p>
              </w:tc>
              <w:tc>
                <w:tcPr>
                  <w:tcW w:w="1193" w:type="dxa"/>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玻璃碎屑</w:t>
                  </w:r>
                </w:p>
              </w:tc>
              <w:tc>
                <w:tcPr>
                  <w:tcW w:w="1060" w:type="dxa"/>
                  <w:vAlign w:val="center"/>
                </w:tcPr>
                <w:p>
                  <w:pPr>
                    <w:widowControl/>
                    <w:adjustRightInd w:val="0"/>
                    <w:snapToGrid w:val="0"/>
                    <w:ind w:firstLine="105" w:firstLineChars="50"/>
                    <w:jc w:val="center"/>
                    <w:textAlignment w:val="center"/>
                    <w:rPr>
                      <w:rFonts w:hint="eastAsia" w:eastAsia="宋体"/>
                      <w:szCs w:val="21"/>
                      <w:lang w:eastAsia="zh-CN"/>
                    </w:rPr>
                  </w:pPr>
                  <w:r>
                    <w:rPr>
                      <w:rFonts w:hint="eastAsia"/>
                      <w:szCs w:val="21"/>
                      <w:lang w:eastAsia="zh-CN"/>
                    </w:rPr>
                    <w:t>激光切割工序</w:t>
                  </w:r>
                </w:p>
              </w:tc>
              <w:tc>
                <w:tcPr>
                  <w:tcW w:w="794" w:type="dxa"/>
                  <w:vAlign w:val="center"/>
                </w:tcPr>
                <w:p>
                  <w:pPr>
                    <w:widowControl/>
                    <w:jc w:val="center"/>
                    <w:textAlignment w:val="center"/>
                    <w:rPr>
                      <w:bCs/>
                      <w:szCs w:val="21"/>
                    </w:rPr>
                  </w:pPr>
                  <w:r>
                    <w:rPr>
                      <w:color w:val="000000"/>
                      <w:kern w:val="0"/>
                      <w:szCs w:val="21"/>
                    </w:rPr>
                    <w:t>固态</w:t>
                  </w:r>
                </w:p>
              </w:tc>
              <w:tc>
                <w:tcPr>
                  <w:tcW w:w="1459" w:type="dxa"/>
                  <w:vAlign w:val="center"/>
                </w:tcPr>
                <w:p>
                  <w:pPr>
                    <w:widowControl/>
                    <w:jc w:val="center"/>
                    <w:textAlignment w:val="center"/>
                    <w:rPr>
                      <w:rFonts w:hint="eastAsia" w:eastAsia="宋体"/>
                      <w:szCs w:val="21"/>
                      <w:lang w:eastAsia="zh-CN"/>
                    </w:rPr>
                  </w:pPr>
                  <w:r>
                    <w:rPr>
                      <w:rFonts w:hint="eastAsia"/>
                      <w:szCs w:val="21"/>
                      <w:lang w:eastAsia="zh-CN"/>
                    </w:rPr>
                    <w:t>玻璃</w:t>
                  </w:r>
                </w:p>
              </w:tc>
              <w:tc>
                <w:tcPr>
                  <w:tcW w:w="1059" w:type="dxa"/>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40</w:t>
                  </w:r>
                </w:p>
              </w:tc>
              <w:tc>
                <w:tcPr>
                  <w:tcW w:w="928" w:type="dxa"/>
                  <w:vAlign w:val="center"/>
                </w:tcPr>
                <w:p>
                  <w:pPr>
                    <w:widowControl/>
                    <w:jc w:val="center"/>
                    <w:textAlignment w:val="center"/>
                    <w:rPr>
                      <w:kern w:val="0"/>
                      <w:szCs w:val="21"/>
                    </w:rPr>
                  </w:pPr>
                  <w:r>
                    <w:rPr>
                      <w:color w:val="000000"/>
                      <w:kern w:val="0"/>
                      <w:szCs w:val="21"/>
                    </w:rPr>
                    <w:t>√</w:t>
                  </w:r>
                </w:p>
              </w:tc>
              <w:tc>
                <w:tcPr>
                  <w:tcW w:w="682" w:type="dxa"/>
                  <w:vAlign w:val="center"/>
                </w:tcPr>
                <w:p>
                  <w:pPr>
                    <w:widowControl/>
                    <w:jc w:val="center"/>
                    <w:textAlignment w:val="center"/>
                    <w:rPr>
                      <w:kern w:val="0"/>
                      <w:szCs w:val="21"/>
                    </w:rPr>
                  </w:pPr>
                  <w:r>
                    <w:rPr>
                      <w:color w:val="000000"/>
                      <w:kern w:val="0"/>
                      <w:szCs w:val="21"/>
                    </w:rPr>
                    <w:t>/</w:t>
                  </w:r>
                </w:p>
              </w:tc>
              <w:tc>
                <w:tcPr>
                  <w:tcW w:w="517" w:type="pct"/>
                  <w:vMerge w:val="continue"/>
                  <w:vAlign w:val="center"/>
                </w:tcPr>
                <w:p>
                  <w:pPr>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95" w:hRule="atLeast"/>
              </w:trPr>
              <w:tc>
                <w:tcPr>
                  <w:tcW w:w="431" w:type="dxa"/>
                  <w:tcBorders>
                    <w:bottom w:val="single" w:color="auto" w:sz="4" w:space="0"/>
                  </w:tcBorders>
                  <w:vAlign w:val="center"/>
                </w:tcPr>
                <w:p>
                  <w:pPr>
                    <w:widowControl/>
                    <w:jc w:val="center"/>
                    <w:textAlignment w:val="center"/>
                    <w:rPr>
                      <w:bCs/>
                      <w:szCs w:val="21"/>
                    </w:rPr>
                  </w:pPr>
                  <w:r>
                    <w:rPr>
                      <w:color w:val="000000"/>
                      <w:kern w:val="0"/>
                      <w:szCs w:val="21"/>
                    </w:rPr>
                    <w:t>3</w:t>
                  </w:r>
                </w:p>
              </w:tc>
              <w:tc>
                <w:tcPr>
                  <w:tcW w:w="1193" w:type="dxa"/>
                  <w:tcBorders>
                    <w:bottom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粉尘</w:t>
                  </w:r>
                </w:p>
              </w:tc>
              <w:tc>
                <w:tcPr>
                  <w:tcW w:w="1060" w:type="dxa"/>
                  <w:tcBorders>
                    <w:bottom w:val="single" w:color="auto" w:sz="4" w:space="0"/>
                  </w:tcBorders>
                  <w:vAlign w:val="center"/>
                </w:tcPr>
                <w:p>
                  <w:pPr>
                    <w:widowControl/>
                    <w:adjustRightInd w:val="0"/>
                    <w:snapToGrid w:val="0"/>
                    <w:ind w:firstLine="105" w:firstLineChars="50"/>
                    <w:jc w:val="center"/>
                    <w:textAlignment w:val="center"/>
                    <w:rPr>
                      <w:rFonts w:hint="eastAsia" w:eastAsia="宋体"/>
                      <w:szCs w:val="21"/>
                      <w:lang w:eastAsia="zh-CN"/>
                    </w:rPr>
                  </w:pPr>
                  <w:r>
                    <w:rPr>
                      <w:rFonts w:hint="eastAsia"/>
                      <w:szCs w:val="21"/>
                      <w:lang w:eastAsia="zh-CN"/>
                    </w:rPr>
                    <w:t>吸尘装置</w:t>
                  </w:r>
                </w:p>
              </w:tc>
              <w:tc>
                <w:tcPr>
                  <w:tcW w:w="794" w:type="dxa"/>
                  <w:tcBorders>
                    <w:bottom w:val="single" w:color="auto" w:sz="4" w:space="0"/>
                  </w:tcBorders>
                  <w:vAlign w:val="center"/>
                </w:tcPr>
                <w:p>
                  <w:pPr>
                    <w:widowControl/>
                    <w:jc w:val="center"/>
                    <w:textAlignment w:val="center"/>
                    <w:rPr>
                      <w:bCs/>
                      <w:szCs w:val="21"/>
                    </w:rPr>
                  </w:pPr>
                  <w:r>
                    <w:rPr>
                      <w:color w:val="000000"/>
                      <w:kern w:val="0"/>
                      <w:szCs w:val="21"/>
                    </w:rPr>
                    <w:t>固态</w:t>
                  </w:r>
                </w:p>
              </w:tc>
              <w:tc>
                <w:tcPr>
                  <w:tcW w:w="1459" w:type="dxa"/>
                  <w:tcBorders>
                    <w:bottom w:val="single" w:color="auto" w:sz="4" w:space="0"/>
                  </w:tcBorders>
                  <w:vAlign w:val="center"/>
                </w:tcPr>
                <w:p>
                  <w:pPr>
                    <w:widowControl/>
                    <w:jc w:val="center"/>
                    <w:textAlignment w:val="center"/>
                    <w:rPr>
                      <w:rFonts w:hint="eastAsia" w:eastAsia="宋体"/>
                      <w:szCs w:val="21"/>
                      <w:lang w:eastAsia="zh-CN"/>
                    </w:rPr>
                  </w:pPr>
                  <w:r>
                    <w:rPr>
                      <w:rFonts w:hint="eastAsia"/>
                      <w:szCs w:val="21"/>
                      <w:lang w:eastAsia="zh-CN"/>
                    </w:rPr>
                    <w:t>硅酸盐</w:t>
                  </w:r>
                </w:p>
              </w:tc>
              <w:tc>
                <w:tcPr>
                  <w:tcW w:w="1059" w:type="dxa"/>
                  <w:tcBorders>
                    <w:bottom w:val="single" w:color="auto" w:sz="4" w:space="0"/>
                  </w:tcBorders>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1.51</w:t>
                  </w:r>
                </w:p>
              </w:tc>
              <w:tc>
                <w:tcPr>
                  <w:tcW w:w="928" w:type="dxa"/>
                  <w:tcBorders>
                    <w:bottom w:val="single" w:color="auto" w:sz="4" w:space="0"/>
                  </w:tcBorders>
                  <w:vAlign w:val="center"/>
                </w:tcPr>
                <w:p>
                  <w:pPr>
                    <w:widowControl/>
                    <w:jc w:val="center"/>
                    <w:textAlignment w:val="center"/>
                    <w:rPr>
                      <w:kern w:val="0"/>
                      <w:szCs w:val="21"/>
                    </w:rPr>
                  </w:pPr>
                  <w:r>
                    <w:rPr>
                      <w:color w:val="000000"/>
                      <w:kern w:val="0"/>
                      <w:szCs w:val="21"/>
                    </w:rPr>
                    <w:t>√</w:t>
                  </w:r>
                </w:p>
              </w:tc>
              <w:tc>
                <w:tcPr>
                  <w:tcW w:w="682" w:type="dxa"/>
                  <w:tcBorders>
                    <w:bottom w:val="single" w:color="auto" w:sz="4" w:space="0"/>
                  </w:tcBorders>
                  <w:vAlign w:val="center"/>
                </w:tcPr>
                <w:p>
                  <w:pPr>
                    <w:widowControl/>
                    <w:jc w:val="center"/>
                    <w:textAlignment w:val="center"/>
                    <w:rPr>
                      <w:kern w:val="0"/>
                      <w:szCs w:val="21"/>
                    </w:rPr>
                  </w:pPr>
                  <w:r>
                    <w:rPr>
                      <w:color w:val="000000"/>
                      <w:kern w:val="0"/>
                      <w:szCs w:val="21"/>
                    </w:rPr>
                    <w:t>/</w:t>
                  </w:r>
                </w:p>
              </w:tc>
              <w:tc>
                <w:tcPr>
                  <w:tcW w:w="517" w:type="pct"/>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02" w:hRule="atLeast"/>
              </w:trPr>
              <w:tc>
                <w:tcPr>
                  <w:tcW w:w="431" w:type="dxa"/>
                  <w:tcBorders>
                    <w:top w:val="single" w:color="auto" w:sz="4" w:space="0"/>
                    <w:bottom w:val="single" w:color="auto" w:sz="4" w:space="0"/>
                  </w:tcBorders>
                  <w:vAlign w:val="center"/>
                </w:tcPr>
                <w:p>
                  <w:pPr>
                    <w:widowControl/>
                    <w:jc w:val="center"/>
                    <w:textAlignment w:val="center"/>
                    <w:rPr>
                      <w:bCs/>
                      <w:szCs w:val="21"/>
                    </w:rPr>
                  </w:pPr>
                  <w:r>
                    <w:rPr>
                      <w:color w:val="000000"/>
                      <w:kern w:val="0"/>
                      <w:szCs w:val="21"/>
                    </w:rPr>
                    <w:t>4</w:t>
                  </w:r>
                </w:p>
              </w:tc>
              <w:tc>
                <w:tcPr>
                  <w:tcW w:w="1193" w:type="dxa"/>
                  <w:tcBorders>
                    <w:top w:val="single" w:color="auto" w:sz="4" w:space="0"/>
                    <w:bottom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废活性炭</w:t>
                  </w:r>
                </w:p>
              </w:tc>
              <w:tc>
                <w:tcPr>
                  <w:tcW w:w="1060" w:type="dxa"/>
                  <w:tcBorders>
                    <w:top w:val="single" w:color="auto" w:sz="4" w:space="0"/>
                    <w:bottom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活性炭吸附</w:t>
                  </w:r>
                </w:p>
              </w:tc>
              <w:tc>
                <w:tcPr>
                  <w:tcW w:w="794" w:type="dxa"/>
                  <w:tcBorders>
                    <w:top w:val="single" w:color="auto" w:sz="4" w:space="0"/>
                    <w:bottom w:val="single" w:color="auto" w:sz="4" w:space="0"/>
                  </w:tcBorders>
                  <w:vAlign w:val="center"/>
                </w:tcPr>
                <w:p>
                  <w:pPr>
                    <w:widowControl/>
                    <w:jc w:val="center"/>
                    <w:textAlignment w:val="center"/>
                    <w:rPr>
                      <w:bCs/>
                      <w:szCs w:val="21"/>
                    </w:rPr>
                  </w:pPr>
                  <w:r>
                    <w:rPr>
                      <w:color w:val="000000"/>
                      <w:kern w:val="0"/>
                      <w:szCs w:val="21"/>
                    </w:rPr>
                    <w:t>固态</w:t>
                  </w:r>
                </w:p>
              </w:tc>
              <w:tc>
                <w:tcPr>
                  <w:tcW w:w="1459" w:type="dxa"/>
                  <w:tcBorders>
                    <w:top w:val="single" w:color="auto" w:sz="4" w:space="0"/>
                    <w:bottom w:val="single" w:color="auto" w:sz="4" w:space="0"/>
                  </w:tcBorders>
                  <w:vAlign w:val="center"/>
                </w:tcPr>
                <w:p>
                  <w:pPr>
                    <w:widowControl/>
                    <w:jc w:val="center"/>
                    <w:textAlignment w:val="center"/>
                    <w:rPr>
                      <w:rFonts w:hint="eastAsia" w:eastAsia="宋体"/>
                      <w:szCs w:val="21"/>
                      <w:lang w:eastAsia="zh-CN"/>
                    </w:rPr>
                  </w:pPr>
                  <w:r>
                    <w:rPr>
                      <w:rFonts w:hint="eastAsia"/>
                      <w:szCs w:val="21"/>
                      <w:lang w:eastAsia="zh-CN"/>
                    </w:rPr>
                    <w:t>废活性炭</w:t>
                  </w:r>
                </w:p>
              </w:tc>
              <w:tc>
                <w:tcPr>
                  <w:tcW w:w="1059" w:type="dxa"/>
                  <w:tcBorders>
                    <w:top w:val="single" w:color="auto" w:sz="4" w:space="0"/>
                    <w:bottom w:val="single" w:color="auto" w:sz="4" w:space="0"/>
                  </w:tcBorders>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3.67</w:t>
                  </w:r>
                </w:p>
              </w:tc>
              <w:tc>
                <w:tcPr>
                  <w:tcW w:w="928" w:type="dxa"/>
                  <w:tcBorders>
                    <w:top w:val="single" w:color="auto" w:sz="4" w:space="0"/>
                    <w:bottom w:val="single" w:color="auto" w:sz="4" w:space="0"/>
                  </w:tcBorders>
                  <w:vAlign w:val="center"/>
                </w:tcPr>
                <w:p>
                  <w:pPr>
                    <w:widowControl/>
                    <w:jc w:val="center"/>
                    <w:textAlignment w:val="center"/>
                    <w:rPr>
                      <w:kern w:val="0"/>
                      <w:szCs w:val="21"/>
                    </w:rPr>
                  </w:pPr>
                  <w:r>
                    <w:rPr>
                      <w:color w:val="000000"/>
                      <w:kern w:val="0"/>
                      <w:szCs w:val="21"/>
                    </w:rPr>
                    <w:t>√</w:t>
                  </w:r>
                </w:p>
              </w:tc>
              <w:tc>
                <w:tcPr>
                  <w:tcW w:w="682" w:type="dxa"/>
                  <w:tcBorders>
                    <w:top w:val="single" w:color="auto" w:sz="4" w:space="0"/>
                    <w:bottom w:val="single" w:color="auto" w:sz="4" w:space="0"/>
                  </w:tcBorders>
                  <w:vAlign w:val="center"/>
                </w:tcPr>
                <w:p>
                  <w:pPr>
                    <w:widowControl/>
                    <w:jc w:val="center"/>
                    <w:textAlignment w:val="center"/>
                    <w:rPr>
                      <w:kern w:val="0"/>
                      <w:szCs w:val="21"/>
                    </w:rPr>
                  </w:pPr>
                  <w:r>
                    <w:rPr>
                      <w:color w:val="000000"/>
                      <w:kern w:val="0"/>
                      <w:szCs w:val="21"/>
                    </w:rPr>
                    <w:t>/</w:t>
                  </w:r>
                </w:p>
              </w:tc>
              <w:tc>
                <w:tcPr>
                  <w:tcW w:w="517" w:type="pct"/>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02" w:hRule="atLeast"/>
              </w:trPr>
              <w:tc>
                <w:tcPr>
                  <w:tcW w:w="431" w:type="dxa"/>
                  <w:tcBorders>
                    <w:top w:val="single" w:color="auto" w:sz="4" w:space="0"/>
                    <w:bottom w:val="single" w:color="auto" w:sz="4" w:space="0"/>
                  </w:tcBorders>
                  <w:vAlign w:val="center"/>
                </w:tcPr>
                <w:p>
                  <w:pPr>
                    <w:widowControl/>
                    <w:jc w:val="center"/>
                    <w:textAlignment w:val="center"/>
                    <w:rPr>
                      <w:bCs/>
                      <w:szCs w:val="21"/>
                    </w:rPr>
                  </w:pPr>
                  <w:r>
                    <w:rPr>
                      <w:color w:val="000000"/>
                      <w:kern w:val="0"/>
                      <w:szCs w:val="21"/>
                    </w:rPr>
                    <w:t>5</w:t>
                  </w:r>
                </w:p>
              </w:tc>
              <w:tc>
                <w:tcPr>
                  <w:tcW w:w="1193" w:type="dxa"/>
                  <w:tcBorders>
                    <w:top w:val="single" w:color="auto" w:sz="4" w:space="0"/>
                    <w:bottom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不合格品</w:t>
                  </w:r>
                </w:p>
              </w:tc>
              <w:tc>
                <w:tcPr>
                  <w:tcW w:w="1060" w:type="dxa"/>
                  <w:tcBorders>
                    <w:top w:val="single" w:color="auto" w:sz="4" w:space="0"/>
                    <w:bottom w:val="single" w:color="auto" w:sz="4"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检测工序</w:t>
                  </w:r>
                </w:p>
              </w:tc>
              <w:tc>
                <w:tcPr>
                  <w:tcW w:w="794" w:type="dxa"/>
                  <w:tcBorders>
                    <w:top w:val="single" w:color="auto" w:sz="4" w:space="0"/>
                    <w:bottom w:val="single" w:color="auto" w:sz="4" w:space="0"/>
                  </w:tcBorders>
                  <w:vAlign w:val="center"/>
                </w:tcPr>
                <w:p>
                  <w:pPr>
                    <w:jc w:val="center"/>
                    <w:rPr>
                      <w:bCs/>
                      <w:szCs w:val="21"/>
                    </w:rPr>
                  </w:pPr>
                  <w:r>
                    <w:rPr>
                      <w:color w:val="000000"/>
                      <w:kern w:val="0"/>
                      <w:szCs w:val="21"/>
                    </w:rPr>
                    <w:t>固态</w:t>
                  </w:r>
                </w:p>
              </w:tc>
              <w:tc>
                <w:tcPr>
                  <w:tcW w:w="1459" w:type="dxa"/>
                  <w:tcBorders>
                    <w:top w:val="single" w:color="auto" w:sz="4" w:space="0"/>
                    <w:bottom w:val="single" w:color="auto" w:sz="4" w:space="0"/>
                  </w:tcBorders>
                  <w:vAlign w:val="center"/>
                </w:tcPr>
                <w:p>
                  <w:pPr>
                    <w:widowControl/>
                    <w:jc w:val="center"/>
                    <w:textAlignment w:val="center"/>
                    <w:rPr>
                      <w:rFonts w:hint="eastAsia" w:eastAsia="宋体"/>
                      <w:szCs w:val="21"/>
                      <w:lang w:eastAsia="zh-CN"/>
                    </w:rPr>
                  </w:pPr>
                  <w:r>
                    <w:rPr>
                      <w:rFonts w:hint="eastAsia"/>
                      <w:szCs w:val="21"/>
                      <w:lang w:eastAsia="zh-CN"/>
                    </w:rPr>
                    <w:t>玻璃</w:t>
                  </w:r>
                </w:p>
              </w:tc>
              <w:tc>
                <w:tcPr>
                  <w:tcW w:w="1059" w:type="dxa"/>
                  <w:tcBorders>
                    <w:top w:val="single" w:color="auto" w:sz="4" w:space="0"/>
                    <w:bottom w:val="single" w:color="auto" w:sz="4" w:space="0"/>
                  </w:tcBorders>
                  <w:vAlign w:val="center"/>
                </w:tcPr>
                <w:p>
                  <w:pPr>
                    <w:widowControl/>
                    <w:adjustRightInd w:val="0"/>
                    <w:snapToGrid w:val="0"/>
                    <w:jc w:val="center"/>
                    <w:textAlignment w:val="center"/>
                    <w:rPr>
                      <w:rFonts w:hint="default" w:eastAsia="宋体"/>
                      <w:bCs/>
                      <w:szCs w:val="21"/>
                      <w:lang w:val="en-US" w:eastAsia="zh-CN"/>
                    </w:rPr>
                  </w:pPr>
                  <w:r>
                    <w:rPr>
                      <w:rFonts w:hint="eastAsia"/>
                      <w:bCs/>
                      <w:szCs w:val="21"/>
                      <w:lang w:val="en-US" w:eastAsia="zh-CN"/>
                    </w:rPr>
                    <w:t>662</w:t>
                  </w:r>
                </w:p>
              </w:tc>
              <w:tc>
                <w:tcPr>
                  <w:tcW w:w="928" w:type="dxa"/>
                  <w:tcBorders>
                    <w:top w:val="single" w:color="auto" w:sz="4" w:space="0"/>
                    <w:bottom w:val="single" w:color="auto" w:sz="4" w:space="0"/>
                  </w:tcBorders>
                  <w:vAlign w:val="center"/>
                </w:tcPr>
                <w:p>
                  <w:pPr>
                    <w:widowControl/>
                    <w:jc w:val="center"/>
                    <w:textAlignment w:val="center"/>
                    <w:rPr>
                      <w:kern w:val="0"/>
                      <w:szCs w:val="21"/>
                    </w:rPr>
                  </w:pPr>
                  <w:r>
                    <w:rPr>
                      <w:color w:val="000000"/>
                      <w:kern w:val="0"/>
                      <w:szCs w:val="21"/>
                    </w:rPr>
                    <w:t>√</w:t>
                  </w:r>
                </w:p>
              </w:tc>
              <w:tc>
                <w:tcPr>
                  <w:tcW w:w="682" w:type="dxa"/>
                  <w:tcBorders>
                    <w:top w:val="single" w:color="auto" w:sz="4" w:space="0"/>
                    <w:bottom w:val="single" w:color="auto" w:sz="4" w:space="0"/>
                  </w:tcBorders>
                  <w:vAlign w:val="center"/>
                </w:tcPr>
                <w:p>
                  <w:pPr>
                    <w:widowControl/>
                    <w:jc w:val="center"/>
                    <w:textAlignment w:val="center"/>
                    <w:rPr>
                      <w:kern w:val="0"/>
                      <w:szCs w:val="21"/>
                    </w:rPr>
                  </w:pPr>
                  <w:r>
                    <w:rPr>
                      <w:color w:val="000000"/>
                      <w:kern w:val="0"/>
                      <w:szCs w:val="21"/>
                    </w:rPr>
                    <w:t>/</w:t>
                  </w:r>
                </w:p>
              </w:tc>
              <w:tc>
                <w:tcPr>
                  <w:tcW w:w="517" w:type="pct"/>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02" w:hRule="atLeast"/>
              </w:trPr>
              <w:tc>
                <w:tcPr>
                  <w:tcW w:w="431" w:type="dxa"/>
                  <w:tcBorders>
                    <w:top w:val="single" w:color="auto" w:sz="4" w:space="0"/>
                    <w:bottom w:val="single" w:color="auto" w:sz="12" w:space="0"/>
                  </w:tcBorders>
                  <w:vAlign w:val="center"/>
                </w:tcPr>
                <w:p>
                  <w:pPr>
                    <w:widowControl/>
                    <w:jc w:val="center"/>
                    <w:textAlignment w:val="center"/>
                    <w:rPr>
                      <w:rFonts w:hint="eastAsia" w:eastAsia="宋体"/>
                      <w:color w:val="000000"/>
                      <w:kern w:val="0"/>
                      <w:szCs w:val="21"/>
                      <w:lang w:val="en-US" w:eastAsia="zh-CN"/>
                    </w:rPr>
                  </w:pPr>
                  <w:r>
                    <w:rPr>
                      <w:rFonts w:hint="eastAsia"/>
                      <w:color w:val="000000"/>
                      <w:kern w:val="0"/>
                      <w:szCs w:val="21"/>
                      <w:lang w:val="en-US" w:eastAsia="zh-CN"/>
                    </w:rPr>
                    <w:t>6</w:t>
                  </w:r>
                </w:p>
              </w:tc>
              <w:tc>
                <w:tcPr>
                  <w:tcW w:w="1193" w:type="dxa"/>
                  <w:tcBorders>
                    <w:top w:val="single" w:color="auto" w:sz="4" w:space="0"/>
                    <w:bottom w:val="single" w:color="auto" w:sz="12" w:space="0"/>
                  </w:tcBorders>
                  <w:vAlign w:val="center"/>
                </w:tcPr>
                <w:p>
                  <w:pPr>
                    <w:widowControl/>
                    <w:adjustRightInd w:val="0"/>
                    <w:snapToGrid w:val="0"/>
                    <w:jc w:val="center"/>
                    <w:textAlignment w:val="center"/>
                    <w:rPr>
                      <w:rFonts w:hint="eastAsia" w:eastAsia="宋体"/>
                      <w:kern w:val="0"/>
                      <w:szCs w:val="21"/>
                      <w:lang w:eastAsia="zh-CN" w:bidi="ar"/>
                    </w:rPr>
                  </w:pPr>
                  <w:r>
                    <w:rPr>
                      <w:rFonts w:hint="eastAsia"/>
                      <w:kern w:val="0"/>
                      <w:szCs w:val="21"/>
                      <w:lang w:eastAsia="zh-CN" w:bidi="ar"/>
                    </w:rPr>
                    <w:t>污泥</w:t>
                  </w:r>
                </w:p>
              </w:tc>
              <w:tc>
                <w:tcPr>
                  <w:tcW w:w="1060" w:type="dxa"/>
                  <w:tcBorders>
                    <w:top w:val="single" w:color="auto" w:sz="4" w:space="0"/>
                    <w:bottom w:val="single" w:color="auto" w:sz="12" w:space="0"/>
                  </w:tcBorders>
                  <w:vAlign w:val="center"/>
                </w:tcPr>
                <w:p>
                  <w:pPr>
                    <w:widowControl/>
                    <w:adjustRightInd w:val="0"/>
                    <w:snapToGrid w:val="0"/>
                    <w:jc w:val="center"/>
                    <w:textAlignment w:val="center"/>
                    <w:rPr>
                      <w:rFonts w:hint="eastAsia" w:eastAsia="宋体"/>
                      <w:szCs w:val="21"/>
                      <w:lang w:eastAsia="zh-CN"/>
                    </w:rPr>
                  </w:pPr>
                  <w:r>
                    <w:rPr>
                      <w:rFonts w:hint="eastAsia"/>
                      <w:szCs w:val="21"/>
                      <w:lang w:eastAsia="zh-CN"/>
                    </w:rPr>
                    <w:t>废水处理</w:t>
                  </w:r>
                </w:p>
              </w:tc>
              <w:tc>
                <w:tcPr>
                  <w:tcW w:w="794" w:type="dxa"/>
                  <w:tcBorders>
                    <w:top w:val="single" w:color="auto" w:sz="4" w:space="0"/>
                    <w:bottom w:val="single" w:color="auto" w:sz="12" w:space="0"/>
                  </w:tcBorders>
                  <w:vAlign w:val="center"/>
                </w:tcPr>
                <w:p>
                  <w:pPr>
                    <w:jc w:val="center"/>
                    <w:rPr>
                      <w:color w:val="000000"/>
                      <w:kern w:val="0"/>
                      <w:szCs w:val="21"/>
                    </w:rPr>
                  </w:pPr>
                  <w:r>
                    <w:rPr>
                      <w:color w:val="000000"/>
                      <w:kern w:val="0"/>
                      <w:szCs w:val="21"/>
                    </w:rPr>
                    <w:t>固态</w:t>
                  </w:r>
                </w:p>
              </w:tc>
              <w:tc>
                <w:tcPr>
                  <w:tcW w:w="1459" w:type="dxa"/>
                  <w:tcBorders>
                    <w:top w:val="single" w:color="auto" w:sz="4" w:space="0"/>
                    <w:bottom w:val="single" w:color="auto" w:sz="12" w:space="0"/>
                  </w:tcBorders>
                  <w:vAlign w:val="center"/>
                </w:tcPr>
                <w:p>
                  <w:pPr>
                    <w:widowControl/>
                    <w:jc w:val="center"/>
                    <w:textAlignment w:val="center"/>
                    <w:rPr>
                      <w:color w:val="000000"/>
                      <w:szCs w:val="21"/>
                      <w:lang w:val="zh-CN"/>
                    </w:rPr>
                  </w:pPr>
                  <w:r>
                    <w:rPr>
                      <w:rFonts w:hint="eastAsia"/>
                      <w:color w:val="000000"/>
                      <w:szCs w:val="21"/>
                      <w:lang w:val="zh-CN"/>
                    </w:rPr>
                    <w:t>聚铝、硅酸盐</w:t>
                  </w:r>
                </w:p>
              </w:tc>
              <w:tc>
                <w:tcPr>
                  <w:tcW w:w="1059" w:type="dxa"/>
                  <w:tcBorders>
                    <w:top w:val="single" w:color="auto" w:sz="4" w:space="0"/>
                    <w:bottom w:val="single" w:color="auto" w:sz="12" w:space="0"/>
                  </w:tcBorders>
                  <w:vAlign w:val="center"/>
                </w:tcPr>
                <w:p>
                  <w:pPr>
                    <w:widowControl/>
                    <w:adjustRightInd w:val="0"/>
                    <w:snapToGrid w:val="0"/>
                    <w:jc w:val="center"/>
                    <w:textAlignment w:val="center"/>
                    <w:rPr>
                      <w:rFonts w:hint="default" w:eastAsia="宋体"/>
                      <w:kern w:val="0"/>
                      <w:szCs w:val="21"/>
                      <w:lang w:val="en-US" w:eastAsia="zh-CN" w:bidi="ar"/>
                    </w:rPr>
                  </w:pPr>
                  <w:r>
                    <w:rPr>
                      <w:rFonts w:hint="eastAsia"/>
                      <w:kern w:val="0"/>
                      <w:szCs w:val="21"/>
                      <w:lang w:val="en-US" w:eastAsia="zh-CN" w:bidi="ar"/>
                    </w:rPr>
                    <w:t>13</w:t>
                  </w:r>
                </w:p>
              </w:tc>
              <w:tc>
                <w:tcPr>
                  <w:tcW w:w="928" w:type="dxa"/>
                  <w:tcBorders>
                    <w:top w:val="single" w:color="auto" w:sz="4" w:space="0"/>
                    <w:bottom w:val="single" w:color="auto" w:sz="12" w:space="0"/>
                  </w:tcBorders>
                  <w:vAlign w:val="center"/>
                </w:tcPr>
                <w:p>
                  <w:pPr>
                    <w:widowControl/>
                    <w:jc w:val="center"/>
                    <w:textAlignment w:val="center"/>
                    <w:rPr>
                      <w:color w:val="000000"/>
                      <w:kern w:val="0"/>
                      <w:szCs w:val="21"/>
                    </w:rPr>
                  </w:pPr>
                  <w:r>
                    <w:rPr>
                      <w:color w:val="000000"/>
                      <w:kern w:val="0"/>
                      <w:szCs w:val="21"/>
                    </w:rPr>
                    <w:t>√</w:t>
                  </w:r>
                </w:p>
              </w:tc>
              <w:tc>
                <w:tcPr>
                  <w:tcW w:w="682" w:type="dxa"/>
                  <w:tcBorders>
                    <w:top w:val="single" w:color="auto" w:sz="4" w:space="0"/>
                    <w:bottom w:val="single" w:color="auto" w:sz="12" w:space="0"/>
                  </w:tcBorders>
                  <w:vAlign w:val="center"/>
                </w:tcPr>
                <w:p>
                  <w:pPr>
                    <w:widowControl/>
                    <w:jc w:val="center"/>
                    <w:textAlignment w:val="center"/>
                    <w:rPr>
                      <w:rFonts w:hint="eastAsia" w:eastAsia="宋体"/>
                      <w:color w:val="000000"/>
                      <w:kern w:val="0"/>
                      <w:szCs w:val="21"/>
                      <w:lang w:val="en-US" w:eastAsia="zh-CN"/>
                    </w:rPr>
                  </w:pPr>
                  <w:r>
                    <w:rPr>
                      <w:rFonts w:hint="eastAsia"/>
                      <w:color w:val="000000"/>
                      <w:kern w:val="0"/>
                      <w:szCs w:val="21"/>
                      <w:lang w:val="en-US" w:eastAsia="zh-CN"/>
                    </w:rPr>
                    <w:t>/</w:t>
                  </w:r>
                </w:p>
              </w:tc>
              <w:tc>
                <w:tcPr>
                  <w:tcW w:w="517" w:type="pct"/>
                  <w:tcBorders>
                    <w:bottom w:val="single" w:color="auto" w:sz="12" w:space="0"/>
                  </w:tcBorders>
                  <w:vAlign w:val="center"/>
                </w:tcPr>
                <w:p>
                  <w:pPr>
                    <w:jc w:val="center"/>
                  </w:pPr>
                </w:p>
              </w:tc>
            </w:tr>
          </w:tbl>
          <w:p>
            <w:pPr>
              <w:pStyle w:val="115"/>
              <w:spacing w:line="240" w:lineRule="auto"/>
              <w:rPr>
                <w:rFonts w:eastAsia="宋体"/>
                <w:b/>
                <w:sz w:val="24"/>
              </w:rPr>
            </w:pPr>
            <w:r>
              <w:rPr>
                <w:rFonts w:hint="eastAsia" w:eastAsia="宋体"/>
                <w:b/>
                <w:sz w:val="24"/>
              </w:rPr>
              <w:t>表4</w:t>
            </w:r>
            <w:r>
              <w:rPr>
                <w:rFonts w:eastAsia="宋体"/>
                <w:b/>
                <w:sz w:val="24"/>
              </w:rPr>
              <w:t>-</w:t>
            </w:r>
            <w:r>
              <w:rPr>
                <w:rFonts w:hint="eastAsia" w:eastAsia="宋体"/>
                <w:b/>
                <w:sz w:val="24"/>
                <w:lang w:val="en-US" w:eastAsia="zh-CN"/>
              </w:rPr>
              <w:t>21</w:t>
            </w:r>
            <w:r>
              <w:rPr>
                <w:rFonts w:hint="eastAsia" w:eastAsia="宋体"/>
                <w:b/>
                <w:sz w:val="24"/>
              </w:rPr>
              <w:t xml:space="preserve">  项目固体废物产生量和</w:t>
            </w:r>
            <w:r>
              <w:rPr>
                <w:rFonts w:eastAsia="宋体"/>
                <w:b/>
                <w:sz w:val="24"/>
              </w:rPr>
              <w:t>危险性判定</w:t>
            </w:r>
            <w:r>
              <w:rPr>
                <w:rFonts w:hint="eastAsia" w:eastAsia="宋体"/>
                <w:b/>
                <w:sz w:val="24"/>
              </w:rPr>
              <w:t>汇总表</w:t>
            </w:r>
          </w:p>
          <w:tbl>
            <w:tblPr>
              <w:tblStyle w:val="36"/>
              <w:tblW w:w="967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64"/>
              <w:gridCol w:w="1032"/>
              <w:gridCol w:w="502"/>
              <w:gridCol w:w="897"/>
              <w:gridCol w:w="503"/>
              <w:gridCol w:w="1165"/>
              <w:gridCol w:w="898"/>
              <w:gridCol w:w="509"/>
              <w:gridCol w:w="686"/>
              <w:gridCol w:w="1146"/>
              <w:gridCol w:w="903"/>
              <w:gridCol w:w="11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612" w:type="pct"/>
                <w:trHeight w:val="20" w:hRule="atLeast"/>
              </w:trPr>
              <w:tc>
                <w:tcPr>
                  <w:tcW w:w="144" w:type="pct"/>
                  <w:vAlign w:val="center"/>
                </w:tcPr>
                <w:p>
                  <w:pPr>
                    <w:widowControl/>
                    <w:jc w:val="center"/>
                    <w:rPr>
                      <w:b/>
                      <w:kern w:val="0"/>
                      <w:szCs w:val="21"/>
                    </w:rPr>
                  </w:pPr>
                  <w:r>
                    <w:rPr>
                      <w:b/>
                      <w:kern w:val="0"/>
                      <w:szCs w:val="21"/>
                    </w:rPr>
                    <w:t>序号</w:t>
                  </w:r>
                </w:p>
              </w:tc>
              <w:tc>
                <w:tcPr>
                  <w:tcW w:w="541" w:type="pct"/>
                  <w:vAlign w:val="center"/>
                </w:tcPr>
                <w:p>
                  <w:pPr>
                    <w:widowControl/>
                    <w:jc w:val="center"/>
                    <w:rPr>
                      <w:b/>
                      <w:kern w:val="0"/>
                      <w:szCs w:val="21"/>
                    </w:rPr>
                  </w:pPr>
                  <w:r>
                    <w:rPr>
                      <w:b/>
                      <w:kern w:val="0"/>
                      <w:szCs w:val="21"/>
                    </w:rPr>
                    <w:t>固废名称</w:t>
                  </w:r>
                </w:p>
              </w:tc>
              <w:tc>
                <w:tcPr>
                  <w:tcW w:w="267" w:type="pct"/>
                  <w:vAlign w:val="center"/>
                </w:tcPr>
                <w:p>
                  <w:pPr>
                    <w:widowControl/>
                    <w:jc w:val="center"/>
                    <w:rPr>
                      <w:b/>
                      <w:kern w:val="0"/>
                      <w:szCs w:val="21"/>
                    </w:rPr>
                  </w:pPr>
                  <w:r>
                    <w:rPr>
                      <w:b/>
                      <w:kern w:val="0"/>
                      <w:szCs w:val="21"/>
                    </w:rPr>
                    <w:t>属性</w:t>
                  </w:r>
                </w:p>
              </w:tc>
              <w:tc>
                <w:tcPr>
                  <w:tcW w:w="471" w:type="pct"/>
                  <w:vAlign w:val="center"/>
                </w:tcPr>
                <w:p>
                  <w:pPr>
                    <w:widowControl/>
                    <w:jc w:val="center"/>
                    <w:rPr>
                      <w:b/>
                      <w:kern w:val="0"/>
                      <w:szCs w:val="21"/>
                    </w:rPr>
                  </w:pPr>
                  <w:r>
                    <w:rPr>
                      <w:b/>
                      <w:kern w:val="0"/>
                      <w:szCs w:val="21"/>
                    </w:rPr>
                    <w:t>产生工序</w:t>
                  </w:r>
                </w:p>
              </w:tc>
              <w:tc>
                <w:tcPr>
                  <w:tcW w:w="267" w:type="pct"/>
                  <w:vAlign w:val="center"/>
                </w:tcPr>
                <w:p>
                  <w:pPr>
                    <w:widowControl/>
                    <w:jc w:val="center"/>
                    <w:rPr>
                      <w:b/>
                      <w:kern w:val="0"/>
                      <w:szCs w:val="21"/>
                    </w:rPr>
                  </w:pPr>
                  <w:r>
                    <w:rPr>
                      <w:b/>
                      <w:kern w:val="0"/>
                      <w:szCs w:val="21"/>
                    </w:rPr>
                    <w:t>形态</w:t>
                  </w:r>
                </w:p>
              </w:tc>
              <w:tc>
                <w:tcPr>
                  <w:tcW w:w="609" w:type="pct"/>
                  <w:vAlign w:val="center"/>
                </w:tcPr>
                <w:p>
                  <w:pPr>
                    <w:widowControl/>
                    <w:jc w:val="center"/>
                    <w:rPr>
                      <w:b/>
                      <w:kern w:val="0"/>
                      <w:szCs w:val="21"/>
                    </w:rPr>
                  </w:pPr>
                  <w:r>
                    <w:rPr>
                      <w:b/>
                      <w:kern w:val="0"/>
                      <w:szCs w:val="21"/>
                    </w:rPr>
                    <w:t>主要成分</w:t>
                  </w:r>
                </w:p>
              </w:tc>
              <w:tc>
                <w:tcPr>
                  <w:tcW w:w="471" w:type="pct"/>
                  <w:vAlign w:val="center"/>
                </w:tcPr>
                <w:p>
                  <w:pPr>
                    <w:widowControl/>
                    <w:jc w:val="center"/>
                    <w:rPr>
                      <w:b/>
                      <w:kern w:val="0"/>
                      <w:szCs w:val="21"/>
                    </w:rPr>
                  </w:pPr>
                  <w:r>
                    <w:rPr>
                      <w:b/>
                      <w:bCs/>
                      <w:kern w:val="0"/>
                      <w:szCs w:val="21"/>
                    </w:rPr>
                    <w:t>危险特性鉴别方法</w:t>
                  </w:r>
                </w:p>
              </w:tc>
              <w:tc>
                <w:tcPr>
                  <w:tcW w:w="267" w:type="pct"/>
                  <w:vAlign w:val="center"/>
                </w:tcPr>
                <w:p>
                  <w:pPr>
                    <w:widowControl/>
                    <w:jc w:val="center"/>
                    <w:rPr>
                      <w:b/>
                      <w:kern w:val="0"/>
                      <w:szCs w:val="21"/>
                    </w:rPr>
                  </w:pPr>
                  <w:r>
                    <w:rPr>
                      <w:b/>
                      <w:kern w:val="0"/>
                      <w:szCs w:val="21"/>
                    </w:rPr>
                    <w:t>危险</w:t>
                  </w:r>
                </w:p>
                <w:p>
                  <w:pPr>
                    <w:widowControl/>
                    <w:jc w:val="center"/>
                    <w:rPr>
                      <w:b/>
                      <w:kern w:val="0"/>
                      <w:szCs w:val="21"/>
                    </w:rPr>
                  </w:pPr>
                  <w:r>
                    <w:rPr>
                      <w:b/>
                      <w:kern w:val="0"/>
                      <w:szCs w:val="21"/>
                    </w:rPr>
                    <w:t>特性</w:t>
                  </w:r>
                </w:p>
              </w:tc>
              <w:tc>
                <w:tcPr>
                  <w:tcW w:w="354" w:type="pct"/>
                  <w:vAlign w:val="center"/>
                </w:tcPr>
                <w:p>
                  <w:pPr>
                    <w:widowControl/>
                    <w:jc w:val="center"/>
                    <w:rPr>
                      <w:b/>
                      <w:kern w:val="0"/>
                      <w:szCs w:val="21"/>
                    </w:rPr>
                  </w:pPr>
                  <w:r>
                    <w:rPr>
                      <w:b/>
                      <w:kern w:val="0"/>
                      <w:szCs w:val="21"/>
                    </w:rPr>
                    <w:t>废物</w:t>
                  </w:r>
                </w:p>
                <w:p>
                  <w:pPr>
                    <w:widowControl/>
                    <w:jc w:val="center"/>
                    <w:rPr>
                      <w:b/>
                      <w:kern w:val="0"/>
                      <w:szCs w:val="21"/>
                    </w:rPr>
                  </w:pPr>
                  <w:r>
                    <w:rPr>
                      <w:b/>
                      <w:kern w:val="0"/>
                      <w:szCs w:val="21"/>
                    </w:rPr>
                    <w:t>类别</w:t>
                  </w:r>
                </w:p>
              </w:tc>
              <w:tc>
                <w:tcPr>
                  <w:tcW w:w="519" w:type="pct"/>
                  <w:vAlign w:val="center"/>
                </w:tcPr>
                <w:p>
                  <w:pPr>
                    <w:widowControl/>
                    <w:jc w:val="center"/>
                    <w:rPr>
                      <w:b/>
                      <w:kern w:val="0"/>
                      <w:szCs w:val="21"/>
                    </w:rPr>
                  </w:pPr>
                  <w:r>
                    <w:rPr>
                      <w:b/>
                      <w:kern w:val="0"/>
                      <w:szCs w:val="21"/>
                    </w:rPr>
                    <w:t>废物</w:t>
                  </w:r>
                </w:p>
                <w:p>
                  <w:pPr>
                    <w:widowControl/>
                    <w:jc w:val="center"/>
                    <w:rPr>
                      <w:b/>
                      <w:kern w:val="0"/>
                      <w:szCs w:val="21"/>
                    </w:rPr>
                  </w:pPr>
                  <w:r>
                    <w:rPr>
                      <w:b/>
                      <w:kern w:val="0"/>
                      <w:szCs w:val="21"/>
                    </w:rPr>
                    <w:t>代码</w:t>
                  </w:r>
                </w:p>
              </w:tc>
              <w:tc>
                <w:tcPr>
                  <w:tcW w:w="471" w:type="pct"/>
                  <w:vAlign w:val="center"/>
                </w:tcPr>
                <w:p>
                  <w:pPr>
                    <w:widowControl/>
                    <w:jc w:val="center"/>
                    <w:rPr>
                      <w:b/>
                      <w:kern w:val="0"/>
                      <w:szCs w:val="21"/>
                    </w:rPr>
                  </w:pPr>
                  <w:r>
                    <w:rPr>
                      <w:b/>
                      <w:kern w:val="0"/>
                      <w:szCs w:val="21"/>
                    </w:rPr>
                    <w:t>估算产生量（t/a）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612" w:type="pct"/>
                <w:trHeight w:val="277" w:hRule="atLeast"/>
              </w:trPr>
              <w:tc>
                <w:tcPr>
                  <w:tcW w:w="144" w:type="pct"/>
                  <w:vAlign w:val="center"/>
                </w:tcPr>
                <w:p>
                  <w:pPr>
                    <w:widowControl/>
                    <w:adjustRightInd w:val="0"/>
                    <w:snapToGrid w:val="0"/>
                    <w:jc w:val="center"/>
                    <w:textAlignment w:val="center"/>
                    <w:rPr>
                      <w:bCs/>
                      <w:szCs w:val="21"/>
                    </w:rPr>
                  </w:pPr>
                  <w:r>
                    <w:rPr>
                      <w:b/>
                      <w:bCs/>
                      <w:kern w:val="0"/>
                      <w:szCs w:val="21"/>
                      <w:lang w:bidi="ar"/>
                    </w:rPr>
                    <w:t>1</w:t>
                  </w:r>
                </w:p>
              </w:tc>
              <w:tc>
                <w:tcPr>
                  <w:tcW w:w="541" w:type="pct"/>
                  <w:vAlign w:val="center"/>
                </w:tcPr>
                <w:p>
                  <w:pPr>
                    <w:widowControl/>
                    <w:adjustRightInd w:val="0"/>
                    <w:snapToGrid w:val="0"/>
                    <w:jc w:val="center"/>
                    <w:textAlignment w:val="center"/>
                    <w:rPr>
                      <w:bCs/>
                      <w:szCs w:val="21"/>
                    </w:rPr>
                  </w:pPr>
                  <w:r>
                    <w:rPr>
                      <w:kern w:val="0"/>
                      <w:szCs w:val="21"/>
                      <w:lang w:bidi="ar"/>
                    </w:rPr>
                    <w:t>生活垃圾</w:t>
                  </w:r>
                </w:p>
              </w:tc>
              <w:tc>
                <w:tcPr>
                  <w:tcW w:w="267" w:type="pct"/>
                  <w:vAlign w:val="center"/>
                </w:tcPr>
                <w:p>
                  <w:pPr>
                    <w:widowControl/>
                    <w:adjustRightInd w:val="0"/>
                    <w:snapToGrid w:val="0"/>
                    <w:jc w:val="center"/>
                    <w:textAlignment w:val="center"/>
                    <w:rPr>
                      <w:rFonts w:hint="eastAsia" w:eastAsia="宋体"/>
                      <w:bCs/>
                      <w:szCs w:val="21"/>
                      <w:lang w:eastAsia="zh-CN"/>
                    </w:rPr>
                  </w:pPr>
                  <w:r>
                    <w:rPr>
                      <w:rFonts w:hint="eastAsia"/>
                      <w:bCs/>
                      <w:szCs w:val="21"/>
                      <w:lang w:eastAsia="zh-CN"/>
                    </w:rPr>
                    <w:t>一般固废</w:t>
                  </w:r>
                </w:p>
              </w:tc>
              <w:tc>
                <w:tcPr>
                  <w:tcW w:w="471" w:type="pct"/>
                  <w:vAlign w:val="center"/>
                </w:tcPr>
                <w:p>
                  <w:pPr>
                    <w:widowControl/>
                    <w:adjustRightInd w:val="0"/>
                    <w:snapToGrid w:val="0"/>
                    <w:jc w:val="center"/>
                    <w:textAlignment w:val="center"/>
                    <w:rPr>
                      <w:kern w:val="0"/>
                      <w:szCs w:val="21"/>
                      <w:lang w:bidi="ar"/>
                    </w:rPr>
                  </w:pPr>
                  <w:r>
                    <w:rPr>
                      <w:kern w:val="0"/>
                      <w:szCs w:val="21"/>
                      <w:lang w:bidi="ar"/>
                    </w:rPr>
                    <w:t>员工</w:t>
                  </w:r>
                </w:p>
                <w:p>
                  <w:pPr>
                    <w:widowControl/>
                    <w:adjustRightInd w:val="0"/>
                    <w:snapToGrid w:val="0"/>
                    <w:jc w:val="center"/>
                    <w:textAlignment w:val="center"/>
                    <w:rPr>
                      <w:szCs w:val="21"/>
                    </w:rPr>
                  </w:pPr>
                  <w:r>
                    <w:rPr>
                      <w:kern w:val="0"/>
                      <w:szCs w:val="21"/>
                      <w:lang w:bidi="ar"/>
                    </w:rPr>
                    <w:t>生活</w:t>
                  </w:r>
                </w:p>
              </w:tc>
              <w:tc>
                <w:tcPr>
                  <w:tcW w:w="267" w:type="pct"/>
                  <w:vAlign w:val="center"/>
                </w:tcPr>
                <w:p>
                  <w:pPr>
                    <w:widowControl/>
                    <w:adjustRightInd w:val="0"/>
                    <w:snapToGrid w:val="0"/>
                    <w:jc w:val="center"/>
                    <w:textAlignment w:val="center"/>
                    <w:rPr>
                      <w:bCs/>
                      <w:szCs w:val="21"/>
                    </w:rPr>
                  </w:pPr>
                  <w:r>
                    <w:rPr>
                      <w:kern w:val="0"/>
                      <w:szCs w:val="21"/>
                      <w:lang w:bidi="ar"/>
                    </w:rPr>
                    <w:t>固</w:t>
                  </w:r>
                </w:p>
              </w:tc>
              <w:tc>
                <w:tcPr>
                  <w:tcW w:w="609" w:type="pct"/>
                  <w:vAlign w:val="center"/>
                </w:tcPr>
                <w:p>
                  <w:pPr>
                    <w:widowControl/>
                    <w:jc w:val="center"/>
                    <w:textAlignment w:val="center"/>
                    <w:rPr>
                      <w:szCs w:val="21"/>
                    </w:rPr>
                  </w:pPr>
                  <w:r>
                    <w:rPr>
                      <w:color w:val="000000"/>
                      <w:szCs w:val="21"/>
                    </w:rPr>
                    <w:t>废纸、垃圾袋</w:t>
                  </w:r>
                </w:p>
              </w:tc>
              <w:tc>
                <w:tcPr>
                  <w:tcW w:w="471" w:type="pct"/>
                  <w:vMerge w:val="restart"/>
                  <w:vAlign w:val="center"/>
                </w:tcPr>
                <w:p>
                  <w:pPr>
                    <w:widowControl/>
                    <w:adjustRightInd w:val="0"/>
                    <w:snapToGrid w:val="0"/>
                    <w:jc w:val="center"/>
                    <w:textAlignment w:val="center"/>
                    <w:rPr>
                      <w:bCs/>
                      <w:szCs w:val="21"/>
                    </w:rPr>
                  </w:pPr>
                  <w:r>
                    <w:rPr>
                      <w:szCs w:val="21"/>
                    </w:rPr>
                    <w:t>《国家危险废物名录》（2021年）</w:t>
                  </w:r>
                </w:p>
              </w:tc>
              <w:tc>
                <w:tcPr>
                  <w:tcW w:w="267" w:type="pct"/>
                  <w:vAlign w:val="center"/>
                </w:tcPr>
                <w:p>
                  <w:pPr>
                    <w:widowControl/>
                    <w:adjustRightInd w:val="0"/>
                    <w:snapToGrid w:val="0"/>
                    <w:jc w:val="center"/>
                    <w:textAlignment w:val="center"/>
                    <w:rPr>
                      <w:bCs/>
                      <w:szCs w:val="21"/>
                    </w:rPr>
                  </w:pPr>
                  <w:r>
                    <w:rPr>
                      <w:kern w:val="0"/>
                      <w:szCs w:val="21"/>
                      <w:lang w:bidi="ar"/>
                    </w:rPr>
                    <w:t>/</w:t>
                  </w:r>
                </w:p>
              </w:tc>
              <w:tc>
                <w:tcPr>
                  <w:tcW w:w="354" w:type="pct"/>
                  <w:vAlign w:val="center"/>
                </w:tcPr>
                <w:p>
                  <w:pPr>
                    <w:widowControl/>
                    <w:adjustRightInd w:val="0"/>
                    <w:snapToGrid w:val="0"/>
                    <w:jc w:val="center"/>
                    <w:textAlignment w:val="center"/>
                    <w:rPr>
                      <w:bCs/>
                      <w:szCs w:val="21"/>
                    </w:rPr>
                  </w:pPr>
                  <w:r>
                    <w:rPr>
                      <w:kern w:val="0"/>
                      <w:szCs w:val="21"/>
                      <w:lang w:bidi="ar"/>
                    </w:rPr>
                    <w:t>/</w:t>
                  </w:r>
                </w:p>
              </w:tc>
              <w:tc>
                <w:tcPr>
                  <w:tcW w:w="519" w:type="pct"/>
                  <w:vAlign w:val="center"/>
                </w:tcPr>
                <w:p>
                  <w:pPr>
                    <w:widowControl/>
                    <w:adjustRightInd w:val="0"/>
                    <w:snapToGrid w:val="0"/>
                    <w:jc w:val="center"/>
                    <w:textAlignment w:val="center"/>
                    <w:rPr>
                      <w:bCs/>
                      <w:szCs w:val="21"/>
                    </w:rPr>
                  </w:pPr>
                  <w:r>
                    <w:rPr>
                      <w:rFonts w:hint="eastAsia"/>
                      <w:bCs/>
                      <w:szCs w:val="21"/>
                      <w:lang w:val="en-US" w:eastAsia="zh-CN"/>
                    </w:rPr>
                    <w:t>/</w:t>
                  </w:r>
                </w:p>
              </w:tc>
              <w:tc>
                <w:tcPr>
                  <w:tcW w:w="471" w:type="pct"/>
                  <w:vAlign w:val="center"/>
                </w:tcPr>
                <w:p>
                  <w:pPr>
                    <w:widowControl/>
                    <w:jc w:val="center"/>
                    <w:textAlignment w:val="center"/>
                    <w:rPr>
                      <w:bCs/>
                      <w:szCs w:val="21"/>
                    </w:rPr>
                  </w:pPr>
                  <w:r>
                    <w:rPr>
                      <w:rFonts w:hint="eastAsia"/>
                      <w:color w:val="000000"/>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612" w:type="pct"/>
                <w:trHeight w:val="165" w:hRule="atLeast"/>
              </w:trPr>
              <w:tc>
                <w:tcPr>
                  <w:tcW w:w="144" w:type="pct"/>
                  <w:vAlign w:val="center"/>
                </w:tcPr>
                <w:p>
                  <w:pPr>
                    <w:widowControl/>
                    <w:adjustRightInd w:val="0"/>
                    <w:snapToGrid w:val="0"/>
                    <w:jc w:val="center"/>
                    <w:textAlignment w:val="center"/>
                    <w:rPr>
                      <w:bCs/>
                      <w:szCs w:val="21"/>
                    </w:rPr>
                  </w:pPr>
                  <w:r>
                    <w:rPr>
                      <w:kern w:val="0"/>
                      <w:szCs w:val="21"/>
                      <w:lang w:bidi="ar"/>
                    </w:rPr>
                    <w:t>2</w:t>
                  </w:r>
                </w:p>
              </w:tc>
              <w:tc>
                <w:tcPr>
                  <w:tcW w:w="541" w:type="pct"/>
                  <w:vAlign w:val="center"/>
                </w:tcPr>
                <w:p>
                  <w:pPr>
                    <w:widowControl/>
                    <w:adjustRightInd w:val="0"/>
                    <w:snapToGrid w:val="0"/>
                    <w:jc w:val="center"/>
                    <w:textAlignment w:val="center"/>
                    <w:rPr>
                      <w:rFonts w:ascii="Times New Roman" w:hAnsi="Times New Roman" w:eastAsia="宋体" w:cs="Times New Roman"/>
                      <w:kern w:val="2"/>
                      <w:sz w:val="21"/>
                      <w:szCs w:val="21"/>
                      <w:lang w:val="en-US" w:eastAsia="zh-CN" w:bidi="ar-SA"/>
                    </w:rPr>
                  </w:pPr>
                  <w:r>
                    <w:rPr>
                      <w:rFonts w:hint="eastAsia"/>
                      <w:szCs w:val="21"/>
                      <w:lang w:eastAsia="zh-CN"/>
                    </w:rPr>
                    <w:t>玻璃碎屑</w:t>
                  </w:r>
                </w:p>
              </w:tc>
              <w:tc>
                <w:tcPr>
                  <w:tcW w:w="267" w:type="pct"/>
                  <w:vAlign w:val="center"/>
                </w:tcPr>
                <w:p>
                  <w:pPr>
                    <w:widowControl/>
                    <w:adjustRightInd w:val="0"/>
                    <w:snapToGrid w:val="0"/>
                    <w:jc w:val="center"/>
                    <w:textAlignment w:val="center"/>
                    <w:rPr>
                      <w:bCs/>
                      <w:szCs w:val="21"/>
                    </w:rPr>
                  </w:pPr>
                  <w:r>
                    <w:rPr>
                      <w:rFonts w:hint="eastAsia"/>
                      <w:bCs/>
                      <w:szCs w:val="21"/>
                      <w:lang w:eastAsia="zh-CN"/>
                    </w:rPr>
                    <w:t>一般固废</w:t>
                  </w:r>
                </w:p>
              </w:tc>
              <w:tc>
                <w:tcPr>
                  <w:tcW w:w="471" w:type="pct"/>
                  <w:vAlign w:val="center"/>
                </w:tcPr>
                <w:p>
                  <w:pPr>
                    <w:widowControl/>
                    <w:adjustRightInd w:val="0"/>
                    <w:snapToGrid w:val="0"/>
                    <w:ind w:firstLine="105" w:firstLineChars="50"/>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eastAsia="zh-CN"/>
                    </w:rPr>
                    <w:t>激光切割工序</w:t>
                  </w:r>
                </w:p>
              </w:tc>
              <w:tc>
                <w:tcPr>
                  <w:tcW w:w="267" w:type="pct"/>
                  <w:vAlign w:val="center"/>
                </w:tcPr>
                <w:p>
                  <w:pPr>
                    <w:widowControl/>
                    <w:adjustRightInd w:val="0"/>
                    <w:snapToGrid w:val="0"/>
                    <w:jc w:val="center"/>
                    <w:textAlignment w:val="center"/>
                    <w:rPr>
                      <w:bCs/>
                      <w:szCs w:val="21"/>
                    </w:rPr>
                  </w:pPr>
                  <w:r>
                    <w:rPr>
                      <w:kern w:val="0"/>
                      <w:szCs w:val="21"/>
                      <w:lang w:bidi="ar"/>
                    </w:rPr>
                    <w:t>固</w:t>
                  </w:r>
                </w:p>
              </w:tc>
              <w:tc>
                <w:tcPr>
                  <w:tcW w:w="609" w:type="pct"/>
                  <w:vAlign w:val="center"/>
                </w:tcPr>
                <w:p>
                  <w:pPr>
                    <w:widowControl/>
                    <w:jc w:val="center"/>
                    <w:textAlignment w:val="center"/>
                    <w:rPr>
                      <w:rFonts w:hint="eastAsia" w:eastAsia="宋体"/>
                      <w:szCs w:val="21"/>
                      <w:lang w:eastAsia="zh-CN"/>
                    </w:rPr>
                  </w:pPr>
                  <w:r>
                    <w:rPr>
                      <w:rFonts w:hint="eastAsia"/>
                      <w:szCs w:val="21"/>
                      <w:lang w:eastAsia="zh-CN"/>
                    </w:rPr>
                    <w:t>玻璃</w:t>
                  </w:r>
                </w:p>
              </w:tc>
              <w:tc>
                <w:tcPr>
                  <w:tcW w:w="471" w:type="pct"/>
                  <w:vMerge w:val="continue"/>
                  <w:vAlign w:val="center"/>
                </w:tcPr>
                <w:p>
                  <w:pPr>
                    <w:widowControl/>
                    <w:adjustRightInd w:val="0"/>
                    <w:snapToGrid w:val="0"/>
                    <w:jc w:val="center"/>
                    <w:textAlignment w:val="center"/>
                    <w:rPr>
                      <w:bCs/>
                      <w:szCs w:val="21"/>
                    </w:rPr>
                  </w:pPr>
                </w:p>
              </w:tc>
              <w:tc>
                <w:tcPr>
                  <w:tcW w:w="267" w:type="pct"/>
                  <w:vAlign w:val="center"/>
                </w:tcPr>
                <w:p>
                  <w:pPr>
                    <w:widowControl/>
                    <w:adjustRightInd w:val="0"/>
                    <w:snapToGrid w:val="0"/>
                    <w:jc w:val="center"/>
                    <w:textAlignment w:val="center"/>
                    <w:rPr>
                      <w:bCs/>
                      <w:szCs w:val="21"/>
                    </w:rPr>
                  </w:pPr>
                  <w:r>
                    <w:rPr>
                      <w:kern w:val="0"/>
                      <w:szCs w:val="21"/>
                      <w:lang w:bidi="ar"/>
                    </w:rPr>
                    <w:t>/</w:t>
                  </w:r>
                </w:p>
              </w:tc>
              <w:tc>
                <w:tcPr>
                  <w:tcW w:w="354" w:type="pct"/>
                  <w:vAlign w:val="center"/>
                </w:tcPr>
                <w:p>
                  <w:pPr>
                    <w:widowControl/>
                    <w:adjustRightInd w:val="0"/>
                    <w:snapToGrid w:val="0"/>
                    <w:jc w:val="center"/>
                    <w:textAlignment w:val="center"/>
                    <w:rPr>
                      <w:bCs/>
                      <w:szCs w:val="21"/>
                    </w:rPr>
                  </w:pPr>
                  <w:r>
                    <w:rPr>
                      <w:kern w:val="0"/>
                      <w:szCs w:val="21"/>
                      <w:lang w:bidi="ar"/>
                    </w:rPr>
                    <w:t>/</w:t>
                  </w:r>
                </w:p>
              </w:tc>
              <w:tc>
                <w:tcPr>
                  <w:tcW w:w="519" w:type="pct"/>
                  <w:vAlign w:val="center"/>
                </w:tcPr>
                <w:p>
                  <w:pPr>
                    <w:widowControl/>
                    <w:adjustRightInd w:val="0"/>
                    <w:snapToGrid w:val="0"/>
                    <w:jc w:val="center"/>
                    <w:textAlignment w:val="center"/>
                    <w:rPr>
                      <w:bCs/>
                      <w:szCs w:val="21"/>
                    </w:rPr>
                  </w:pPr>
                  <w:r>
                    <w:rPr>
                      <w:rFonts w:hint="eastAsia"/>
                      <w:bCs/>
                      <w:szCs w:val="21"/>
                      <w:lang w:val="en-US" w:eastAsia="zh-CN"/>
                    </w:rPr>
                    <w:t>/</w:t>
                  </w:r>
                </w:p>
              </w:tc>
              <w:tc>
                <w:tcPr>
                  <w:tcW w:w="471" w:type="pct"/>
                  <w:vAlign w:val="center"/>
                </w:tcPr>
                <w:p>
                  <w:pPr>
                    <w:widowControl/>
                    <w:adjustRightInd w:val="0"/>
                    <w:snapToGrid w:val="0"/>
                    <w:jc w:val="center"/>
                    <w:textAlignment w:val="center"/>
                    <w:rPr>
                      <w:bCs/>
                      <w:szCs w:val="21"/>
                    </w:rPr>
                  </w:pPr>
                  <w:r>
                    <w:rPr>
                      <w:rFonts w:hint="eastAsia"/>
                      <w:bCs/>
                      <w:szCs w:val="21"/>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612" w:type="pct"/>
                <w:trHeight w:val="132" w:hRule="atLeast"/>
              </w:trPr>
              <w:tc>
                <w:tcPr>
                  <w:tcW w:w="144" w:type="pct"/>
                  <w:vAlign w:val="center"/>
                </w:tcPr>
                <w:p>
                  <w:pPr>
                    <w:widowControl/>
                    <w:adjustRightInd w:val="0"/>
                    <w:snapToGrid w:val="0"/>
                    <w:jc w:val="center"/>
                    <w:textAlignment w:val="center"/>
                    <w:rPr>
                      <w:bCs/>
                      <w:szCs w:val="21"/>
                    </w:rPr>
                  </w:pPr>
                  <w:r>
                    <w:rPr>
                      <w:kern w:val="0"/>
                      <w:szCs w:val="21"/>
                      <w:lang w:bidi="ar"/>
                    </w:rPr>
                    <w:t>3</w:t>
                  </w:r>
                </w:p>
              </w:tc>
              <w:tc>
                <w:tcPr>
                  <w:tcW w:w="541" w:type="pct"/>
                  <w:vAlign w:val="center"/>
                </w:tcPr>
                <w:p>
                  <w:pPr>
                    <w:widowControl/>
                    <w:adjustRightInd w:val="0"/>
                    <w:snapToGrid w:val="0"/>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eastAsia="zh-CN"/>
                    </w:rPr>
                    <w:t>粉尘</w:t>
                  </w:r>
                </w:p>
              </w:tc>
              <w:tc>
                <w:tcPr>
                  <w:tcW w:w="267" w:type="pct"/>
                  <w:vAlign w:val="center"/>
                </w:tcPr>
                <w:p>
                  <w:pPr>
                    <w:widowControl/>
                    <w:adjustRightInd w:val="0"/>
                    <w:snapToGrid w:val="0"/>
                    <w:jc w:val="center"/>
                    <w:textAlignment w:val="center"/>
                    <w:rPr>
                      <w:bCs/>
                      <w:szCs w:val="21"/>
                    </w:rPr>
                  </w:pPr>
                  <w:r>
                    <w:rPr>
                      <w:rFonts w:hint="eastAsia"/>
                      <w:bCs/>
                      <w:szCs w:val="21"/>
                      <w:lang w:eastAsia="zh-CN"/>
                    </w:rPr>
                    <w:t>一般固废</w:t>
                  </w:r>
                </w:p>
              </w:tc>
              <w:tc>
                <w:tcPr>
                  <w:tcW w:w="471" w:type="pct"/>
                  <w:vAlign w:val="center"/>
                </w:tcPr>
                <w:p>
                  <w:pPr>
                    <w:widowControl/>
                    <w:adjustRightInd w:val="0"/>
                    <w:snapToGrid w:val="0"/>
                    <w:ind w:firstLine="105" w:firstLineChars="50"/>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eastAsia="zh-CN"/>
                    </w:rPr>
                    <w:t>吸尘装置</w:t>
                  </w:r>
                </w:p>
              </w:tc>
              <w:tc>
                <w:tcPr>
                  <w:tcW w:w="267" w:type="pct"/>
                  <w:vAlign w:val="center"/>
                </w:tcPr>
                <w:p>
                  <w:pPr>
                    <w:widowControl/>
                    <w:adjustRightInd w:val="0"/>
                    <w:snapToGrid w:val="0"/>
                    <w:jc w:val="center"/>
                    <w:textAlignment w:val="center"/>
                    <w:rPr>
                      <w:bCs/>
                      <w:szCs w:val="21"/>
                    </w:rPr>
                  </w:pPr>
                  <w:r>
                    <w:rPr>
                      <w:kern w:val="0"/>
                      <w:szCs w:val="21"/>
                      <w:lang w:bidi="ar"/>
                    </w:rPr>
                    <w:t>固</w:t>
                  </w:r>
                </w:p>
              </w:tc>
              <w:tc>
                <w:tcPr>
                  <w:tcW w:w="609" w:type="pct"/>
                  <w:vAlign w:val="center"/>
                </w:tcPr>
                <w:p>
                  <w:pPr>
                    <w:widowControl/>
                    <w:jc w:val="center"/>
                    <w:textAlignment w:val="center"/>
                    <w:rPr>
                      <w:szCs w:val="21"/>
                    </w:rPr>
                  </w:pPr>
                  <w:r>
                    <w:rPr>
                      <w:rFonts w:hint="eastAsia"/>
                      <w:szCs w:val="21"/>
                      <w:lang w:eastAsia="zh-CN"/>
                    </w:rPr>
                    <w:t>硅酸盐</w:t>
                  </w:r>
                </w:p>
              </w:tc>
              <w:tc>
                <w:tcPr>
                  <w:tcW w:w="471" w:type="pct"/>
                  <w:vMerge w:val="continue"/>
                  <w:vAlign w:val="center"/>
                </w:tcPr>
                <w:p>
                  <w:pPr>
                    <w:widowControl/>
                    <w:adjustRightInd w:val="0"/>
                    <w:snapToGrid w:val="0"/>
                    <w:jc w:val="center"/>
                    <w:textAlignment w:val="center"/>
                    <w:rPr>
                      <w:bCs/>
                      <w:szCs w:val="21"/>
                    </w:rPr>
                  </w:pPr>
                </w:p>
              </w:tc>
              <w:tc>
                <w:tcPr>
                  <w:tcW w:w="267" w:type="pct"/>
                  <w:vAlign w:val="center"/>
                </w:tcPr>
                <w:p>
                  <w:pPr>
                    <w:widowControl/>
                    <w:adjustRightInd w:val="0"/>
                    <w:snapToGrid w:val="0"/>
                    <w:jc w:val="center"/>
                    <w:textAlignment w:val="center"/>
                    <w:rPr>
                      <w:bCs/>
                      <w:szCs w:val="21"/>
                    </w:rPr>
                  </w:pPr>
                  <w:r>
                    <w:rPr>
                      <w:kern w:val="0"/>
                      <w:szCs w:val="21"/>
                      <w:lang w:bidi="ar"/>
                    </w:rPr>
                    <w:t>/</w:t>
                  </w:r>
                </w:p>
              </w:tc>
              <w:tc>
                <w:tcPr>
                  <w:tcW w:w="354" w:type="pct"/>
                  <w:vAlign w:val="center"/>
                </w:tcPr>
                <w:p>
                  <w:pPr>
                    <w:widowControl/>
                    <w:adjustRightInd w:val="0"/>
                    <w:snapToGrid w:val="0"/>
                    <w:jc w:val="center"/>
                    <w:textAlignment w:val="center"/>
                    <w:rPr>
                      <w:bCs/>
                      <w:szCs w:val="21"/>
                    </w:rPr>
                  </w:pPr>
                  <w:r>
                    <w:rPr>
                      <w:kern w:val="0"/>
                      <w:szCs w:val="21"/>
                      <w:lang w:bidi="ar"/>
                    </w:rPr>
                    <w:t>/</w:t>
                  </w:r>
                </w:p>
              </w:tc>
              <w:tc>
                <w:tcPr>
                  <w:tcW w:w="519" w:type="pct"/>
                  <w:vAlign w:val="center"/>
                </w:tcPr>
                <w:p>
                  <w:pPr>
                    <w:widowControl/>
                    <w:adjustRightInd w:val="0"/>
                    <w:snapToGrid w:val="0"/>
                    <w:jc w:val="center"/>
                    <w:textAlignment w:val="center"/>
                    <w:rPr>
                      <w:bCs/>
                      <w:szCs w:val="21"/>
                    </w:rPr>
                  </w:pPr>
                  <w:r>
                    <w:rPr>
                      <w:rFonts w:hint="eastAsia"/>
                      <w:bCs/>
                      <w:szCs w:val="21"/>
                      <w:lang w:val="en-US" w:eastAsia="zh-CN"/>
                    </w:rPr>
                    <w:t>/</w:t>
                  </w:r>
                </w:p>
              </w:tc>
              <w:tc>
                <w:tcPr>
                  <w:tcW w:w="471" w:type="pct"/>
                  <w:vAlign w:val="center"/>
                </w:tcPr>
                <w:p>
                  <w:pPr>
                    <w:widowControl/>
                    <w:adjustRightInd w:val="0"/>
                    <w:snapToGrid w:val="0"/>
                    <w:jc w:val="center"/>
                    <w:textAlignment w:val="center"/>
                    <w:rPr>
                      <w:bCs/>
                      <w:szCs w:val="21"/>
                    </w:rPr>
                  </w:pPr>
                  <w:r>
                    <w:rPr>
                      <w:rFonts w:hint="eastAsia"/>
                      <w:bCs/>
                      <w:szCs w:val="21"/>
                      <w:lang w:val="en-US" w:eastAsia="zh-CN"/>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612" w:type="pct"/>
                <w:trHeight w:val="132" w:hRule="atLeast"/>
              </w:trPr>
              <w:tc>
                <w:tcPr>
                  <w:tcW w:w="144" w:type="pct"/>
                  <w:vAlign w:val="center"/>
                </w:tcPr>
                <w:p>
                  <w:pPr>
                    <w:widowControl/>
                    <w:adjustRightInd w:val="0"/>
                    <w:snapToGrid w:val="0"/>
                    <w:jc w:val="center"/>
                    <w:textAlignment w:val="center"/>
                    <w:rPr>
                      <w:bCs/>
                      <w:szCs w:val="21"/>
                    </w:rPr>
                  </w:pPr>
                  <w:r>
                    <w:rPr>
                      <w:kern w:val="0"/>
                      <w:szCs w:val="21"/>
                      <w:lang w:bidi="ar"/>
                    </w:rPr>
                    <w:t>4</w:t>
                  </w:r>
                </w:p>
              </w:tc>
              <w:tc>
                <w:tcPr>
                  <w:tcW w:w="541" w:type="pct"/>
                  <w:vAlign w:val="center"/>
                </w:tcPr>
                <w:p>
                  <w:pPr>
                    <w:widowControl/>
                    <w:adjustRightInd w:val="0"/>
                    <w:snapToGrid w:val="0"/>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eastAsia="zh-CN"/>
                    </w:rPr>
                    <w:t>废活性炭</w:t>
                  </w:r>
                </w:p>
              </w:tc>
              <w:tc>
                <w:tcPr>
                  <w:tcW w:w="267" w:type="pct"/>
                  <w:vAlign w:val="center"/>
                </w:tcPr>
                <w:p>
                  <w:pPr>
                    <w:widowControl/>
                    <w:adjustRightInd w:val="0"/>
                    <w:snapToGrid w:val="0"/>
                    <w:jc w:val="center"/>
                    <w:textAlignment w:val="center"/>
                    <w:rPr>
                      <w:bCs/>
                      <w:szCs w:val="21"/>
                    </w:rPr>
                  </w:pPr>
                  <w:r>
                    <w:rPr>
                      <w:rFonts w:hint="eastAsia"/>
                      <w:bCs/>
                      <w:szCs w:val="21"/>
                      <w:lang w:eastAsia="zh-CN"/>
                    </w:rPr>
                    <w:t>一般固废</w:t>
                  </w:r>
                </w:p>
              </w:tc>
              <w:tc>
                <w:tcPr>
                  <w:tcW w:w="471" w:type="pct"/>
                  <w:vAlign w:val="center"/>
                </w:tcPr>
                <w:p>
                  <w:pPr>
                    <w:widowControl/>
                    <w:adjustRightInd w:val="0"/>
                    <w:snapToGrid w:val="0"/>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eastAsia="zh-CN"/>
                    </w:rPr>
                    <w:t>活性炭吸附</w:t>
                  </w:r>
                </w:p>
              </w:tc>
              <w:tc>
                <w:tcPr>
                  <w:tcW w:w="267" w:type="pct"/>
                  <w:vAlign w:val="center"/>
                </w:tcPr>
                <w:p>
                  <w:pPr>
                    <w:widowControl/>
                    <w:adjustRightInd w:val="0"/>
                    <w:snapToGrid w:val="0"/>
                    <w:jc w:val="center"/>
                    <w:textAlignment w:val="center"/>
                    <w:rPr>
                      <w:bCs/>
                      <w:szCs w:val="21"/>
                    </w:rPr>
                  </w:pPr>
                  <w:r>
                    <w:rPr>
                      <w:kern w:val="0"/>
                      <w:szCs w:val="21"/>
                      <w:lang w:bidi="ar"/>
                    </w:rPr>
                    <w:t>固</w:t>
                  </w:r>
                </w:p>
              </w:tc>
              <w:tc>
                <w:tcPr>
                  <w:tcW w:w="609" w:type="pct"/>
                  <w:vAlign w:val="center"/>
                </w:tcPr>
                <w:p>
                  <w:pPr>
                    <w:widowControl/>
                    <w:jc w:val="center"/>
                    <w:textAlignment w:val="center"/>
                    <w:rPr>
                      <w:szCs w:val="21"/>
                    </w:rPr>
                  </w:pPr>
                  <w:r>
                    <w:rPr>
                      <w:rFonts w:hint="eastAsia"/>
                      <w:szCs w:val="21"/>
                      <w:lang w:eastAsia="zh-CN"/>
                    </w:rPr>
                    <w:t>废活性炭</w:t>
                  </w:r>
                </w:p>
              </w:tc>
              <w:tc>
                <w:tcPr>
                  <w:tcW w:w="471" w:type="pct"/>
                  <w:vMerge w:val="continue"/>
                  <w:vAlign w:val="center"/>
                </w:tcPr>
                <w:p>
                  <w:pPr>
                    <w:widowControl/>
                    <w:adjustRightInd w:val="0"/>
                    <w:snapToGrid w:val="0"/>
                    <w:jc w:val="center"/>
                    <w:textAlignment w:val="center"/>
                    <w:rPr>
                      <w:bCs/>
                      <w:szCs w:val="21"/>
                    </w:rPr>
                  </w:pPr>
                </w:p>
              </w:tc>
              <w:tc>
                <w:tcPr>
                  <w:tcW w:w="267" w:type="pct"/>
                  <w:vAlign w:val="center"/>
                </w:tcPr>
                <w:p>
                  <w:pPr>
                    <w:pStyle w:val="134"/>
                    <w:ind w:left="72" w:leftChars="0" w:right="65" w:rightChars="0"/>
                    <w:jc w:val="center"/>
                    <w:rPr>
                      <w:bCs/>
                      <w:szCs w:val="21"/>
                    </w:rPr>
                  </w:pPr>
                  <w:r>
                    <w:rPr>
                      <w:rFonts w:ascii="Times New Roman"/>
                      <w:sz w:val="21"/>
                    </w:rPr>
                    <w:t>T/In</w:t>
                  </w:r>
                </w:p>
              </w:tc>
              <w:tc>
                <w:tcPr>
                  <w:tcW w:w="354" w:type="pct"/>
                  <w:vAlign w:val="center"/>
                </w:tcPr>
                <w:p>
                  <w:pPr>
                    <w:pStyle w:val="134"/>
                    <w:ind w:left="65" w:leftChars="0" w:right="51" w:rightChars="0"/>
                    <w:jc w:val="center"/>
                    <w:rPr>
                      <w:bCs/>
                      <w:szCs w:val="21"/>
                    </w:rPr>
                  </w:pPr>
                  <w:r>
                    <w:rPr>
                      <w:rFonts w:ascii="Times New Roman"/>
                      <w:sz w:val="21"/>
                    </w:rPr>
                    <w:t>HW49</w:t>
                  </w:r>
                </w:p>
              </w:tc>
              <w:tc>
                <w:tcPr>
                  <w:tcW w:w="519" w:type="pct"/>
                  <w:vAlign w:val="center"/>
                </w:tcPr>
                <w:p>
                  <w:pPr>
                    <w:pStyle w:val="134"/>
                    <w:ind w:left="16" w:leftChars="0"/>
                    <w:rPr>
                      <w:bCs/>
                      <w:szCs w:val="21"/>
                    </w:rPr>
                  </w:pPr>
                  <w:r>
                    <w:rPr>
                      <w:rFonts w:hint="eastAsia"/>
                      <w:szCs w:val="21"/>
                      <w:lang w:val="zh-CN"/>
                    </w:rPr>
                    <w:t>900-039-49</w:t>
                  </w:r>
                </w:p>
              </w:tc>
              <w:tc>
                <w:tcPr>
                  <w:tcW w:w="471" w:type="pct"/>
                  <w:vAlign w:val="center"/>
                </w:tcPr>
                <w:p>
                  <w:pPr>
                    <w:widowControl/>
                    <w:adjustRightInd w:val="0"/>
                    <w:snapToGrid w:val="0"/>
                    <w:jc w:val="center"/>
                    <w:textAlignment w:val="center"/>
                    <w:rPr>
                      <w:rFonts w:hint="default"/>
                      <w:bCs/>
                      <w:color w:val="FF0000"/>
                      <w:szCs w:val="21"/>
                      <w:lang w:val="en-US"/>
                    </w:rPr>
                  </w:pPr>
                  <w:r>
                    <w:rPr>
                      <w:rFonts w:hint="eastAsia"/>
                      <w:bCs/>
                      <w:szCs w:val="21"/>
                      <w:lang w:val="en-US" w:eastAsia="zh-CN"/>
                    </w:rPr>
                    <w:t>3.67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612" w:type="pct"/>
                <w:trHeight w:val="132" w:hRule="atLeast"/>
              </w:trPr>
              <w:tc>
                <w:tcPr>
                  <w:tcW w:w="144" w:type="pct"/>
                  <w:vAlign w:val="center"/>
                </w:tcPr>
                <w:p>
                  <w:pPr>
                    <w:widowControl/>
                    <w:adjustRightInd w:val="0"/>
                    <w:snapToGrid w:val="0"/>
                    <w:jc w:val="center"/>
                    <w:textAlignment w:val="center"/>
                    <w:rPr>
                      <w:bCs/>
                      <w:szCs w:val="21"/>
                    </w:rPr>
                  </w:pPr>
                  <w:r>
                    <w:rPr>
                      <w:kern w:val="0"/>
                      <w:szCs w:val="21"/>
                      <w:lang w:bidi="ar"/>
                    </w:rPr>
                    <w:t>5</w:t>
                  </w:r>
                </w:p>
              </w:tc>
              <w:tc>
                <w:tcPr>
                  <w:tcW w:w="541" w:type="pct"/>
                  <w:vAlign w:val="center"/>
                </w:tcPr>
                <w:p>
                  <w:pPr>
                    <w:widowControl/>
                    <w:adjustRightInd w:val="0"/>
                    <w:snapToGrid w:val="0"/>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eastAsia="zh-CN"/>
                    </w:rPr>
                    <w:t>不合格品</w:t>
                  </w:r>
                </w:p>
              </w:tc>
              <w:tc>
                <w:tcPr>
                  <w:tcW w:w="267" w:type="pct"/>
                  <w:vAlign w:val="center"/>
                </w:tcPr>
                <w:p>
                  <w:pPr>
                    <w:widowControl/>
                    <w:adjustRightInd w:val="0"/>
                    <w:snapToGrid w:val="0"/>
                    <w:jc w:val="center"/>
                    <w:textAlignment w:val="center"/>
                    <w:rPr>
                      <w:rFonts w:hint="eastAsia" w:eastAsia="宋体"/>
                      <w:bCs/>
                      <w:szCs w:val="21"/>
                      <w:lang w:eastAsia="zh-CN"/>
                    </w:rPr>
                  </w:pPr>
                  <w:r>
                    <w:rPr>
                      <w:rFonts w:hint="eastAsia"/>
                      <w:bCs/>
                      <w:szCs w:val="21"/>
                      <w:lang w:eastAsia="zh-CN"/>
                    </w:rPr>
                    <w:t>危险废物</w:t>
                  </w:r>
                </w:p>
              </w:tc>
              <w:tc>
                <w:tcPr>
                  <w:tcW w:w="471" w:type="pct"/>
                  <w:vAlign w:val="center"/>
                </w:tcPr>
                <w:p>
                  <w:pPr>
                    <w:widowControl/>
                    <w:adjustRightInd w:val="0"/>
                    <w:snapToGrid w:val="0"/>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eastAsia="zh-CN"/>
                    </w:rPr>
                    <w:t>检测工序</w:t>
                  </w:r>
                </w:p>
              </w:tc>
              <w:tc>
                <w:tcPr>
                  <w:tcW w:w="267" w:type="pct"/>
                  <w:vAlign w:val="center"/>
                </w:tcPr>
                <w:p>
                  <w:pPr>
                    <w:widowControl/>
                    <w:adjustRightInd w:val="0"/>
                    <w:snapToGrid w:val="0"/>
                    <w:jc w:val="center"/>
                    <w:textAlignment w:val="center"/>
                    <w:rPr>
                      <w:bCs/>
                      <w:szCs w:val="21"/>
                    </w:rPr>
                  </w:pPr>
                  <w:r>
                    <w:rPr>
                      <w:kern w:val="0"/>
                      <w:szCs w:val="21"/>
                      <w:lang w:bidi="ar"/>
                    </w:rPr>
                    <w:t>固</w:t>
                  </w:r>
                </w:p>
              </w:tc>
              <w:tc>
                <w:tcPr>
                  <w:tcW w:w="609" w:type="pct"/>
                  <w:vAlign w:val="center"/>
                </w:tcPr>
                <w:p>
                  <w:pPr>
                    <w:widowControl/>
                    <w:jc w:val="center"/>
                    <w:textAlignment w:val="center"/>
                    <w:rPr>
                      <w:szCs w:val="21"/>
                    </w:rPr>
                  </w:pPr>
                  <w:r>
                    <w:rPr>
                      <w:rFonts w:hint="eastAsia"/>
                      <w:szCs w:val="21"/>
                      <w:lang w:eastAsia="zh-CN"/>
                    </w:rPr>
                    <w:t>玻璃</w:t>
                  </w:r>
                </w:p>
              </w:tc>
              <w:tc>
                <w:tcPr>
                  <w:tcW w:w="471" w:type="pct"/>
                  <w:vMerge w:val="continue"/>
                  <w:vAlign w:val="center"/>
                </w:tcPr>
                <w:p>
                  <w:pPr>
                    <w:widowControl/>
                    <w:adjustRightInd w:val="0"/>
                    <w:snapToGrid w:val="0"/>
                    <w:jc w:val="center"/>
                    <w:textAlignment w:val="center"/>
                    <w:rPr>
                      <w:bCs/>
                      <w:szCs w:val="21"/>
                    </w:rPr>
                  </w:pPr>
                </w:p>
              </w:tc>
              <w:tc>
                <w:tcPr>
                  <w:tcW w:w="267" w:type="pct"/>
                  <w:vAlign w:val="center"/>
                </w:tcPr>
                <w:p>
                  <w:pPr>
                    <w:widowControl/>
                    <w:adjustRightInd w:val="0"/>
                    <w:snapToGrid w:val="0"/>
                    <w:jc w:val="center"/>
                    <w:textAlignment w:val="center"/>
                    <w:rPr>
                      <w:bCs/>
                      <w:szCs w:val="21"/>
                    </w:rPr>
                  </w:pPr>
                  <w:r>
                    <w:rPr>
                      <w:kern w:val="0"/>
                      <w:szCs w:val="21"/>
                      <w:lang w:bidi="ar"/>
                    </w:rPr>
                    <w:t>/</w:t>
                  </w:r>
                </w:p>
              </w:tc>
              <w:tc>
                <w:tcPr>
                  <w:tcW w:w="354" w:type="pct"/>
                  <w:vAlign w:val="center"/>
                </w:tcPr>
                <w:p>
                  <w:pPr>
                    <w:widowControl/>
                    <w:adjustRightInd w:val="0"/>
                    <w:snapToGrid w:val="0"/>
                    <w:jc w:val="center"/>
                    <w:textAlignment w:val="center"/>
                    <w:rPr>
                      <w:bCs/>
                      <w:szCs w:val="21"/>
                    </w:rPr>
                  </w:pPr>
                  <w:r>
                    <w:rPr>
                      <w:kern w:val="0"/>
                      <w:szCs w:val="21"/>
                      <w:lang w:bidi="ar"/>
                    </w:rPr>
                    <w:t>/</w:t>
                  </w:r>
                </w:p>
              </w:tc>
              <w:tc>
                <w:tcPr>
                  <w:tcW w:w="519" w:type="pct"/>
                  <w:vAlign w:val="center"/>
                </w:tcPr>
                <w:p>
                  <w:pPr>
                    <w:widowControl/>
                    <w:adjustRightInd w:val="0"/>
                    <w:snapToGrid w:val="0"/>
                    <w:jc w:val="center"/>
                    <w:textAlignment w:val="center"/>
                    <w:rPr>
                      <w:bCs/>
                      <w:szCs w:val="21"/>
                    </w:rPr>
                  </w:pPr>
                  <w:r>
                    <w:rPr>
                      <w:rFonts w:hint="eastAsia"/>
                      <w:bCs/>
                      <w:szCs w:val="21"/>
                      <w:lang w:val="en-US" w:eastAsia="zh-CN"/>
                    </w:rPr>
                    <w:t>/</w:t>
                  </w:r>
                </w:p>
              </w:tc>
              <w:tc>
                <w:tcPr>
                  <w:tcW w:w="471" w:type="pct"/>
                  <w:vAlign w:val="center"/>
                </w:tcPr>
                <w:p>
                  <w:pPr>
                    <w:widowControl/>
                    <w:adjustRightInd w:val="0"/>
                    <w:snapToGrid w:val="0"/>
                    <w:jc w:val="center"/>
                    <w:textAlignment w:val="center"/>
                    <w:rPr>
                      <w:bCs/>
                      <w:szCs w:val="21"/>
                    </w:rPr>
                  </w:pPr>
                  <w:r>
                    <w:rPr>
                      <w:rFonts w:hint="eastAsia"/>
                      <w:bCs/>
                      <w:szCs w:val="21"/>
                      <w:lang w:val="en-US" w:eastAsia="zh-CN"/>
                    </w:rPr>
                    <w:t>662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gridAfter w:val="1"/>
                <w:wAfter w:w="612" w:type="pct"/>
                <w:trHeight w:val="132" w:hRule="atLeast"/>
              </w:trPr>
              <w:tc>
                <w:tcPr>
                  <w:tcW w:w="144" w:type="pct"/>
                  <w:vAlign w:val="center"/>
                </w:tcPr>
                <w:p>
                  <w:pPr>
                    <w:widowControl/>
                    <w:adjustRightInd w:val="0"/>
                    <w:snapToGrid w:val="0"/>
                    <w:jc w:val="center"/>
                    <w:textAlignment w:val="center"/>
                    <w:rPr>
                      <w:rFonts w:hint="eastAsia" w:eastAsia="宋体"/>
                      <w:kern w:val="0"/>
                      <w:szCs w:val="21"/>
                      <w:lang w:val="en-US" w:eastAsia="zh-CN" w:bidi="ar"/>
                    </w:rPr>
                  </w:pPr>
                  <w:r>
                    <w:rPr>
                      <w:rFonts w:hint="eastAsia"/>
                      <w:kern w:val="0"/>
                      <w:szCs w:val="21"/>
                      <w:lang w:val="en-US" w:eastAsia="zh-CN" w:bidi="ar"/>
                    </w:rPr>
                    <w:t>6</w:t>
                  </w:r>
                </w:p>
              </w:tc>
              <w:tc>
                <w:tcPr>
                  <w:tcW w:w="541" w:type="pct"/>
                  <w:vAlign w:val="center"/>
                </w:tcPr>
                <w:p>
                  <w:pPr>
                    <w:widowControl/>
                    <w:adjustRightInd w:val="0"/>
                    <w:snapToGrid w:val="0"/>
                    <w:jc w:val="center"/>
                    <w:textAlignment w:val="center"/>
                    <w:rPr>
                      <w:rFonts w:hint="eastAsia" w:ascii="Times New Roman" w:hAnsi="Times New Roman" w:eastAsia="宋体" w:cs="Times New Roman"/>
                      <w:kern w:val="2"/>
                      <w:sz w:val="21"/>
                      <w:szCs w:val="21"/>
                      <w:lang w:val="en-US" w:eastAsia="zh-CN" w:bidi="ar-SA"/>
                    </w:rPr>
                  </w:pPr>
                  <w:r>
                    <w:rPr>
                      <w:rFonts w:hint="eastAsia"/>
                      <w:kern w:val="0"/>
                      <w:szCs w:val="21"/>
                      <w:lang w:eastAsia="zh-CN" w:bidi="ar"/>
                    </w:rPr>
                    <w:t>污泥</w:t>
                  </w:r>
                </w:p>
              </w:tc>
              <w:tc>
                <w:tcPr>
                  <w:tcW w:w="267" w:type="pct"/>
                  <w:vAlign w:val="center"/>
                </w:tcPr>
                <w:p>
                  <w:pPr>
                    <w:widowControl/>
                    <w:adjustRightInd w:val="0"/>
                    <w:snapToGrid w:val="0"/>
                    <w:jc w:val="center"/>
                    <w:textAlignment w:val="center"/>
                    <w:rPr>
                      <w:kern w:val="0"/>
                      <w:szCs w:val="21"/>
                      <w:lang w:bidi="ar"/>
                    </w:rPr>
                  </w:pPr>
                  <w:r>
                    <w:rPr>
                      <w:rFonts w:hint="eastAsia"/>
                      <w:bCs/>
                      <w:szCs w:val="21"/>
                      <w:lang w:eastAsia="zh-CN"/>
                    </w:rPr>
                    <w:t>一般固废</w:t>
                  </w:r>
                </w:p>
              </w:tc>
              <w:tc>
                <w:tcPr>
                  <w:tcW w:w="471" w:type="pct"/>
                  <w:vAlign w:val="center"/>
                </w:tcPr>
                <w:p>
                  <w:pPr>
                    <w:widowControl/>
                    <w:adjustRightInd w:val="0"/>
                    <w:snapToGrid w:val="0"/>
                    <w:jc w:val="center"/>
                    <w:textAlignment w:val="center"/>
                    <w:rPr>
                      <w:rFonts w:hint="eastAsia" w:ascii="Times New Roman" w:hAnsi="Times New Roman" w:eastAsia="宋体" w:cs="Times New Roman"/>
                      <w:kern w:val="2"/>
                      <w:sz w:val="21"/>
                      <w:szCs w:val="21"/>
                      <w:lang w:val="en-US" w:eastAsia="zh-CN" w:bidi="ar-SA"/>
                    </w:rPr>
                  </w:pPr>
                  <w:r>
                    <w:rPr>
                      <w:rFonts w:hint="eastAsia"/>
                      <w:szCs w:val="21"/>
                      <w:lang w:eastAsia="zh-CN"/>
                    </w:rPr>
                    <w:t>废水处理</w:t>
                  </w:r>
                </w:p>
              </w:tc>
              <w:tc>
                <w:tcPr>
                  <w:tcW w:w="267" w:type="pct"/>
                  <w:vAlign w:val="center"/>
                </w:tcPr>
                <w:p>
                  <w:pPr>
                    <w:widowControl/>
                    <w:adjustRightInd w:val="0"/>
                    <w:snapToGrid w:val="0"/>
                    <w:jc w:val="center"/>
                    <w:textAlignment w:val="center"/>
                    <w:rPr>
                      <w:kern w:val="0"/>
                      <w:szCs w:val="21"/>
                      <w:lang w:bidi="ar"/>
                    </w:rPr>
                  </w:pPr>
                  <w:r>
                    <w:rPr>
                      <w:kern w:val="0"/>
                      <w:szCs w:val="21"/>
                      <w:lang w:bidi="ar"/>
                    </w:rPr>
                    <w:t>固</w:t>
                  </w:r>
                </w:p>
              </w:tc>
              <w:tc>
                <w:tcPr>
                  <w:tcW w:w="609" w:type="pct"/>
                  <w:vAlign w:val="center"/>
                </w:tcPr>
                <w:p>
                  <w:pPr>
                    <w:widowControl/>
                    <w:jc w:val="center"/>
                    <w:textAlignment w:val="center"/>
                    <w:rPr>
                      <w:kern w:val="0"/>
                      <w:szCs w:val="21"/>
                      <w:lang w:bidi="ar"/>
                    </w:rPr>
                  </w:pPr>
                  <w:r>
                    <w:rPr>
                      <w:rFonts w:hint="eastAsia"/>
                      <w:color w:val="000000"/>
                      <w:szCs w:val="21"/>
                      <w:lang w:val="zh-CN"/>
                    </w:rPr>
                    <w:t>聚铝、硅酸盐</w:t>
                  </w:r>
                </w:p>
              </w:tc>
              <w:tc>
                <w:tcPr>
                  <w:tcW w:w="471" w:type="pct"/>
                  <w:vAlign w:val="center"/>
                </w:tcPr>
                <w:p>
                  <w:pPr>
                    <w:widowControl/>
                    <w:adjustRightInd w:val="0"/>
                    <w:snapToGrid w:val="0"/>
                    <w:jc w:val="center"/>
                    <w:textAlignment w:val="center"/>
                    <w:rPr>
                      <w:bCs/>
                      <w:szCs w:val="21"/>
                    </w:rPr>
                  </w:pPr>
                </w:p>
              </w:tc>
              <w:tc>
                <w:tcPr>
                  <w:tcW w:w="267" w:type="pct"/>
                  <w:vAlign w:val="center"/>
                </w:tcPr>
                <w:p>
                  <w:pPr>
                    <w:widowControl/>
                    <w:adjustRightInd w:val="0"/>
                    <w:snapToGrid w:val="0"/>
                    <w:jc w:val="center"/>
                    <w:textAlignment w:val="center"/>
                    <w:rPr>
                      <w:kern w:val="0"/>
                      <w:szCs w:val="21"/>
                      <w:lang w:bidi="ar"/>
                    </w:rPr>
                  </w:pPr>
                  <w:r>
                    <w:rPr>
                      <w:kern w:val="0"/>
                      <w:szCs w:val="21"/>
                      <w:lang w:bidi="ar"/>
                    </w:rPr>
                    <w:t>/</w:t>
                  </w:r>
                </w:p>
              </w:tc>
              <w:tc>
                <w:tcPr>
                  <w:tcW w:w="354" w:type="pct"/>
                  <w:vAlign w:val="center"/>
                </w:tcPr>
                <w:p>
                  <w:pPr>
                    <w:widowControl/>
                    <w:adjustRightInd w:val="0"/>
                    <w:snapToGrid w:val="0"/>
                    <w:jc w:val="center"/>
                    <w:textAlignment w:val="center"/>
                    <w:rPr>
                      <w:szCs w:val="21"/>
                    </w:rPr>
                  </w:pPr>
                  <w:r>
                    <w:rPr>
                      <w:kern w:val="0"/>
                      <w:szCs w:val="21"/>
                      <w:lang w:bidi="ar"/>
                    </w:rPr>
                    <w:t>/</w:t>
                  </w:r>
                </w:p>
              </w:tc>
              <w:tc>
                <w:tcPr>
                  <w:tcW w:w="519" w:type="pct"/>
                  <w:vAlign w:val="center"/>
                </w:tcPr>
                <w:p>
                  <w:pPr>
                    <w:widowControl/>
                    <w:adjustRightInd w:val="0"/>
                    <w:snapToGrid w:val="0"/>
                    <w:jc w:val="center"/>
                    <w:textAlignment w:val="center"/>
                    <w:rPr>
                      <w:kern w:val="0"/>
                      <w:szCs w:val="21"/>
                      <w:lang w:bidi="ar"/>
                    </w:rPr>
                  </w:pPr>
                  <w:r>
                    <w:rPr>
                      <w:rFonts w:hint="eastAsia"/>
                      <w:bCs/>
                      <w:szCs w:val="21"/>
                      <w:lang w:val="en-US" w:eastAsia="zh-CN"/>
                    </w:rPr>
                    <w:t>/</w:t>
                  </w:r>
                </w:p>
              </w:tc>
              <w:tc>
                <w:tcPr>
                  <w:tcW w:w="471" w:type="pct"/>
                  <w:vAlign w:val="center"/>
                </w:tcPr>
                <w:p>
                  <w:pPr>
                    <w:widowControl/>
                    <w:adjustRightInd w:val="0"/>
                    <w:snapToGrid w:val="0"/>
                    <w:jc w:val="center"/>
                    <w:textAlignment w:val="center"/>
                    <w:rPr>
                      <w:kern w:val="0"/>
                      <w:szCs w:val="21"/>
                      <w:lang w:bidi="ar"/>
                    </w:rPr>
                  </w:pPr>
                  <w:r>
                    <w:rPr>
                      <w:rFonts w:hint="eastAsia"/>
                      <w:kern w:val="0"/>
                      <w:szCs w:val="21"/>
                      <w:lang w:val="en-US" w:eastAsia="zh-CN" w:bidi="ar"/>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32" w:hRule="atLeast"/>
              </w:trPr>
              <w:tc>
                <w:tcPr>
                  <w:tcW w:w="4387" w:type="pct"/>
                  <w:gridSpan w:val="11"/>
                  <w:vAlign w:val="center"/>
                </w:tcPr>
                <w:p>
                  <w:pPr>
                    <w:widowControl/>
                    <w:adjustRightInd w:val="0"/>
                    <w:snapToGrid w:val="0"/>
                    <w:jc w:val="center"/>
                    <w:textAlignment w:val="center"/>
                    <w:rPr>
                      <w:kern w:val="0"/>
                      <w:szCs w:val="21"/>
                      <w:lang w:bidi="ar"/>
                    </w:rPr>
                  </w:pPr>
                  <w:r>
                    <w:t>注：上表危险特性中“T ”指毒性，“I”易燃性、“In”指感染性；</w:t>
                  </w:r>
                </w:p>
              </w:tc>
              <w:tc>
                <w:tcPr>
                  <w:tcW w:w="612" w:type="pct"/>
                  <w:vAlign w:val="center"/>
                </w:tcPr>
                <w:p>
                  <w:pPr>
                    <w:widowControl/>
                    <w:adjustRightInd w:val="0"/>
                    <w:snapToGrid w:val="0"/>
                    <w:jc w:val="center"/>
                    <w:textAlignment w:val="center"/>
                    <w:rPr>
                      <w:rFonts w:hint="eastAsia" w:ascii="Times New Roman" w:hAnsi="Times New Roman" w:eastAsia="宋体" w:cs="Times New Roman"/>
                      <w:kern w:val="0"/>
                      <w:sz w:val="21"/>
                      <w:szCs w:val="21"/>
                      <w:lang w:val="en-US" w:eastAsia="zh-CN" w:bidi="ar"/>
                    </w:rPr>
                  </w:pPr>
                  <w:r>
                    <w:rPr>
                      <w:rFonts w:hint="eastAsia"/>
                      <w:kern w:val="0"/>
                      <w:szCs w:val="21"/>
                      <w:lang w:eastAsia="zh-CN" w:bidi="ar"/>
                    </w:rPr>
                    <w:t>污泥</w:t>
                  </w:r>
                </w:p>
              </w:tc>
            </w:tr>
          </w:tbl>
          <w:p>
            <w:pPr>
              <w:adjustRightInd w:val="0"/>
              <w:snapToGrid w:val="0"/>
              <w:jc w:val="center"/>
              <w:rPr>
                <w:b/>
                <w:sz w:val="24"/>
              </w:rPr>
            </w:pPr>
          </w:p>
          <w:p>
            <w:pPr>
              <w:adjustRightInd w:val="0"/>
              <w:snapToGrid w:val="0"/>
              <w:jc w:val="center"/>
              <w:rPr>
                <w:b/>
                <w:sz w:val="24"/>
              </w:rPr>
            </w:pPr>
            <w:r>
              <w:rPr>
                <w:b/>
                <w:sz w:val="24"/>
              </w:rPr>
              <w:t>表</w:t>
            </w:r>
            <w:r>
              <w:rPr>
                <w:rFonts w:hint="eastAsia"/>
                <w:b/>
                <w:sz w:val="24"/>
              </w:rPr>
              <w:t>4</w:t>
            </w:r>
            <w:r>
              <w:rPr>
                <w:b/>
                <w:sz w:val="24"/>
              </w:rPr>
              <w:t>-</w:t>
            </w:r>
            <w:r>
              <w:rPr>
                <w:rFonts w:hint="eastAsia"/>
                <w:b/>
                <w:sz w:val="24"/>
              </w:rPr>
              <w:t>2</w:t>
            </w:r>
            <w:r>
              <w:rPr>
                <w:rFonts w:hint="eastAsia"/>
                <w:b/>
                <w:sz w:val="24"/>
                <w:lang w:val="en-US" w:eastAsia="zh-CN"/>
              </w:rPr>
              <w:t>2</w:t>
            </w:r>
            <w:r>
              <w:rPr>
                <w:rFonts w:hint="eastAsia"/>
                <w:b/>
                <w:sz w:val="24"/>
              </w:rPr>
              <w:t xml:space="preserve">   </w:t>
            </w:r>
            <w:r>
              <w:rPr>
                <w:b/>
                <w:sz w:val="24"/>
              </w:rPr>
              <w:t>项目固废</w:t>
            </w:r>
            <w:r>
              <w:rPr>
                <w:rFonts w:hint="eastAsia"/>
                <w:b/>
                <w:sz w:val="24"/>
              </w:rPr>
              <w:t>处置方式</w:t>
            </w:r>
            <w:r>
              <w:rPr>
                <w:b/>
                <w:sz w:val="24"/>
              </w:rPr>
              <w:t>汇总</w:t>
            </w:r>
            <w:r>
              <w:rPr>
                <w:rFonts w:hint="eastAsia"/>
                <w:b/>
                <w:sz w:val="24"/>
              </w:rPr>
              <w:t>表</w:t>
            </w:r>
          </w:p>
          <w:tbl>
            <w:tblPr>
              <w:tblStyle w:val="36"/>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48"/>
              <w:gridCol w:w="989"/>
              <w:gridCol w:w="608"/>
              <w:gridCol w:w="935"/>
              <w:gridCol w:w="395"/>
              <w:gridCol w:w="491"/>
              <w:gridCol w:w="678"/>
              <w:gridCol w:w="1081"/>
              <w:gridCol w:w="665"/>
              <w:gridCol w:w="1052"/>
              <w:gridCol w:w="11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64" w:type="pct"/>
                  <w:vAlign w:val="center"/>
                </w:tcPr>
                <w:p>
                  <w:pPr>
                    <w:widowControl/>
                    <w:jc w:val="center"/>
                    <w:rPr>
                      <w:b/>
                      <w:kern w:val="0"/>
                      <w:szCs w:val="21"/>
                    </w:rPr>
                  </w:pPr>
                  <w:r>
                    <w:rPr>
                      <w:b/>
                      <w:kern w:val="0"/>
                      <w:szCs w:val="21"/>
                    </w:rPr>
                    <w:t>序号</w:t>
                  </w:r>
                </w:p>
              </w:tc>
              <w:tc>
                <w:tcPr>
                  <w:tcW w:w="582" w:type="pct"/>
                  <w:vAlign w:val="center"/>
                </w:tcPr>
                <w:p>
                  <w:pPr>
                    <w:widowControl/>
                    <w:jc w:val="center"/>
                    <w:rPr>
                      <w:b/>
                      <w:kern w:val="0"/>
                      <w:szCs w:val="21"/>
                    </w:rPr>
                  </w:pPr>
                  <w:r>
                    <w:rPr>
                      <w:b/>
                      <w:kern w:val="0"/>
                      <w:szCs w:val="21"/>
                    </w:rPr>
                    <w:t>固废名称</w:t>
                  </w:r>
                </w:p>
              </w:tc>
              <w:tc>
                <w:tcPr>
                  <w:tcW w:w="358" w:type="pct"/>
                  <w:vAlign w:val="center"/>
                </w:tcPr>
                <w:p>
                  <w:pPr>
                    <w:widowControl/>
                    <w:jc w:val="center"/>
                    <w:rPr>
                      <w:b/>
                      <w:kern w:val="0"/>
                      <w:szCs w:val="21"/>
                    </w:rPr>
                  </w:pPr>
                  <w:r>
                    <w:rPr>
                      <w:b/>
                      <w:kern w:val="0"/>
                      <w:szCs w:val="21"/>
                    </w:rPr>
                    <w:t>属性</w:t>
                  </w:r>
                </w:p>
              </w:tc>
              <w:tc>
                <w:tcPr>
                  <w:tcW w:w="550" w:type="pct"/>
                  <w:vAlign w:val="center"/>
                </w:tcPr>
                <w:p>
                  <w:pPr>
                    <w:widowControl/>
                    <w:jc w:val="center"/>
                    <w:rPr>
                      <w:b/>
                      <w:kern w:val="0"/>
                      <w:szCs w:val="21"/>
                    </w:rPr>
                  </w:pPr>
                  <w:r>
                    <w:rPr>
                      <w:b/>
                      <w:kern w:val="0"/>
                      <w:szCs w:val="21"/>
                    </w:rPr>
                    <w:t>产生工序</w:t>
                  </w:r>
                </w:p>
              </w:tc>
              <w:tc>
                <w:tcPr>
                  <w:tcW w:w="233" w:type="pct"/>
                  <w:vAlign w:val="center"/>
                </w:tcPr>
                <w:p>
                  <w:pPr>
                    <w:widowControl/>
                    <w:jc w:val="center"/>
                    <w:rPr>
                      <w:b/>
                      <w:kern w:val="0"/>
                      <w:szCs w:val="21"/>
                    </w:rPr>
                  </w:pPr>
                  <w:r>
                    <w:rPr>
                      <w:b/>
                      <w:kern w:val="0"/>
                      <w:szCs w:val="21"/>
                    </w:rPr>
                    <w:t>形态</w:t>
                  </w:r>
                </w:p>
              </w:tc>
              <w:tc>
                <w:tcPr>
                  <w:tcW w:w="289" w:type="pct"/>
                  <w:vAlign w:val="center"/>
                </w:tcPr>
                <w:p>
                  <w:pPr>
                    <w:widowControl/>
                    <w:jc w:val="center"/>
                    <w:rPr>
                      <w:b/>
                      <w:kern w:val="0"/>
                      <w:szCs w:val="21"/>
                    </w:rPr>
                  </w:pPr>
                  <w:r>
                    <w:rPr>
                      <w:b/>
                      <w:kern w:val="0"/>
                      <w:szCs w:val="21"/>
                    </w:rPr>
                    <w:t>危险特性</w:t>
                  </w:r>
                </w:p>
              </w:tc>
              <w:tc>
                <w:tcPr>
                  <w:tcW w:w="399" w:type="pct"/>
                  <w:vAlign w:val="center"/>
                </w:tcPr>
                <w:p>
                  <w:pPr>
                    <w:widowControl/>
                    <w:jc w:val="center"/>
                    <w:rPr>
                      <w:b/>
                      <w:kern w:val="0"/>
                      <w:szCs w:val="21"/>
                    </w:rPr>
                  </w:pPr>
                  <w:r>
                    <w:rPr>
                      <w:b/>
                      <w:kern w:val="0"/>
                      <w:szCs w:val="21"/>
                    </w:rPr>
                    <w:t>废物类别</w:t>
                  </w:r>
                </w:p>
              </w:tc>
              <w:tc>
                <w:tcPr>
                  <w:tcW w:w="636" w:type="pct"/>
                  <w:vAlign w:val="center"/>
                </w:tcPr>
                <w:p>
                  <w:pPr>
                    <w:widowControl/>
                    <w:jc w:val="center"/>
                    <w:rPr>
                      <w:b/>
                      <w:kern w:val="0"/>
                      <w:szCs w:val="21"/>
                    </w:rPr>
                  </w:pPr>
                  <w:r>
                    <w:rPr>
                      <w:b/>
                      <w:kern w:val="0"/>
                      <w:szCs w:val="21"/>
                    </w:rPr>
                    <w:t>废物代码</w:t>
                  </w:r>
                </w:p>
              </w:tc>
              <w:tc>
                <w:tcPr>
                  <w:tcW w:w="386" w:type="pct"/>
                  <w:vAlign w:val="center"/>
                </w:tcPr>
                <w:p>
                  <w:pPr>
                    <w:widowControl/>
                    <w:jc w:val="center"/>
                    <w:rPr>
                      <w:b/>
                      <w:kern w:val="0"/>
                      <w:szCs w:val="21"/>
                    </w:rPr>
                  </w:pPr>
                  <w:r>
                    <w:rPr>
                      <w:b/>
                      <w:kern w:val="0"/>
                      <w:szCs w:val="21"/>
                    </w:rPr>
                    <w:t>估算产生量（t/a）</w:t>
                  </w:r>
                </w:p>
              </w:tc>
              <w:tc>
                <w:tcPr>
                  <w:tcW w:w="619" w:type="pct"/>
                  <w:vAlign w:val="center"/>
                </w:tcPr>
                <w:p>
                  <w:pPr>
                    <w:widowControl/>
                    <w:jc w:val="center"/>
                    <w:rPr>
                      <w:b/>
                      <w:kern w:val="0"/>
                      <w:szCs w:val="21"/>
                    </w:rPr>
                  </w:pPr>
                  <w:r>
                    <w:rPr>
                      <w:b/>
                      <w:szCs w:val="21"/>
                    </w:rPr>
                    <w:t>利用处置方式</w:t>
                  </w:r>
                </w:p>
              </w:tc>
              <w:tc>
                <w:tcPr>
                  <w:tcW w:w="678" w:type="pct"/>
                  <w:vAlign w:val="center"/>
                </w:tcPr>
                <w:p>
                  <w:pPr>
                    <w:widowControl/>
                    <w:jc w:val="center"/>
                    <w:rPr>
                      <w:b/>
                      <w:szCs w:val="21"/>
                    </w:rPr>
                  </w:pPr>
                  <w:r>
                    <w:rPr>
                      <w:b/>
                      <w:szCs w:val="21"/>
                    </w:rPr>
                    <w:t>利用处置单位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264" w:type="pct"/>
                  <w:vAlign w:val="center"/>
                </w:tcPr>
                <w:p>
                  <w:pPr>
                    <w:jc w:val="center"/>
                    <w:rPr>
                      <w:bCs/>
                      <w:szCs w:val="21"/>
                    </w:rPr>
                  </w:pPr>
                  <w:r>
                    <w:rPr>
                      <w:bCs/>
                      <w:szCs w:val="21"/>
                    </w:rPr>
                    <w:t>1</w:t>
                  </w:r>
                </w:p>
              </w:tc>
              <w:tc>
                <w:tcPr>
                  <w:tcW w:w="582" w:type="pct"/>
                  <w:vAlign w:val="center"/>
                </w:tcPr>
                <w:p>
                  <w:pPr>
                    <w:widowControl/>
                    <w:adjustRightInd w:val="0"/>
                    <w:snapToGrid w:val="0"/>
                    <w:jc w:val="center"/>
                    <w:textAlignment w:val="center"/>
                    <w:rPr>
                      <w:bCs/>
                      <w:szCs w:val="21"/>
                    </w:rPr>
                  </w:pPr>
                  <w:r>
                    <w:rPr>
                      <w:rFonts w:hint="eastAsia"/>
                      <w:kern w:val="0"/>
                      <w:szCs w:val="21"/>
                      <w:lang w:eastAsia="zh-CN" w:bidi="ar"/>
                    </w:rPr>
                    <w:t>玻璃碎屑</w:t>
                  </w:r>
                </w:p>
              </w:tc>
              <w:tc>
                <w:tcPr>
                  <w:tcW w:w="358" w:type="pct"/>
                  <w:vAlign w:val="center"/>
                </w:tcPr>
                <w:p>
                  <w:pPr>
                    <w:widowControl/>
                    <w:adjustRightInd w:val="0"/>
                    <w:snapToGrid w:val="0"/>
                    <w:jc w:val="center"/>
                    <w:textAlignment w:val="center"/>
                    <w:rPr>
                      <w:bCs/>
                      <w:szCs w:val="21"/>
                    </w:rPr>
                  </w:pPr>
                  <w:r>
                    <w:rPr>
                      <w:kern w:val="0"/>
                      <w:szCs w:val="21"/>
                      <w:lang w:bidi="ar"/>
                    </w:rPr>
                    <w:t>一般固废</w:t>
                  </w:r>
                </w:p>
              </w:tc>
              <w:tc>
                <w:tcPr>
                  <w:tcW w:w="550" w:type="pct"/>
                  <w:vAlign w:val="center"/>
                </w:tcPr>
                <w:p>
                  <w:pPr>
                    <w:widowControl/>
                    <w:adjustRightInd w:val="0"/>
                    <w:snapToGrid w:val="0"/>
                    <w:jc w:val="center"/>
                    <w:textAlignment w:val="center"/>
                    <w:rPr>
                      <w:szCs w:val="21"/>
                    </w:rPr>
                  </w:pPr>
                  <w:r>
                    <w:rPr>
                      <w:rFonts w:hint="eastAsia"/>
                      <w:kern w:val="0"/>
                      <w:szCs w:val="21"/>
                      <w:lang w:eastAsia="zh-CN" w:bidi="ar"/>
                    </w:rPr>
                    <w:t>激光切割工序</w:t>
                  </w:r>
                </w:p>
              </w:tc>
              <w:tc>
                <w:tcPr>
                  <w:tcW w:w="233" w:type="pct"/>
                  <w:vAlign w:val="center"/>
                </w:tcPr>
                <w:p>
                  <w:pPr>
                    <w:widowControl/>
                    <w:adjustRightInd w:val="0"/>
                    <w:snapToGrid w:val="0"/>
                    <w:jc w:val="center"/>
                    <w:textAlignment w:val="center"/>
                    <w:rPr>
                      <w:bCs/>
                      <w:szCs w:val="21"/>
                    </w:rPr>
                  </w:pPr>
                  <w:r>
                    <w:rPr>
                      <w:kern w:val="0"/>
                      <w:szCs w:val="21"/>
                      <w:lang w:bidi="ar"/>
                    </w:rPr>
                    <w:t>固</w:t>
                  </w:r>
                </w:p>
              </w:tc>
              <w:tc>
                <w:tcPr>
                  <w:tcW w:w="289" w:type="pct"/>
                  <w:vAlign w:val="center"/>
                </w:tcPr>
                <w:p>
                  <w:pPr>
                    <w:widowControl/>
                    <w:adjustRightInd w:val="0"/>
                    <w:snapToGrid w:val="0"/>
                    <w:jc w:val="center"/>
                    <w:textAlignment w:val="center"/>
                    <w:rPr>
                      <w:bCs/>
                      <w:szCs w:val="21"/>
                    </w:rPr>
                  </w:pPr>
                  <w:r>
                    <w:rPr>
                      <w:kern w:val="0"/>
                      <w:szCs w:val="21"/>
                      <w:lang w:bidi="ar"/>
                    </w:rPr>
                    <w:t>/</w:t>
                  </w:r>
                </w:p>
              </w:tc>
              <w:tc>
                <w:tcPr>
                  <w:tcW w:w="399" w:type="pct"/>
                  <w:vAlign w:val="center"/>
                </w:tcPr>
                <w:p>
                  <w:pPr>
                    <w:widowControl/>
                    <w:adjustRightInd w:val="0"/>
                    <w:snapToGrid w:val="0"/>
                    <w:jc w:val="center"/>
                    <w:textAlignment w:val="center"/>
                    <w:rPr>
                      <w:bCs/>
                      <w:szCs w:val="21"/>
                    </w:rPr>
                  </w:pPr>
                  <w:r>
                    <w:rPr>
                      <w:kern w:val="0"/>
                      <w:szCs w:val="21"/>
                      <w:lang w:bidi="ar"/>
                    </w:rPr>
                    <w:t>/</w:t>
                  </w:r>
                </w:p>
              </w:tc>
              <w:tc>
                <w:tcPr>
                  <w:tcW w:w="636" w:type="pct"/>
                  <w:vAlign w:val="center"/>
                </w:tcPr>
                <w:p>
                  <w:pPr>
                    <w:widowControl/>
                    <w:adjustRightInd w:val="0"/>
                    <w:snapToGrid w:val="0"/>
                    <w:jc w:val="center"/>
                    <w:textAlignment w:val="center"/>
                    <w:rPr>
                      <w:bCs/>
                      <w:szCs w:val="21"/>
                    </w:rPr>
                  </w:pPr>
                  <w:r>
                    <w:rPr>
                      <w:rFonts w:hint="eastAsia"/>
                      <w:kern w:val="0"/>
                      <w:szCs w:val="21"/>
                      <w:lang w:val="en-US" w:eastAsia="zh-CN" w:bidi="ar"/>
                    </w:rPr>
                    <w:t>/</w:t>
                  </w:r>
                </w:p>
              </w:tc>
              <w:tc>
                <w:tcPr>
                  <w:tcW w:w="665" w:type="dxa"/>
                  <w:tcBorders>
                    <w:bottom w:val="single" w:color="auto" w:sz="4" w:space="0"/>
                  </w:tcBorders>
                  <w:vAlign w:val="center"/>
                </w:tcPr>
                <w:p>
                  <w:pPr>
                    <w:widowControl/>
                    <w:adjustRightInd w:val="0"/>
                    <w:snapToGrid w:val="0"/>
                    <w:jc w:val="center"/>
                    <w:textAlignment w:val="center"/>
                    <w:rPr>
                      <w:bCs/>
                      <w:szCs w:val="21"/>
                    </w:rPr>
                  </w:pPr>
                  <w:r>
                    <w:rPr>
                      <w:rFonts w:hint="eastAsia"/>
                      <w:bCs/>
                      <w:szCs w:val="21"/>
                      <w:lang w:val="en-US" w:eastAsia="zh-CN"/>
                    </w:rPr>
                    <w:t>40</w:t>
                  </w:r>
                </w:p>
              </w:tc>
              <w:tc>
                <w:tcPr>
                  <w:tcW w:w="619" w:type="pct"/>
                  <w:tcBorders>
                    <w:bottom w:val="single" w:color="auto" w:sz="4" w:space="0"/>
                  </w:tcBorders>
                  <w:vAlign w:val="center"/>
                </w:tcPr>
                <w:p>
                  <w:pPr>
                    <w:widowControl/>
                    <w:jc w:val="center"/>
                    <w:textAlignment w:val="center"/>
                    <w:rPr>
                      <w:rFonts w:hint="eastAsia" w:eastAsia="宋体"/>
                      <w:color w:val="000000"/>
                      <w:szCs w:val="21"/>
                      <w:lang w:val="en-US" w:eastAsia="zh-CN"/>
                    </w:rPr>
                  </w:pPr>
                  <w:r>
                    <w:rPr>
                      <w:bCs/>
                      <w:kern w:val="0"/>
                      <w:szCs w:val="21"/>
                    </w:rPr>
                    <w:t>收集后全部外售</w:t>
                  </w:r>
                </w:p>
              </w:tc>
              <w:tc>
                <w:tcPr>
                  <w:tcW w:w="678" w:type="pct"/>
                  <w:tcBorders>
                    <w:bottom w:val="single" w:color="auto" w:sz="4" w:space="0"/>
                  </w:tcBorders>
                  <w:vAlign w:val="center"/>
                </w:tcPr>
                <w:p>
                  <w:pPr>
                    <w:widowControl/>
                    <w:jc w:val="center"/>
                    <w:textAlignment w:val="center"/>
                    <w:rPr>
                      <w:rFonts w:hint="eastAsia" w:eastAsia="宋体"/>
                      <w:color w:val="000000"/>
                      <w:szCs w:val="21"/>
                      <w:lang w:val="en-US" w:eastAsia="zh-CN"/>
                    </w:rPr>
                  </w:pPr>
                  <w:r>
                    <w:rPr>
                      <w:rFonts w:hint="eastAsia"/>
                      <w:color w:val="000000"/>
                      <w:szCs w:val="21"/>
                      <w:lang w:val="en-US" w:eastAsia="zh-CN"/>
                    </w:rPr>
                    <w:t>相关单位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64" w:type="pct"/>
                  <w:vAlign w:val="center"/>
                </w:tcPr>
                <w:p>
                  <w:pPr>
                    <w:jc w:val="center"/>
                    <w:rPr>
                      <w:bCs/>
                      <w:szCs w:val="21"/>
                    </w:rPr>
                  </w:pPr>
                  <w:r>
                    <w:rPr>
                      <w:bCs/>
                      <w:szCs w:val="21"/>
                    </w:rPr>
                    <w:t>2</w:t>
                  </w:r>
                </w:p>
              </w:tc>
              <w:tc>
                <w:tcPr>
                  <w:tcW w:w="582" w:type="pct"/>
                  <w:vAlign w:val="center"/>
                </w:tcPr>
                <w:p>
                  <w:pPr>
                    <w:widowControl/>
                    <w:adjustRightInd w:val="0"/>
                    <w:snapToGrid w:val="0"/>
                    <w:jc w:val="center"/>
                    <w:textAlignment w:val="center"/>
                    <w:rPr>
                      <w:szCs w:val="21"/>
                    </w:rPr>
                  </w:pPr>
                  <w:r>
                    <w:rPr>
                      <w:rFonts w:hint="eastAsia"/>
                      <w:kern w:val="0"/>
                      <w:szCs w:val="21"/>
                      <w:lang w:eastAsia="zh-CN" w:bidi="ar"/>
                    </w:rPr>
                    <w:t>粉尘</w:t>
                  </w:r>
                </w:p>
              </w:tc>
              <w:tc>
                <w:tcPr>
                  <w:tcW w:w="358" w:type="pct"/>
                  <w:vAlign w:val="center"/>
                </w:tcPr>
                <w:p>
                  <w:pPr>
                    <w:widowControl/>
                    <w:adjustRightInd w:val="0"/>
                    <w:snapToGrid w:val="0"/>
                    <w:jc w:val="center"/>
                    <w:textAlignment w:val="center"/>
                    <w:rPr>
                      <w:bCs/>
                      <w:szCs w:val="21"/>
                    </w:rPr>
                  </w:pPr>
                  <w:r>
                    <w:rPr>
                      <w:kern w:val="0"/>
                      <w:szCs w:val="21"/>
                      <w:lang w:bidi="ar"/>
                    </w:rPr>
                    <w:t>一般固废</w:t>
                  </w:r>
                </w:p>
              </w:tc>
              <w:tc>
                <w:tcPr>
                  <w:tcW w:w="550" w:type="pct"/>
                  <w:vAlign w:val="center"/>
                </w:tcPr>
                <w:p>
                  <w:pPr>
                    <w:widowControl/>
                    <w:adjustRightInd w:val="0"/>
                    <w:snapToGrid w:val="0"/>
                    <w:ind w:firstLine="105" w:firstLineChars="50"/>
                    <w:jc w:val="center"/>
                    <w:textAlignment w:val="center"/>
                    <w:rPr>
                      <w:szCs w:val="21"/>
                    </w:rPr>
                  </w:pPr>
                  <w:r>
                    <w:rPr>
                      <w:rFonts w:hint="eastAsia"/>
                      <w:kern w:val="0"/>
                      <w:szCs w:val="21"/>
                      <w:lang w:eastAsia="zh-CN" w:bidi="ar"/>
                    </w:rPr>
                    <w:t>吸尘装置</w:t>
                  </w:r>
                </w:p>
              </w:tc>
              <w:tc>
                <w:tcPr>
                  <w:tcW w:w="233" w:type="pct"/>
                  <w:vAlign w:val="center"/>
                </w:tcPr>
                <w:p>
                  <w:pPr>
                    <w:widowControl/>
                    <w:adjustRightInd w:val="0"/>
                    <w:snapToGrid w:val="0"/>
                    <w:jc w:val="center"/>
                    <w:textAlignment w:val="center"/>
                    <w:rPr>
                      <w:bCs/>
                      <w:szCs w:val="21"/>
                    </w:rPr>
                  </w:pPr>
                  <w:r>
                    <w:rPr>
                      <w:kern w:val="0"/>
                      <w:szCs w:val="21"/>
                      <w:lang w:bidi="ar"/>
                    </w:rPr>
                    <w:t>固</w:t>
                  </w:r>
                </w:p>
              </w:tc>
              <w:tc>
                <w:tcPr>
                  <w:tcW w:w="289" w:type="pct"/>
                  <w:vAlign w:val="center"/>
                </w:tcPr>
                <w:p>
                  <w:pPr>
                    <w:widowControl/>
                    <w:adjustRightInd w:val="0"/>
                    <w:snapToGrid w:val="0"/>
                    <w:jc w:val="center"/>
                    <w:textAlignment w:val="center"/>
                    <w:rPr>
                      <w:bCs/>
                      <w:szCs w:val="21"/>
                    </w:rPr>
                  </w:pPr>
                  <w:r>
                    <w:rPr>
                      <w:kern w:val="0"/>
                      <w:szCs w:val="21"/>
                      <w:lang w:bidi="ar"/>
                    </w:rPr>
                    <w:t>/</w:t>
                  </w:r>
                </w:p>
              </w:tc>
              <w:tc>
                <w:tcPr>
                  <w:tcW w:w="399" w:type="pct"/>
                  <w:vAlign w:val="center"/>
                </w:tcPr>
                <w:p>
                  <w:pPr>
                    <w:widowControl/>
                    <w:adjustRightInd w:val="0"/>
                    <w:snapToGrid w:val="0"/>
                    <w:jc w:val="center"/>
                    <w:textAlignment w:val="center"/>
                    <w:rPr>
                      <w:bCs/>
                      <w:szCs w:val="21"/>
                    </w:rPr>
                  </w:pPr>
                  <w:r>
                    <w:rPr>
                      <w:kern w:val="0"/>
                      <w:szCs w:val="21"/>
                      <w:lang w:bidi="ar"/>
                    </w:rPr>
                    <w:t>/</w:t>
                  </w:r>
                </w:p>
              </w:tc>
              <w:tc>
                <w:tcPr>
                  <w:tcW w:w="636" w:type="pct"/>
                  <w:vAlign w:val="center"/>
                </w:tcPr>
                <w:p>
                  <w:pPr>
                    <w:widowControl/>
                    <w:adjustRightInd w:val="0"/>
                    <w:snapToGrid w:val="0"/>
                    <w:jc w:val="center"/>
                    <w:textAlignment w:val="center"/>
                    <w:rPr>
                      <w:bCs/>
                      <w:szCs w:val="21"/>
                    </w:rPr>
                  </w:pPr>
                  <w:r>
                    <w:rPr>
                      <w:kern w:val="0"/>
                      <w:szCs w:val="21"/>
                      <w:lang w:bidi="ar"/>
                    </w:rPr>
                    <w:t>/</w:t>
                  </w:r>
                </w:p>
              </w:tc>
              <w:tc>
                <w:tcPr>
                  <w:tcW w:w="665" w:type="dxa"/>
                  <w:tcBorders>
                    <w:bottom w:val="single" w:color="auto" w:sz="4" w:space="0"/>
                  </w:tcBorders>
                  <w:vAlign w:val="center"/>
                </w:tcPr>
                <w:p>
                  <w:pPr>
                    <w:widowControl/>
                    <w:adjustRightInd w:val="0"/>
                    <w:snapToGrid w:val="0"/>
                    <w:jc w:val="center"/>
                    <w:textAlignment w:val="center"/>
                    <w:rPr>
                      <w:bCs/>
                      <w:szCs w:val="21"/>
                    </w:rPr>
                  </w:pPr>
                  <w:r>
                    <w:rPr>
                      <w:rFonts w:hint="eastAsia"/>
                      <w:bCs/>
                      <w:szCs w:val="21"/>
                      <w:lang w:val="en-US" w:eastAsia="zh-CN"/>
                    </w:rPr>
                    <w:t>1.51</w:t>
                  </w:r>
                </w:p>
              </w:tc>
              <w:tc>
                <w:tcPr>
                  <w:tcW w:w="619" w:type="pct"/>
                  <w:vAlign w:val="center"/>
                </w:tcPr>
                <w:p>
                  <w:pPr>
                    <w:adjustRightInd w:val="0"/>
                    <w:snapToGrid w:val="0"/>
                    <w:jc w:val="center"/>
                    <w:rPr>
                      <w:szCs w:val="21"/>
                    </w:rPr>
                  </w:pPr>
                  <w:r>
                    <w:rPr>
                      <w:bCs/>
                      <w:kern w:val="0"/>
                      <w:szCs w:val="21"/>
                    </w:rPr>
                    <w:t>收集后全部外售</w:t>
                  </w:r>
                </w:p>
              </w:tc>
              <w:tc>
                <w:tcPr>
                  <w:tcW w:w="678" w:type="pct"/>
                  <w:vAlign w:val="center"/>
                </w:tcPr>
                <w:p>
                  <w:pPr>
                    <w:widowControl/>
                    <w:jc w:val="center"/>
                    <w:textAlignment w:val="center"/>
                    <w:rPr>
                      <w:szCs w:val="21"/>
                    </w:rPr>
                  </w:pPr>
                  <w:r>
                    <w:rPr>
                      <w:rFonts w:hint="eastAsia"/>
                      <w:color w:val="000000"/>
                      <w:szCs w:val="21"/>
                      <w:lang w:val="en-US" w:eastAsia="zh-CN"/>
                    </w:rPr>
                    <w:t>相关单位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64" w:type="pct"/>
                  <w:vAlign w:val="center"/>
                </w:tcPr>
                <w:p>
                  <w:pPr>
                    <w:jc w:val="center"/>
                    <w:rPr>
                      <w:bCs/>
                      <w:szCs w:val="21"/>
                    </w:rPr>
                  </w:pPr>
                  <w:r>
                    <w:rPr>
                      <w:rFonts w:hint="eastAsia"/>
                      <w:bCs/>
                      <w:szCs w:val="21"/>
                    </w:rPr>
                    <w:t>3</w:t>
                  </w:r>
                </w:p>
              </w:tc>
              <w:tc>
                <w:tcPr>
                  <w:tcW w:w="582" w:type="pct"/>
                  <w:vAlign w:val="center"/>
                </w:tcPr>
                <w:p>
                  <w:pPr>
                    <w:widowControl/>
                    <w:adjustRightInd w:val="0"/>
                    <w:snapToGrid w:val="0"/>
                    <w:jc w:val="center"/>
                    <w:textAlignment w:val="center"/>
                    <w:rPr>
                      <w:szCs w:val="21"/>
                    </w:rPr>
                  </w:pPr>
                  <w:r>
                    <w:rPr>
                      <w:rFonts w:hint="eastAsia"/>
                      <w:kern w:val="0"/>
                      <w:szCs w:val="21"/>
                      <w:lang w:eastAsia="zh-CN" w:bidi="ar"/>
                    </w:rPr>
                    <w:t>废活性炭</w:t>
                  </w:r>
                </w:p>
              </w:tc>
              <w:tc>
                <w:tcPr>
                  <w:tcW w:w="358" w:type="pct"/>
                  <w:vAlign w:val="center"/>
                </w:tcPr>
                <w:p>
                  <w:pPr>
                    <w:widowControl/>
                    <w:adjustRightInd w:val="0"/>
                    <w:snapToGrid w:val="0"/>
                    <w:jc w:val="both"/>
                    <w:textAlignment w:val="center"/>
                    <w:rPr>
                      <w:bCs/>
                      <w:szCs w:val="21"/>
                    </w:rPr>
                  </w:pPr>
                  <w:r>
                    <w:rPr>
                      <w:rFonts w:hint="eastAsia"/>
                      <w:bCs/>
                      <w:szCs w:val="21"/>
                      <w:lang w:val="en-US" w:eastAsia="zh-CN"/>
                    </w:rPr>
                    <w:t>危险固废</w:t>
                  </w:r>
                </w:p>
              </w:tc>
              <w:tc>
                <w:tcPr>
                  <w:tcW w:w="550" w:type="pct"/>
                  <w:vAlign w:val="center"/>
                </w:tcPr>
                <w:p>
                  <w:pPr>
                    <w:widowControl/>
                    <w:adjustRightInd w:val="0"/>
                    <w:snapToGrid w:val="0"/>
                    <w:ind w:firstLine="105" w:firstLineChars="50"/>
                    <w:jc w:val="center"/>
                    <w:textAlignment w:val="center"/>
                    <w:rPr>
                      <w:szCs w:val="21"/>
                    </w:rPr>
                  </w:pPr>
                  <w:r>
                    <w:rPr>
                      <w:rFonts w:hint="eastAsia"/>
                      <w:kern w:val="0"/>
                      <w:szCs w:val="21"/>
                      <w:lang w:eastAsia="zh-CN" w:bidi="ar"/>
                    </w:rPr>
                    <w:t>活性炭吸附装置</w:t>
                  </w:r>
                </w:p>
              </w:tc>
              <w:tc>
                <w:tcPr>
                  <w:tcW w:w="233" w:type="pct"/>
                  <w:vAlign w:val="center"/>
                </w:tcPr>
                <w:p>
                  <w:pPr>
                    <w:widowControl/>
                    <w:adjustRightInd w:val="0"/>
                    <w:snapToGrid w:val="0"/>
                    <w:jc w:val="center"/>
                    <w:textAlignment w:val="center"/>
                    <w:rPr>
                      <w:bCs/>
                      <w:szCs w:val="21"/>
                    </w:rPr>
                  </w:pPr>
                  <w:r>
                    <w:rPr>
                      <w:kern w:val="0"/>
                      <w:szCs w:val="21"/>
                      <w:lang w:bidi="ar"/>
                    </w:rPr>
                    <w:t>固</w:t>
                  </w:r>
                </w:p>
              </w:tc>
              <w:tc>
                <w:tcPr>
                  <w:tcW w:w="289" w:type="pct"/>
                  <w:vAlign w:val="center"/>
                </w:tcPr>
                <w:p>
                  <w:pPr>
                    <w:widowControl/>
                    <w:adjustRightInd w:val="0"/>
                    <w:snapToGrid w:val="0"/>
                    <w:jc w:val="center"/>
                    <w:textAlignment w:val="center"/>
                    <w:rPr>
                      <w:bCs/>
                      <w:szCs w:val="21"/>
                    </w:rPr>
                  </w:pPr>
                  <w:r>
                    <w:rPr>
                      <w:kern w:val="0"/>
                      <w:szCs w:val="21"/>
                      <w:lang w:bidi="ar"/>
                    </w:rPr>
                    <w:t>T</w:t>
                  </w:r>
                </w:p>
              </w:tc>
              <w:tc>
                <w:tcPr>
                  <w:tcW w:w="399" w:type="pct"/>
                  <w:vAlign w:val="center"/>
                </w:tcPr>
                <w:p>
                  <w:pPr>
                    <w:widowControl/>
                    <w:adjustRightInd w:val="0"/>
                    <w:snapToGrid w:val="0"/>
                    <w:jc w:val="center"/>
                    <w:textAlignment w:val="center"/>
                    <w:rPr>
                      <w:bCs/>
                      <w:szCs w:val="21"/>
                    </w:rPr>
                  </w:pPr>
                  <w:r>
                    <w:rPr>
                      <w:rFonts w:hint="eastAsia"/>
                      <w:kern w:val="0"/>
                      <w:szCs w:val="21"/>
                      <w:lang w:val="en-US" w:eastAsia="zh-CN" w:bidi="ar"/>
                    </w:rPr>
                    <w:t>HW49</w:t>
                  </w:r>
                </w:p>
              </w:tc>
              <w:tc>
                <w:tcPr>
                  <w:tcW w:w="636" w:type="pct"/>
                  <w:vAlign w:val="center"/>
                </w:tcPr>
                <w:p>
                  <w:pPr>
                    <w:widowControl/>
                    <w:adjustRightInd w:val="0"/>
                    <w:snapToGrid w:val="0"/>
                    <w:jc w:val="center"/>
                    <w:textAlignment w:val="center"/>
                    <w:rPr>
                      <w:bCs/>
                      <w:szCs w:val="21"/>
                    </w:rPr>
                  </w:pPr>
                  <w:r>
                    <w:rPr>
                      <w:rFonts w:hint="eastAsia"/>
                      <w:szCs w:val="21"/>
                      <w:lang w:val="zh-CN"/>
                    </w:rPr>
                    <w:t>900-039-49</w:t>
                  </w:r>
                </w:p>
              </w:tc>
              <w:tc>
                <w:tcPr>
                  <w:tcW w:w="665" w:type="dxa"/>
                  <w:tcBorders>
                    <w:bottom w:val="single" w:color="auto" w:sz="4" w:space="0"/>
                  </w:tcBorders>
                  <w:vAlign w:val="center"/>
                </w:tcPr>
                <w:p>
                  <w:pPr>
                    <w:widowControl/>
                    <w:adjustRightInd w:val="0"/>
                    <w:snapToGrid w:val="0"/>
                    <w:jc w:val="center"/>
                    <w:textAlignment w:val="center"/>
                    <w:rPr>
                      <w:rFonts w:hint="default"/>
                      <w:bCs/>
                      <w:szCs w:val="21"/>
                      <w:lang w:val="en-US"/>
                    </w:rPr>
                  </w:pPr>
                  <w:r>
                    <w:rPr>
                      <w:rFonts w:hint="eastAsia"/>
                      <w:bCs/>
                      <w:szCs w:val="21"/>
                      <w:lang w:val="en-US" w:eastAsia="zh-CN"/>
                    </w:rPr>
                    <w:t>3.67</w:t>
                  </w:r>
                </w:p>
              </w:tc>
              <w:tc>
                <w:tcPr>
                  <w:tcW w:w="619" w:type="pct"/>
                  <w:vAlign w:val="center"/>
                </w:tcPr>
                <w:p>
                  <w:pPr>
                    <w:adjustRightInd w:val="0"/>
                    <w:snapToGrid w:val="0"/>
                    <w:jc w:val="center"/>
                    <w:rPr>
                      <w:szCs w:val="21"/>
                    </w:rPr>
                  </w:pPr>
                  <w:r>
                    <w:rPr>
                      <w:kern w:val="0"/>
                      <w:szCs w:val="21"/>
                    </w:rPr>
                    <w:t>委托资质单位处置</w:t>
                  </w:r>
                </w:p>
              </w:tc>
              <w:tc>
                <w:tcPr>
                  <w:tcW w:w="678" w:type="pct"/>
                  <w:vAlign w:val="center"/>
                </w:tcPr>
                <w:p>
                  <w:pPr>
                    <w:widowControl/>
                    <w:jc w:val="center"/>
                    <w:textAlignment w:val="center"/>
                    <w:rPr>
                      <w:szCs w:val="21"/>
                    </w:rPr>
                  </w:pPr>
                  <w:r>
                    <w:rPr>
                      <w:szCs w:val="21"/>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64" w:type="pct"/>
                  <w:vAlign w:val="center"/>
                </w:tcPr>
                <w:p>
                  <w:pPr>
                    <w:jc w:val="center"/>
                    <w:rPr>
                      <w:bCs/>
                      <w:szCs w:val="21"/>
                    </w:rPr>
                  </w:pPr>
                  <w:r>
                    <w:rPr>
                      <w:rFonts w:hint="eastAsia"/>
                      <w:bCs/>
                      <w:szCs w:val="21"/>
                    </w:rPr>
                    <w:t>4</w:t>
                  </w:r>
                </w:p>
              </w:tc>
              <w:tc>
                <w:tcPr>
                  <w:tcW w:w="582" w:type="pct"/>
                  <w:vAlign w:val="center"/>
                </w:tcPr>
                <w:p>
                  <w:pPr>
                    <w:widowControl/>
                    <w:adjustRightInd w:val="0"/>
                    <w:snapToGrid w:val="0"/>
                    <w:jc w:val="center"/>
                    <w:textAlignment w:val="center"/>
                    <w:rPr>
                      <w:szCs w:val="21"/>
                    </w:rPr>
                  </w:pPr>
                  <w:r>
                    <w:rPr>
                      <w:rFonts w:hint="eastAsia"/>
                      <w:kern w:val="0"/>
                      <w:szCs w:val="21"/>
                      <w:lang w:eastAsia="zh-CN" w:bidi="ar"/>
                    </w:rPr>
                    <w:t>不合格品</w:t>
                  </w:r>
                </w:p>
              </w:tc>
              <w:tc>
                <w:tcPr>
                  <w:tcW w:w="358" w:type="pct"/>
                  <w:vAlign w:val="center"/>
                </w:tcPr>
                <w:p>
                  <w:pPr>
                    <w:widowControl/>
                    <w:adjustRightInd w:val="0"/>
                    <w:snapToGrid w:val="0"/>
                    <w:jc w:val="center"/>
                    <w:textAlignment w:val="center"/>
                    <w:rPr>
                      <w:bCs/>
                      <w:szCs w:val="21"/>
                    </w:rPr>
                  </w:pPr>
                  <w:r>
                    <w:rPr>
                      <w:kern w:val="0"/>
                      <w:szCs w:val="21"/>
                      <w:lang w:bidi="ar"/>
                    </w:rPr>
                    <w:t>一般固废</w:t>
                  </w:r>
                </w:p>
              </w:tc>
              <w:tc>
                <w:tcPr>
                  <w:tcW w:w="550" w:type="pct"/>
                  <w:vAlign w:val="center"/>
                </w:tcPr>
                <w:p>
                  <w:pPr>
                    <w:widowControl/>
                    <w:adjustRightInd w:val="0"/>
                    <w:snapToGrid w:val="0"/>
                    <w:jc w:val="center"/>
                    <w:textAlignment w:val="center"/>
                    <w:rPr>
                      <w:szCs w:val="21"/>
                    </w:rPr>
                  </w:pPr>
                  <w:r>
                    <w:rPr>
                      <w:rFonts w:hint="eastAsia"/>
                      <w:szCs w:val="21"/>
                      <w:lang w:eastAsia="zh-CN"/>
                    </w:rPr>
                    <w:t>检测工序</w:t>
                  </w:r>
                </w:p>
              </w:tc>
              <w:tc>
                <w:tcPr>
                  <w:tcW w:w="233" w:type="pct"/>
                  <w:vAlign w:val="center"/>
                </w:tcPr>
                <w:p>
                  <w:pPr>
                    <w:widowControl/>
                    <w:adjustRightInd w:val="0"/>
                    <w:snapToGrid w:val="0"/>
                    <w:jc w:val="center"/>
                    <w:textAlignment w:val="center"/>
                    <w:rPr>
                      <w:bCs/>
                      <w:szCs w:val="21"/>
                    </w:rPr>
                  </w:pPr>
                  <w:r>
                    <w:rPr>
                      <w:kern w:val="0"/>
                      <w:szCs w:val="21"/>
                      <w:lang w:bidi="ar"/>
                    </w:rPr>
                    <w:t>固</w:t>
                  </w:r>
                </w:p>
              </w:tc>
              <w:tc>
                <w:tcPr>
                  <w:tcW w:w="289" w:type="pct"/>
                  <w:vAlign w:val="center"/>
                </w:tcPr>
                <w:p>
                  <w:pPr>
                    <w:widowControl/>
                    <w:adjustRightInd w:val="0"/>
                    <w:snapToGrid w:val="0"/>
                    <w:jc w:val="center"/>
                    <w:textAlignment w:val="center"/>
                    <w:rPr>
                      <w:bCs/>
                      <w:szCs w:val="21"/>
                    </w:rPr>
                  </w:pPr>
                  <w:r>
                    <w:rPr>
                      <w:rFonts w:hint="eastAsia"/>
                      <w:bCs/>
                      <w:szCs w:val="21"/>
                      <w:lang w:val="en-US" w:eastAsia="zh-CN"/>
                    </w:rPr>
                    <w:t>/</w:t>
                  </w:r>
                </w:p>
              </w:tc>
              <w:tc>
                <w:tcPr>
                  <w:tcW w:w="399" w:type="pct"/>
                  <w:vAlign w:val="center"/>
                </w:tcPr>
                <w:p>
                  <w:pPr>
                    <w:spacing w:line="240" w:lineRule="exact"/>
                    <w:jc w:val="center"/>
                    <w:rPr>
                      <w:bCs/>
                      <w:szCs w:val="21"/>
                    </w:rPr>
                  </w:pPr>
                  <w:r>
                    <w:rPr>
                      <w:kern w:val="0"/>
                      <w:szCs w:val="21"/>
                      <w:lang w:bidi="ar"/>
                    </w:rPr>
                    <w:t>/</w:t>
                  </w:r>
                </w:p>
              </w:tc>
              <w:tc>
                <w:tcPr>
                  <w:tcW w:w="636" w:type="pct"/>
                  <w:vAlign w:val="center"/>
                </w:tcPr>
                <w:p>
                  <w:pPr>
                    <w:widowControl/>
                    <w:adjustRightInd w:val="0"/>
                    <w:snapToGrid w:val="0"/>
                    <w:jc w:val="center"/>
                    <w:textAlignment w:val="center"/>
                    <w:rPr>
                      <w:bCs/>
                      <w:szCs w:val="21"/>
                    </w:rPr>
                  </w:pPr>
                  <w:r>
                    <w:rPr>
                      <w:kern w:val="0"/>
                      <w:szCs w:val="21"/>
                      <w:lang w:bidi="ar"/>
                    </w:rPr>
                    <w:t>/</w:t>
                  </w:r>
                </w:p>
              </w:tc>
              <w:tc>
                <w:tcPr>
                  <w:tcW w:w="665" w:type="dxa"/>
                  <w:tcBorders>
                    <w:bottom w:val="single" w:color="auto" w:sz="4" w:space="0"/>
                  </w:tcBorders>
                  <w:vAlign w:val="center"/>
                </w:tcPr>
                <w:p>
                  <w:pPr>
                    <w:widowControl/>
                    <w:adjustRightInd w:val="0"/>
                    <w:snapToGrid w:val="0"/>
                    <w:jc w:val="center"/>
                    <w:textAlignment w:val="center"/>
                    <w:rPr>
                      <w:bCs/>
                      <w:color w:val="FF0000"/>
                      <w:szCs w:val="21"/>
                    </w:rPr>
                  </w:pPr>
                  <w:r>
                    <w:rPr>
                      <w:rFonts w:hint="eastAsia"/>
                      <w:bCs/>
                      <w:szCs w:val="21"/>
                      <w:lang w:val="en-US" w:eastAsia="zh-CN"/>
                    </w:rPr>
                    <w:t>662</w:t>
                  </w:r>
                </w:p>
              </w:tc>
              <w:tc>
                <w:tcPr>
                  <w:tcW w:w="619" w:type="pct"/>
                  <w:vAlign w:val="center"/>
                </w:tcPr>
                <w:p>
                  <w:pPr>
                    <w:adjustRightInd w:val="0"/>
                    <w:snapToGrid w:val="0"/>
                    <w:jc w:val="center"/>
                    <w:rPr>
                      <w:szCs w:val="21"/>
                    </w:rPr>
                  </w:pPr>
                  <w:r>
                    <w:rPr>
                      <w:bCs/>
                      <w:kern w:val="0"/>
                      <w:szCs w:val="21"/>
                    </w:rPr>
                    <w:t>收集后全部外售</w:t>
                  </w:r>
                </w:p>
              </w:tc>
              <w:tc>
                <w:tcPr>
                  <w:tcW w:w="678" w:type="pct"/>
                  <w:vAlign w:val="center"/>
                </w:tcPr>
                <w:p>
                  <w:pPr>
                    <w:widowControl/>
                    <w:jc w:val="center"/>
                    <w:textAlignment w:val="center"/>
                    <w:rPr>
                      <w:szCs w:val="21"/>
                    </w:rPr>
                  </w:pPr>
                  <w:r>
                    <w:rPr>
                      <w:rFonts w:hint="eastAsia"/>
                      <w:color w:val="000000"/>
                      <w:szCs w:val="21"/>
                      <w:lang w:val="en-US" w:eastAsia="zh-CN"/>
                    </w:rPr>
                    <w:t>相关单位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0" w:hRule="atLeast"/>
              </w:trPr>
              <w:tc>
                <w:tcPr>
                  <w:tcW w:w="264" w:type="pct"/>
                  <w:vAlign w:val="center"/>
                </w:tcPr>
                <w:p>
                  <w:pPr>
                    <w:jc w:val="center"/>
                    <w:rPr>
                      <w:bCs/>
                      <w:szCs w:val="21"/>
                    </w:rPr>
                  </w:pPr>
                  <w:r>
                    <w:rPr>
                      <w:rFonts w:hint="eastAsia"/>
                      <w:bCs/>
                      <w:szCs w:val="21"/>
                    </w:rPr>
                    <w:t>5</w:t>
                  </w:r>
                </w:p>
              </w:tc>
              <w:tc>
                <w:tcPr>
                  <w:tcW w:w="582" w:type="pct"/>
                  <w:vAlign w:val="center"/>
                </w:tcPr>
                <w:p>
                  <w:pPr>
                    <w:widowControl/>
                    <w:adjustRightInd w:val="0"/>
                    <w:snapToGrid w:val="0"/>
                    <w:jc w:val="center"/>
                    <w:textAlignment w:val="center"/>
                    <w:rPr>
                      <w:szCs w:val="21"/>
                    </w:rPr>
                  </w:pPr>
                  <w:r>
                    <w:rPr>
                      <w:rFonts w:hint="eastAsia"/>
                      <w:kern w:val="0"/>
                      <w:szCs w:val="21"/>
                      <w:lang w:eastAsia="zh-CN" w:bidi="ar"/>
                    </w:rPr>
                    <w:t>污泥</w:t>
                  </w:r>
                </w:p>
              </w:tc>
              <w:tc>
                <w:tcPr>
                  <w:tcW w:w="358" w:type="pct"/>
                  <w:vAlign w:val="center"/>
                </w:tcPr>
                <w:p>
                  <w:pPr>
                    <w:widowControl/>
                    <w:adjustRightInd w:val="0"/>
                    <w:snapToGrid w:val="0"/>
                    <w:jc w:val="center"/>
                    <w:textAlignment w:val="center"/>
                    <w:rPr>
                      <w:bCs/>
                      <w:szCs w:val="21"/>
                    </w:rPr>
                  </w:pPr>
                  <w:r>
                    <w:rPr>
                      <w:kern w:val="0"/>
                      <w:szCs w:val="21"/>
                      <w:lang w:bidi="ar"/>
                    </w:rPr>
                    <w:t>一般固废</w:t>
                  </w:r>
                </w:p>
              </w:tc>
              <w:tc>
                <w:tcPr>
                  <w:tcW w:w="550" w:type="pct"/>
                  <w:vAlign w:val="center"/>
                </w:tcPr>
                <w:p>
                  <w:pPr>
                    <w:widowControl/>
                    <w:adjustRightInd w:val="0"/>
                    <w:snapToGrid w:val="0"/>
                    <w:jc w:val="center"/>
                    <w:textAlignment w:val="center"/>
                    <w:rPr>
                      <w:szCs w:val="21"/>
                    </w:rPr>
                  </w:pPr>
                  <w:r>
                    <w:rPr>
                      <w:rFonts w:hint="eastAsia"/>
                      <w:szCs w:val="21"/>
                      <w:lang w:eastAsia="zh-CN"/>
                    </w:rPr>
                    <w:t>废水处理</w:t>
                  </w:r>
                </w:p>
              </w:tc>
              <w:tc>
                <w:tcPr>
                  <w:tcW w:w="233" w:type="pct"/>
                  <w:vAlign w:val="center"/>
                </w:tcPr>
                <w:p>
                  <w:pPr>
                    <w:widowControl/>
                    <w:adjustRightInd w:val="0"/>
                    <w:snapToGrid w:val="0"/>
                    <w:jc w:val="center"/>
                    <w:textAlignment w:val="center"/>
                    <w:rPr>
                      <w:bCs/>
                      <w:szCs w:val="21"/>
                    </w:rPr>
                  </w:pPr>
                  <w:r>
                    <w:rPr>
                      <w:kern w:val="0"/>
                      <w:szCs w:val="21"/>
                      <w:lang w:bidi="ar"/>
                    </w:rPr>
                    <w:t>固</w:t>
                  </w:r>
                </w:p>
              </w:tc>
              <w:tc>
                <w:tcPr>
                  <w:tcW w:w="289" w:type="pct"/>
                  <w:vAlign w:val="center"/>
                </w:tcPr>
                <w:p>
                  <w:pPr>
                    <w:widowControl/>
                    <w:adjustRightInd w:val="0"/>
                    <w:snapToGrid w:val="0"/>
                    <w:jc w:val="center"/>
                    <w:textAlignment w:val="center"/>
                    <w:rPr>
                      <w:bCs/>
                      <w:szCs w:val="21"/>
                    </w:rPr>
                  </w:pPr>
                  <w:r>
                    <w:rPr>
                      <w:rFonts w:hint="eastAsia"/>
                      <w:kern w:val="0"/>
                      <w:szCs w:val="21"/>
                      <w:lang w:val="en-US" w:eastAsia="zh-CN" w:bidi="ar"/>
                    </w:rPr>
                    <w:t>/</w:t>
                  </w:r>
                </w:p>
              </w:tc>
              <w:tc>
                <w:tcPr>
                  <w:tcW w:w="399" w:type="pct"/>
                  <w:vAlign w:val="center"/>
                </w:tcPr>
                <w:p>
                  <w:pPr>
                    <w:spacing w:line="240" w:lineRule="exact"/>
                    <w:jc w:val="center"/>
                    <w:rPr>
                      <w:bCs/>
                      <w:szCs w:val="21"/>
                    </w:rPr>
                  </w:pPr>
                  <w:r>
                    <w:rPr>
                      <w:kern w:val="0"/>
                      <w:szCs w:val="21"/>
                      <w:lang w:bidi="ar"/>
                    </w:rPr>
                    <w:t>/</w:t>
                  </w:r>
                </w:p>
              </w:tc>
              <w:tc>
                <w:tcPr>
                  <w:tcW w:w="636" w:type="pct"/>
                  <w:vAlign w:val="center"/>
                </w:tcPr>
                <w:p>
                  <w:pPr>
                    <w:widowControl/>
                    <w:adjustRightInd w:val="0"/>
                    <w:snapToGrid w:val="0"/>
                    <w:jc w:val="center"/>
                    <w:textAlignment w:val="center"/>
                    <w:rPr>
                      <w:bCs/>
                      <w:szCs w:val="21"/>
                    </w:rPr>
                  </w:pPr>
                  <w:r>
                    <w:rPr>
                      <w:kern w:val="0"/>
                      <w:szCs w:val="21"/>
                      <w:lang w:bidi="ar"/>
                    </w:rPr>
                    <w:t>/</w:t>
                  </w:r>
                </w:p>
              </w:tc>
              <w:tc>
                <w:tcPr>
                  <w:tcW w:w="665" w:type="dxa"/>
                  <w:vAlign w:val="center"/>
                </w:tcPr>
                <w:p>
                  <w:pPr>
                    <w:widowControl/>
                    <w:adjustRightInd w:val="0"/>
                    <w:snapToGrid w:val="0"/>
                    <w:jc w:val="center"/>
                    <w:textAlignment w:val="center"/>
                    <w:rPr>
                      <w:bCs/>
                      <w:szCs w:val="21"/>
                    </w:rPr>
                  </w:pPr>
                  <w:r>
                    <w:rPr>
                      <w:rFonts w:hint="eastAsia"/>
                      <w:kern w:val="0"/>
                      <w:szCs w:val="21"/>
                      <w:lang w:val="en-US" w:eastAsia="zh-CN" w:bidi="ar"/>
                    </w:rPr>
                    <w:t>13</w:t>
                  </w:r>
                </w:p>
              </w:tc>
              <w:tc>
                <w:tcPr>
                  <w:tcW w:w="619" w:type="pct"/>
                  <w:vAlign w:val="center"/>
                </w:tcPr>
                <w:p>
                  <w:pPr>
                    <w:adjustRightInd w:val="0"/>
                    <w:snapToGrid w:val="0"/>
                    <w:jc w:val="center"/>
                    <w:rPr>
                      <w:szCs w:val="21"/>
                    </w:rPr>
                  </w:pPr>
                  <w:r>
                    <w:rPr>
                      <w:bCs/>
                      <w:kern w:val="0"/>
                      <w:szCs w:val="21"/>
                    </w:rPr>
                    <w:t>收集后全部外售</w:t>
                  </w:r>
                </w:p>
              </w:tc>
              <w:tc>
                <w:tcPr>
                  <w:tcW w:w="678" w:type="pct"/>
                  <w:vAlign w:val="center"/>
                </w:tcPr>
                <w:p>
                  <w:pPr>
                    <w:widowControl/>
                    <w:jc w:val="center"/>
                    <w:textAlignment w:val="center"/>
                    <w:rPr>
                      <w:szCs w:val="21"/>
                    </w:rPr>
                  </w:pPr>
                  <w:r>
                    <w:rPr>
                      <w:rFonts w:hint="eastAsia"/>
                      <w:color w:val="000000"/>
                      <w:szCs w:val="21"/>
                      <w:lang w:val="en-US" w:eastAsia="zh-CN"/>
                    </w:rPr>
                    <w:t>相关单位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0" w:hRule="atLeast"/>
              </w:trPr>
              <w:tc>
                <w:tcPr>
                  <w:tcW w:w="264" w:type="pct"/>
                  <w:vAlign w:val="center"/>
                </w:tcPr>
                <w:p>
                  <w:pPr>
                    <w:jc w:val="center"/>
                    <w:rPr>
                      <w:rFonts w:hint="eastAsia" w:eastAsia="宋体"/>
                      <w:bCs/>
                      <w:szCs w:val="21"/>
                      <w:lang w:val="en-US" w:eastAsia="zh-CN"/>
                    </w:rPr>
                  </w:pPr>
                  <w:r>
                    <w:rPr>
                      <w:rFonts w:hint="eastAsia"/>
                      <w:bCs/>
                      <w:szCs w:val="21"/>
                      <w:lang w:val="en-US" w:eastAsia="zh-CN"/>
                    </w:rPr>
                    <w:t>6</w:t>
                  </w:r>
                </w:p>
              </w:tc>
              <w:tc>
                <w:tcPr>
                  <w:tcW w:w="582" w:type="pct"/>
                  <w:vAlign w:val="center"/>
                </w:tcPr>
                <w:p>
                  <w:pPr>
                    <w:widowControl/>
                    <w:adjustRightInd w:val="0"/>
                    <w:snapToGrid w:val="0"/>
                    <w:jc w:val="center"/>
                    <w:textAlignment w:val="center"/>
                    <w:rPr>
                      <w:kern w:val="0"/>
                      <w:szCs w:val="21"/>
                      <w:lang w:bidi="ar"/>
                    </w:rPr>
                  </w:pPr>
                  <w:r>
                    <w:rPr>
                      <w:rFonts w:hint="eastAsia"/>
                      <w:kern w:val="0"/>
                      <w:szCs w:val="21"/>
                      <w:lang w:eastAsia="zh-CN" w:bidi="ar"/>
                    </w:rPr>
                    <w:t>生活垃圾</w:t>
                  </w:r>
                </w:p>
              </w:tc>
              <w:tc>
                <w:tcPr>
                  <w:tcW w:w="358" w:type="pct"/>
                  <w:vAlign w:val="center"/>
                </w:tcPr>
                <w:p>
                  <w:pPr>
                    <w:widowControl/>
                    <w:adjustRightInd w:val="0"/>
                    <w:snapToGrid w:val="0"/>
                    <w:jc w:val="center"/>
                    <w:textAlignment w:val="center"/>
                    <w:rPr>
                      <w:rFonts w:hint="eastAsia"/>
                      <w:bCs/>
                      <w:szCs w:val="21"/>
                    </w:rPr>
                  </w:pPr>
                  <w:r>
                    <w:rPr>
                      <w:kern w:val="0"/>
                      <w:szCs w:val="21"/>
                      <w:lang w:bidi="ar"/>
                    </w:rPr>
                    <w:t>一般固废</w:t>
                  </w:r>
                </w:p>
              </w:tc>
              <w:tc>
                <w:tcPr>
                  <w:tcW w:w="550" w:type="pct"/>
                  <w:vAlign w:val="center"/>
                </w:tcPr>
                <w:p>
                  <w:pPr>
                    <w:widowControl/>
                    <w:adjustRightInd w:val="0"/>
                    <w:snapToGrid w:val="0"/>
                    <w:jc w:val="center"/>
                    <w:textAlignment w:val="center"/>
                    <w:rPr>
                      <w:szCs w:val="21"/>
                    </w:rPr>
                  </w:pPr>
                  <w:r>
                    <w:rPr>
                      <w:rFonts w:hint="eastAsia"/>
                      <w:szCs w:val="21"/>
                      <w:lang w:eastAsia="zh-CN"/>
                    </w:rPr>
                    <w:t>办公、生活</w:t>
                  </w:r>
                </w:p>
              </w:tc>
              <w:tc>
                <w:tcPr>
                  <w:tcW w:w="233" w:type="pct"/>
                  <w:vAlign w:val="center"/>
                </w:tcPr>
                <w:p>
                  <w:pPr>
                    <w:widowControl/>
                    <w:adjustRightInd w:val="0"/>
                    <w:snapToGrid w:val="0"/>
                    <w:jc w:val="center"/>
                    <w:textAlignment w:val="center"/>
                    <w:rPr>
                      <w:bCs/>
                      <w:szCs w:val="21"/>
                    </w:rPr>
                  </w:pPr>
                  <w:r>
                    <w:rPr>
                      <w:kern w:val="0"/>
                      <w:szCs w:val="21"/>
                      <w:lang w:bidi="ar"/>
                    </w:rPr>
                    <w:t>固</w:t>
                  </w:r>
                </w:p>
              </w:tc>
              <w:tc>
                <w:tcPr>
                  <w:tcW w:w="289" w:type="pct"/>
                  <w:vAlign w:val="center"/>
                </w:tcPr>
                <w:p>
                  <w:pPr>
                    <w:widowControl/>
                    <w:adjustRightInd w:val="0"/>
                    <w:snapToGrid w:val="0"/>
                    <w:jc w:val="center"/>
                    <w:textAlignment w:val="center"/>
                    <w:rPr>
                      <w:kern w:val="0"/>
                      <w:szCs w:val="21"/>
                      <w:lang w:bidi="ar"/>
                    </w:rPr>
                  </w:pPr>
                  <w:r>
                    <w:rPr>
                      <w:rFonts w:hint="eastAsia"/>
                      <w:kern w:val="0"/>
                      <w:szCs w:val="21"/>
                      <w:lang w:val="en-US" w:eastAsia="zh-CN" w:bidi="ar"/>
                    </w:rPr>
                    <w:t>/</w:t>
                  </w:r>
                </w:p>
              </w:tc>
              <w:tc>
                <w:tcPr>
                  <w:tcW w:w="399" w:type="pct"/>
                  <w:vAlign w:val="center"/>
                </w:tcPr>
                <w:p>
                  <w:pPr>
                    <w:spacing w:line="240" w:lineRule="exact"/>
                    <w:jc w:val="center"/>
                    <w:rPr>
                      <w:szCs w:val="21"/>
                    </w:rPr>
                  </w:pPr>
                  <w:r>
                    <w:rPr>
                      <w:kern w:val="0"/>
                      <w:szCs w:val="21"/>
                      <w:lang w:bidi="ar"/>
                    </w:rPr>
                    <w:t>/</w:t>
                  </w:r>
                </w:p>
              </w:tc>
              <w:tc>
                <w:tcPr>
                  <w:tcW w:w="636" w:type="pct"/>
                  <w:vAlign w:val="center"/>
                </w:tcPr>
                <w:p>
                  <w:pPr>
                    <w:widowControl/>
                    <w:adjustRightInd w:val="0"/>
                    <w:snapToGrid w:val="0"/>
                    <w:jc w:val="center"/>
                    <w:textAlignment w:val="center"/>
                    <w:rPr>
                      <w:kern w:val="0"/>
                      <w:szCs w:val="21"/>
                      <w:lang w:bidi="ar"/>
                    </w:rPr>
                  </w:pPr>
                  <w:r>
                    <w:rPr>
                      <w:kern w:val="0"/>
                      <w:szCs w:val="21"/>
                      <w:lang w:bidi="ar"/>
                    </w:rPr>
                    <w:t>/</w:t>
                  </w:r>
                </w:p>
              </w:tc>
              <w:tc>
                <w:tcPr>
                  <w:tcW w:w="386" w:type="pct"/>
                  <w:vAlign w:val="center"/>
                </w:tcPr>
                <w:p>
                  <w:pPr>
                    <w:widowControl/>
                    <w:adjustRightInd w:val="0"/>
                    <w:snapToGrid w:val="0"/>
                    <w:jc w:val="center"/>
                    <w:textAlignment w:val="center"/>
                    <w:rPr>
                      <w:rFonts w:hint="default" w:eastAsia="宋体"/>
                      <w:kern w:val="0"/>
                      <w:szCs w:val="21"/>
                      <w:lang w:val="en-US" w:eastAsia="zh-CN" w:bidi="ar"/>
                    </w:rPr>
                  </w:pPr>
                  <w:r>
                    <w:rPr>
                      <w:rFonts w:hint="eastAsia"/>
                      <w:kern w:val="0"/>
                      <w:szCs w:val="21"/>
                      <w:lang w:val="en-US" w:eastAsia="zh-CN" w:bidi="ar"/>
                    </w:rPr>
                    <w:t>15</w:t>
                  </w:r>
                </w:p>
              </w:tc>
              <w:tc>
                <w:tcPr>
                  <w:tcW w:w="619" w:type="pct"/>
                  <w:vAlign w:val="center"/>
                </w:tcPr>
                <w:p>
                  <w:pPr>
                    <w:adjustRightInd w:val="0"/>
                    <w:snapToGrid w:val="0"/>
                    <w:jc w:val="center"/>
                    <w:rPr>
                      <w:rFonts w:hint="eastAsia" w:eastAsia="宋体"/>
                      <w:kern w:val="0"/>
                      <w:szCs w:val="21"/>
                      <w:lang w:eastAsia="zh-CN"/>
                    </w:rPr>
                  </w:pPr>
                  <w:r>
                    <w:rPr>
                      <w:rFonts w:hint="eastAsia"/>
                      <w:kern w:val="0"/>
                      <w:szCs w:val="21"/>
                      <w:lang w:eastAsia="zh-CN"/>
                    </w:rPr>
                    <w:t>环卫部门统一清运</w:t>
                  </w:r>
                </w:p>
              </w:tc>
              <w:tc>
                <w:tcPr>
                  <w:tcW w:w="678" w:type="pct"/>
                  <w:vAlign w:val="center"/>
                </w:tcPr>
                <w:p>
                  <w:pPr>
                    <w:widowControl/>
                    <w:jc w:val="center"/>
                    <w:textAlignment w:val="center"/>
                    <w:rPr>
                      <w:rFonts w:hint="eastAsia" w:eastAsia="宋体"/>
                      <w:szCs w:val="21"/>
                      <w:lang w:eastAsia="zh-CN"/>
                    </w:rPr>
                  </w:pPr>
                  <w:r>
                    <w:rPr>
                      <w:rFonts w:hint="eastAsia"/>
                      <w:szCs w:val="21"/>
                      <w:lang w:eastAsia="zh-CN"/>
                    </w:rPr>
                    <w:t>环卫部门</w:t>
                  </w:r>
                </w:p>
              </w:tc>
            </w:tr>
          </w:tbl>
          <w:p>
            <w:pPr>
              <w:adjustRightInd w:val="0"/>
              <w:snapToGrid w:val="0"/>
              <w:spacing w:line="360" w:lineRule="auto"/>
              <w:rPr>
                <w:rFonts w:hint="default" w:ascii="Times New Roman" w:hAnsi="Times New Roman" w:eastAsia="宋体" w:cs="Times New Roman"/>
                <w:sz w:val="24"/>
              </w:rPr>
            </w:pPr>
          </w:p>
          <w:p>
            <w:pPr>
              <w:adjustRightInd w:val="0"/>
              <w:snapToGrid w:val="0"/>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本项目危险废物汇总表见表4-</w:t>
            </w:r>
            <w:r>
              <w:rPr>
                <w:rFonts w:hint="default" w:ascii="Times New Roman" w:hAnsi="Times New Roman" w:eastAsia="宋体" w:cs="Times New Roman"/>
                <w:sz w:val="24"/>
                <w:lang w:val="en-US" w:eastAsia="zh-CN"/>
              </w:rPr>
              <w:t>23</w:t>
            </w:r>
            <w:r>
              <w:rPr>
                <w:rFonts w:hint="default" w:ascii="Times New Roman" w:hAnsi="Times New Roman" w:eastAsia="宋体" w:cs="Times New Roman"/>
                <w:sz w:val="24"/>
              </w:rPr>
              <w:t>。</w:t>
            </w:r>
          </w:p>
          <w:p>
            <w:pPr>
              <w:adjustRightInd w:val="0"/>
              <w:snapToGrid w:val="0"/>
              <w:jc w:val="center"/>
              <w:rPr>
                <w:rFonts w:hint="eastAsia"/>
                <w:b/>
                <w:szCs w:val="21"/>
              </w:rPr>
            </w:pPr>
            <w:r>
              <w:rPr>
                <w:rFonts w:hint="eastAsia"/>
                <w:b/>
                <w:sz w:val="24"/>
                <w:szCs w:val="24"/>
              </w:rPr>
              <w:t>表4-</w:t>
            </w:r>
            <w:r>
              <w:rPr>
                <w:rFonts w:hint="eastAsia"/>
                <w:b/>
                <w:sz w:val="24"/>
                <w:szCs w:val="24"/>
                <w:lang w:val="en-US" w:eastAsia="zh-CN"/>
              </w:rPr>
              <w:t>23</w:t>
            </w:r>
            <w:r>
              <w:rPr>
                <w:rFonts w:hint="eastAsia"/>
                <w:b/>
                <w:sz w:val="24"/>
                <w:szCs w:val="24"/>
              </w:rPr>
              <w:t xml:space="preserve"> 危险废物汇总表</w:t>
            </w:r>
          </w:p>
          <w:tbl>
            <w:tblPr>
              <w:tblStyle w:val="36"/>
              <w:tblW w:w="5000" w:type="pct"/>
              <w:jc w:val="center"/>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autofit"/>
              <w:tblCellMar>
                <w:top w:w="0" w:type="dxa"/>
                <w:left w:w="57" w:type="dxa"/>
                <w:bottom w:w="0" w:type="dxa"/>
                <w:right w:w="57" w:type="dxa"/>
              </w:tblCellMar>
            </w:tblPr>
            <w:tblGrid>
              <w:gridCol w:w="324"/>
              <w:gridCol w:w="414"/>
              <w:gridCol w:w="794"/>
              <w:gridCol w:w="1116"/>
              <w:gridCol w:w="553"/>
              <w:gridCol w:w="548"/>
              <w:gridCol w:w="383"/>
              <w:gridCol w:w="470"/>
              <w:gridCol w:w="356"/>
              <w:gridCol w:w="325"/>
              <w:gridCol w:w="327"/>
              <w:gridCol w:w="2887"/>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57" w:type="dxa"/>
                  <w:bottom w:w="0" w:type="dxa"/>
                  <w:right w:w="57" w:type="dxa"/>
                </w:tblCellMar>
              </w:tblPrEx>
              <w:trPr>
                <w:jc w:val="center"/>
              </w:trPr>
              <w:tc>
                <w:tcPr>
                  <w:tcW w:w="190" w:type="pct"/>
                  <w:tcBorders>
                    <w:top w:val="single" w:color="000000" w:sz="12"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序号</w:t>
                  </w:r>
                </w:p>
              </w:tc>
              <w:tc>
                <w:tcPr>
                  <w:tcW w:w="244" w:type="pct"/>
                  <w:tcBorders>
                    <w:top w:val="single" w:color="000000" w:sz="12"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危险废物名称</w:t>
                  </w:r>
                </w:p>
              </w:tc>
              <w:tc>
                <w:tcPr>
                  <w:tcW w:w="467" w:type="pct"/>
                  <w:tcBorders>
                    <w:top w:val="single" w:color="000000" w:sz="12"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危险废物类别</w:t>
                  </w:r>
                </w:p>
              </w:tc>
              <w:tc>
                <w:tcPr>
                  <w:tcW w:w="656" w:type="pct"/>
                  <w:tcBorders>
                    <w:top w:val="single" w:color="000000" w:sz="12"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危险废物代码</w:t>
                  </w:r>
                </w:p>
              </w:tc>
              <w:tc>
                <w:tcPr>
                  <w:tcW w:w="325" w:type="pct"/>
                  <w:tcBorders>
                    <w:top w:val="single" w:color="000000" w:sz="12"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产生量t/a</w:t>
                  </w:r>
                </w:p>
              </w:tc>
              <w:tc>
                <w:tcPr>
                  <w:tcW w:w="322" w:type="pct"/>
                  <w:tcBorders>
                    <w:top w:val="single" w:color="000000" w:sz="12"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产生工序及装置</w:t>
                  </w:r>
                </w:p>
              </w:tc>
              <w:tc>
                <w:tcPr>
                  <w:tcW w:w="225" w:type="pct"/>
                  <w:tcBorders>
                    <w:top w:val="single" w:color="000000" w:sz="12"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形态</w:t>
                  </w:r>
                </w:p>
              </w:tc>
              <w:tc>
                <w:tcPr>
                  <w:tcW w:w="276" w:type="pct"/>
                  <w:tcBorders>
                    <w:top w:val="single" w:color="000000" w:sz="12"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主要成分</w:t>
                  </w:r>
                </w:p>
              </w:tc>
              <w:tc>
                <w:tcPr>
                  <w:tcW w:w="209" w:type="pct"/>
                  <w:tcBorders>
                    <w:top w:val="single" w:color="000000" w:sz="12"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有害成分</w:t>
                  </w:r>
                </w:p>
              </w:tc>
              <w:tc>
                <w:tcPr>
                  <w:tcW w:w="191" w:type="pct"/>
                  <w:tcBorders>
                    <w:top w:val="single" w:color="000000" w:sz="12"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产废周期</w:t>
                  </w:r>
                </w:p>
              </w:tc>
              <w:tc>
                <w:tcPr>
                  <w:tcW w:w="192" w:type="pct"/>
                  <w:tcBorders>
                    <w:top w:val="single" w:color="000000" w:sz="12" w:space="0"/>
                    <w:left w:val="single" w:color="auto" w:sz="4" w:space="0"/>
                    <w:bottom w:val="single" w:color="auto" w:sz="4"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危险</w:t>
                  </w:r>
                </w:p>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特性</w:t>
                  </w:r>
                </w:p>
              </w:tc>
              <w:tc>
                <w:tcPr>
                  <w:tcW w:w="1697" w:type="pct"/>
                  <w:tcBorders>
                    <w:top w:val="single" w:color="000000" w:sz="12" w:space="0"/>
                    <w:left w:val="single" w:color="auto" w:sz="4" w:space="0"/>
                    <w:bottom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污染防治措施</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57" w:type="dxa"/>
                  <w:bottom w:w="0" w:type="dxa"/>
                  <w:right w:w="57" w:type="dxa"/>
                </w:tblCellMar>
              </w:tblPrEx>
              <w:trPr>
                <w:trHeight w:val="1641" w:hRule="atLeast"/>
                <w:jc w:val="center"/>
              </w:trPr>
              <w:tc>
                <w:tcPr>
                  <w:tcW w:w="190" w:type="pct"/>
                  <w:tcBorders>
                    <w:top w:val="single" w:color="auto" w:sz="4" w:space="0"/>
                    <w:bottom w:val="single" w:color="000000" w:sz="12" w:space="0"/>
                    <w:right w:val="single" w:color="auto" w:sz="4" w:space="0"/>
                    <w:tl2br w:val="nil"/>
                    <w:tr2bl w:val="nil"/>
                  </w:tcBorders>
                  <w:noWrap w:val="0"/>
                  <w:vAlign w:val="center"/>
                </w:tcPr>
                <w:p>
                  <w:pPr>
                    <w:adjustRightInd w:val="0"/>
                    <w:snapToGrid w:val="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244" w:type="pct"/>
                  <w:tcBorders>
                    <w:top w:val="single" w:color="auto" w:sz="4" w:space="0"/>
                    <w:left w:val="single" w:color="auto" w:sz="4" w:space="0"/>
                    <w:bottom w:val="single" w:color="000000" w:sz="12" w:space="0"/>
                    <w:right w:val="single" w:color="auto" w:sz="4" w:space="0"/>
                    <w:tl2br w:val="nil"/>
                    <w:tr2bl w:val="nil"/>
                  </w:tcBorders>
                  <w:noWrap w:val="0"/>
                  <w:vAlign w:val="center"/>
                </w:tcPr>
                <w:p>
                  <w:pPr>
                    <w:snapToGrid w:val="0"/>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废活性炭</w:t>
                  </w:r>
                </w:p>
              </w:tc>
              <w:tc>
                <w:tcPr>
                  <w:tcW w:w="467" w:type="pct"/>
                  <w:tcBorders>
                    <w:top w:val="single" w:color="auto" w:sz="4" w:space="0"/>
                    <w:left w:val="single" w:color="auto" w:sz="4" w:space="0"/>
                    <w:bottom w:val="single" w:color="000000" w:sz="12" w:space="0"/>
                    <w:right w:val="single" w:color="auto" w:sz="4" w:space="0"/>
                    <w:tl2br w:val="nil"/>
                    <w:tr2bl w:val="nil"/>
                  </w:tcBorders>
                  <w:noWrap w:val="0"/>
                  <w:vAlign w:val="center"/>
                </w:tcPr>
                <w:p>
                  <w:pPr>
                    <w:keepNext w:val="0"/>
                    <w:keepLines w:val="0"/>
                    <w:pageBreakBefore w:val="0"/>
                    <w:kinsoku/>
                    <w:wordWrap/>
                    <w:overflowPunct/>
                    <w:topLinePunct w:val="0"/>
                    <w:autoSpaceDN/>
                    <w:bidi w:val="0"/>
                    <w:adjustRightInd w:val="0"/>
                    <w:snapToGrid w:val="0"/>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rPr>
                    <w:t>HW49</w:t>
                  </w:r>
                </w:p>
              </w:tc>
              <w:tc>
                <w:tcPr>
                  <w:tcW w:w="656" w:type="pct"/>
                  <w:tcBorders>
                    <w:top w:val="single" w:color="auto" w:sz="4" w:space="0"/>
                    <w:left w:val="single" w:color="auto" w:sz="4" w:space="0"/>
                    <w:bottom w:val="single" w:color="000000" w:sz="12" w:space="0"/>
                    <w:right w:val="single" w:color="auto" w:sz="4" w:space="0"/>
                    <w:tl2br w:val="nil"/>
                    <w:tr2bl w:val="nil"/>
                  </w:tcBorders>
                  <w:noWrap w:val="0"/>
                  <w:vAlign w:val="center"/>
                </w:tcPr>
                <w:p>
                  <w:pPr>
                    <w:keepNext w:val="0"/>
                    <w:keepLines w:val="0"/>
                    <w:pageBreakBefore w:val="0"/>
                    <w:kinsoku/>
                    <w:wordWrap/>
                    <w:overflowPunct/>
                    <w:topLinePunct w:val="0"/>
                    <w:autoSpaceDN/>
                    <w:bidi w:val="0"/>
                    <w:adjustRightInd w:val="0"/>
                    <w:snapToGrid w:val="0"/>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zh-CN"/>
                    </w:rPr>
                    <w:t>900-</w:t>
                  </w:r>
                  <w:r>
                    <w:rPr>
                      <w:rFonts w:hint="eastAsia" w:ascii="Times New Roman" w:hAnsi="Times New Roman" w:eastAsia="宋体" w:cs="Times New Roman"/>
                      <w:kern w:val="2"/>
                      <w:sz w:val="21"/>
                      <w:szCs w:val="21"/>
                      <w:lang w:val="en-US" w:eastAsia="zh-CN"/>
                    </w:rPr>
                    <w:t>039</w:t>
                  </w:r>
                  <w:r>
                    <w:rPr>
                      <w:rFonts w:hint="default" w:ascii="Times New Roman" w:hAnsi="Times New Roman" w:eastAsia="宋体" w:cs="Times New Roman"/>
                      <w:kern w:val="2"/>
                      <w:sz w:val="21"/>
                      <w:szCs w:val="21"/>
                      <w:lang w:val="zh-CN"/>
                    </w:rPr>
                    <w:t>-49</w:t>
                  </w:r>
                </w:p>
              </w:tc>
              <w:tc>
                <w:tcPr>
                  <w:tcW w:w="325" w:type="pct"/>
                  <w:tcBorders>
                    <w:top w:val="single" w:color="auto" w:sz="4" w:space="0"/>
                    <w:left w:val="single" w:color="auto" w:sz="4" w:space="0"/>
                    <w:bottom w:val="single" w:color="000000" w:sz="12" w:space="0"/>
                    <w:right w:val="single" w:color="auto" w:sz="4" w:space="0"/>
                    <w:tl2br w:val="nil"/>
                    <w:tr2bl w:val="nil"/>
                  </w:tcBorders>
                  <w:noWrap w:val="0"/>
                  <w:vAlign w:val="center"/>
                </w:tcPr>
                <w:p>
                  <w:pPr>
                    <w:snapToGrid w:val="0"/>
                    <w:ind w:left="-63" w:leftChars="-30" w:right="-63" w:rightChars="-3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w:t>
                  </w:r>
                </w:p>
              </w:tc>
              <w:tc>
                <w:tcPr>
                  <w:tcW w:w="322" w:type="pct"/>
                  <w:tcBorders>
                    <w:top w:val="single" w:color="auto" w:sz="4" w:space="0"/>
                    <w:left w:val="single" w:color="auto" w:sz="4" w:space="0"/>
                    <w:bottom w:val="single" w:color="000000" w:sz="12" w:space="0"/>
                    <w:right w:val="single" w:color="auto" w:sz="4" w:space="0"/>
                    <w:tl2br w:val="nil"/>
                    <w:tr2bl w:val="nil"/>
                  </w:tcBorders>
                  <w:noWrap w:val="0"/>
                  <w:vAlign w:val="center"/>
                </w:tcPr>
                <w:p>
                  <w:pPr>
                    <w:snapToGrid w:val="0"/>
                    <w:ind w:left="-63" w:leftChars="-30" w:right="-63" w:rightChars="-3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废气处理</w:t>
                  </w:r>
                </w:p>
              </w:tc>
              <w:tc>
                <w:tcPr>
                  <w:tcW w:w="225" w:type="pct"/>
                  <w:tcBorders>
                    <w:top w:val="single" w:color="auto" w:sz="4" w:space="0"/>
                    <w:left w:val="single" w:color="auto" w:sz="4" w:space="0"/>
                    <w:bottom w:val="single" w:color="000000" w:sz="12" w:space="0"/>
                    <w:right w:val="single" w:color="auto" w:sz="4" w:space="0"/>
                    <w:tl2br w:val="nil"/>
                    <w:tr2bl w:val="nil"/>
                  </w:tcBorders>
                  <w:noWrap w:val="0"/>
                  <w:vAlign w:val="center"/>
                </w:tcPr>
                <w:p>
                  <w:pPr>
                    <w:ind w:left="-63" w:leftChars="-30" w:right="-63" w:rightChars="-3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固态</w:t>
                  </w:r>
                </w:p>
              </w:tc>
              <w:tc>
                <w:tcPr>
                  <w:tcW w:w="276" w:type="pct"/>
                  <w:tcBorders>
                    <w:top w:val="single" w:color="auto" w:sz="4" w:space="0"/>
                    <w:left w:val="single" w:color="auto" w:sz="4" w:space="0"/>
                    <w:bottom w:val="single" w:color="000000" w:sz="12" w:space="0"/>
                    <w:right w:val="single" w:color="auto" w:sz="4" w:space="0"/>
                    <w:tl2br w:val="nil"/>
                    <w:tr2bl w:val="nil"/>
                  </w:tcBorders>
                  <w:noWrap w:val="0"/>
                  <w:vAlign w:val="center"/>
                </w:tcPr>
                <w:p>
                  <w:pPr>
                    <w:snapToGrid w:val="0"/>
                    <w:ind w:left="-63" w:leftChars="-30" w:right="-63" w:rightChars="-3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活性炭</w:t>
                  </w:r>
                </w:p>
              </w:tc>
              <w:tc>
                <w:tcPr>
                  <w:tcW w:w="209" w:type="pct"/>
                  <w:tcBorders>
                    <w:top w:val="single" w:color="auto" w:sz="4" w:space="0"/>
                    <w:left w:val="single" w:color="auto" w:sz="4" w:space="0"/>
                    <w:bottom w:val="single" w:color="000000" w:sz="12" w:space="0"/>
                    <w:right w:val="single" w:color="auto" w:sz="4" w:space="0"/>
                    <w:tl2br w:val="nil"/>
                    <w:tr2bl w:val="nil"/>
                  </w:tcBorders>
                  <w:noWrap w:val="0"/>
                  <w:vAlign w:val="center"/>
                </w:tcPr>
                <w:p>
                  <w:pPr>
                    <w:ind w:left="-63" w:leftChars="-30" w:right="-63" w:rightChars="-30"/>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有机物</w:t>
                  </w:r>
                </w:p>
              </w:tc>
              <w:tc>
                <w:tcPr>
                  <w:tcW w:w="191" w:type="pct"/>
                  <w:tcBorders>
                    <w:top w:val="single" w:color="auto" w:sz="4" w:space="0"/>
                    <w:left w:val="single" w:color="auto" w:sz="4" w:space="0"/>
                    <w:bottom w:val="single" w:color="000000" w:sz="12" w:space="0"/>
                    <w:right w:val="single" w:color="auto" w:sz="4" w:space="0"/>
                    <w:tl2br w:val="nil"/>
                    <w:tr2bl w:val="nil"/>
                  </w:tcBorders>
                  <w:noWrap w:val="0"/>
                  <w:vAlign w:val="center"/>
                </w:tcPr>
                <w:p>
                  <w:pPr>
                    <w:ind w:left="-63" w:leftChars="-30" w:right="-63" w:rightChars="-3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1年</w:t>
                  </w:r>
                </w:p>
              </w:tc>
              <w:tc>
                <w:tcPr>
                  <w:tcW w:w="192" w:type="pct"/>
                  <w:tcBorders>
                    <w:top w:val="single" w:color="auto" w:sz="4" w:space="0"/>
                    <w:left w:val="single" w:color="auto" w:sz="4" w:space="0"/>
                    <w:bottom w:val="single" w:color="000000" w:sz="12" w:space="0"/>
                    <w:right w:val="single" w:color="auto" w:sz="4" w:space="0"/>
                    <w:tl2br w:val="nil"/>
                    <w:tr2bl w:val="nil"/>
                  </w:tcBorders>
                  <w:noWrap w:val="0"/>
                  <w:vAlign w:val="center"/>
                </w:tcPr>
                <w:p>
                  <w:pPr>
                    <w:ind w:left="-63" w:leftChars="-30" w:right="-63" w:rightChars="-3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T</w:t>
                  </w:r>
                </w:p>
              </w:tc>
              <w:tc>
                <w:tcPr>
                  <w:tcW w:w="1697" w:type="pct"/>
                  <w:tcBorders>
                    <w:top w:val="single" w:color="auto" w:sz="4" w:space="0"/>
                    <w:left w:val="single" w:color="auto" w:sz="4" w:space="0"/>
                    <w:bottom w:val="single" w:color="000000" w:sz="12" w:space="0"/>
                    <w:tl2br w:val="nil"/>
                    <w:tr2bl w:val="nil"/>
                  </w:tcBorders>
                  <w:noWrap w:val="0"/>
                  <w:vAlign w:val="center"/>
                </w:tcPr>
                <w:p>
                  <w:pPr>
                    <w:topLinePunct/>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1、设置专用的危险废物仓库，面积约</w:t>
                  </w:r>
                  <w:r>
                    <w:rPr>
                      <w:rFonts w:hint="eastAsia" w:ascii="Times New Roman" w:hAnsi="Times New Roman" w:eastAsia="宋体" w:cs="Times New Roman"/>
                      <w:sz w:val="21"/>
                      <w:szCs w:val="21"/>
                      <w:lang w:val="en-US" w:eastAsia="zh-CN"/>
                    </w:rPr>
                    <w:t>10</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w:t>
                  </w:r>
                </w:p>
                <w:p>
                  <w:pPr>
                    <w:topLinePunct/>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2、危险废物仓库的建设应满足GB18597-2001、HJ2025-2012及其他相关技术规范要求，采取防风、防雨、防晒、防渗漏措施，同时设置相关警示标志。</w:t>
                  </w:r>
                </w:p>
                <w:p>
                  <w:pPr>
                    <w:topLinePunct/>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3、危险废物应装入容器密闭贮存。盛放危险废物的容器材质和衬里要与危险废物相容。</w:t>
                  </w:r>
                </w:p>
                <w:p>
                  <w:pPr>
                    <w:topLinePunct/>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4、按HJ2025-2012等建立规范的危险废物贮存台账。</w:t>
                  </w:r>
                </w:p>
                <w:p>
                  <w:pPr>
                    <w:adjustRightInd w:val="0"/>
                    <w:snapToGrid w:val="0"/>
                    <w:jc w:val="left"/>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5、危险废物应委托有</w:t>
                  </w:r>
                  <w:r>
                    <w:rPr>
                      <w:rFonts w:hint="default" w:ascii="Times New Roman" w:hAnsi="Times New Roman" w:eastAsia="宋体" w:cs="Times New Roman"/>
                      <w:kern w:val="0"/>
                      <w:sz w:val="21"/>
                      <w:szCs w:val="21"/>
                    </w:rPr>
                    <w:t>资质单位运输处理处置，并严格履行危险废物申报登记、危险废物转移联单等制度</w:t>
                  </w:r>
                </w:p>
              </w:tc>
            </w:tr>
          </w:tbl>
          <w:p>
            <w:pPr>
              <w:spacing w:line="360" w:lineRule="auto"/>
              <w:rPr>
                <w:rFonts w:hint="eastAsia"/>
                <w:b/>
                <w:sz w:val="24"/>
              </w:rPr>
            </w:pPr>
          </w:p>
          <w:p>
            <w:pPr>
              <w:spacing w:line="360" w:lineRule="auto"/>
              <w:rPr>
                <w:b/>
                <w:sz w:val="24"/>
              </w:rPr>
            </w:pPr>
            <w:r>
              <w:rPr>
                <w:rFonts w:hint="eastAsia"/>
                <w:b/>
                <w:sz w:val="24"/>
              </w:rPr>
              <w:t xml:space="preserve">  </w:t>
            </w:r>
            <w:r>
              <w:rPr>
                <w:rFonts w:hint="eastAsia"/>
                <w:b/>
                <w:sz w:val="24"/>
                <w:lang w:val="en-US" w:eastAsia="zh-CN"/>
              </w:rPr>
              <w:t>4</w:t>
            </w:r>
            <w:r>
              <w:rPr>
                <w:rFonts w:hint="eastAsia"/>
                <w:b/>
                <w:bCs/>
                <w:sz w:val="24"/>
              </w:rPr>
              <w:t>.</w:t>
            </w:r>
            <w:r>
              <w:rPr>
                <w:b/>
                <w:bCs/>
                <w:sz w:val="24"/>
              </w:rPr>
              <w:t>2</w:t>
            </w:r>
            <w:r>
              <w:rPr>
                <w:b/>
                <w:sz w:val="24"/>
              </w:rPr>
              <w:t>固体废物</w:t>
            </w:r>
            <w:r>
              <w:rPr>
                <w:rFonts w:hint="eastAsia"/>
                <w:b/>
                <w:sz w:val="24"/>
              </w:rPr>
              <w:t>环境影响分析</w:t>
            </w:r>
          </w:p>
          <w:p>
            <w:pPr>
              <w:adjustRightInd w:val="0"/>
              <w:snapToGrid w:val="0"/>
              <w:spacing w:line="360" w:lineRule="auto"/>
              <w:ind w:left="480"/>
              <w:rPr>
                <w:sz w:val="24"/>
              </w:rPr>
            </w:pPr>
            <w:r>
              <w:rPr>
                <w:rFonts w:hAnsi="宋体"/>
                <w:sz w:val="24"/>
              </w:rPr>
              <w:t>（</w:t>
            </w:r>
            <w:r>
              <w:rPr>
                <w:sz w:val="24"/>
              </w:rPr>
              <w:t>1</w:t>
            </w:r>
            <w:r>
              <w:rPr>
                <w:rFonts w:hAnsi="宋体"/>
                <w:sz w:val="24"/>
              </w:rPr>
              <w:t>）</w:t>
            </w:r>
            <w:r>
              <w:rPr>
                <w:sz w:val="24"/>
              </w:rPr>
              <w:t>固体废物处理、处置情况</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本</w:t>
            </w:r>
            <w:r>
              <w:rPr>
                <w:rFonts w:ascii="Times New Roman" w:hAnsi="Times New Roman" w:cs="Times New Roman"/>
                <w:sz w:val="24"/>
              </w:rPr>
              <w:t>项目固体废物主要有一般工业固体废物和危险固体废物。</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一般工业固废：</w:t>
            </w:r>
            <w:r>
              <w:rPr>
                <w:rFonts w:hint="eastAsia" w:ascii="Times New Roman" w:hAnsi="Times New Roman" w:cs="Times New Roman"/>
                <w:sz w:val="24"/>
                <w:lang w:eastAsia="zh-CN"/>
              </w:rPr>
              <w:t>玻璃碎屑</w:t>
            </w:r>
            <w:r>
              <w:rPr>
                <w:rFonts w:hint="eastAsia" w:ascii="Times New Roman" w:hAnsi="Times New Roman" w:cs="Times New Roman"/>
                <w:sz w:val="24"/>
                <w:lang w:val="en-US" w:eastAsia="zh-CN"/>
              </w:rPr>
              <w:t>40</w:t>
            </w:r>
            <w:r>
              <w:rPr>
                <w:rFonts w:hint="eastAsia" w:ascii="Times New Roman" w:hAnsi="Times New Roman" w:cs="Times New Roman"/>
                <w:sz w:val="24"/>
              </w:rPr>
              <w:t>t/a</w:t>
            </w:r>
            <w:r>
              <w:rPr>
                <w:rFonts w:hint="eastAsia" w:ascii="Times New Roman" w:hAnsi="Times New Roman" w:cs="Times New Roman"/>
                <w:sz w:val="24"/>
                <w:lang w:eastAsia="zh-CN"/>
              </w:rPr>
              <w:t>、粉尘</w:t>
            </w:r>
            <w:r>
              <w:rPr>
                <w:rFonts w:hint="eastAsia" w:ascii="Times New Roman" w:hAnsi="Times New Roman" w:cs="Times New Roman"/>
                <w:sz w:val="24"/>
                <w:lang w:val="en-US" w:eastAsia="zh-CN"/>
              </w:rPr>
              <w:t>1.51</w:t>
            </w:r>
            <w:r>
              <w:rPr>
                <w:rFonts w:hint="eastAsia" w:ascii="Times New Roman" w:hAnsi="Times New Roman" w:cs="Times New Roman"/>
                <w:sz w:val="24"/>
              </w:rPr>
              <w:t>t/a</w:t>
            </w:r>
            <w:r>
              <w:rPr>
                <w:rFonts w:hint="eastAsia" w:ascii="Times New Roman" w:hAnsi="Times New Roman" w:cs="Times New Roman"/>
                <w:sz w:val="24"/>
                <w:lang w:eastAsia="zh-CN"/>
              </w:rPr>
              <w:t>、污泥</w:t>
            </w:r>
            <w:r>
              <w:rPr>
                <w:rFonts w:hint="eastAsia" w:ascii="Times New Roman" w:hAnsi="Times New Roman" w:cs="Times New Roman"/>
                <w:sz w:val="24"/>
                <w:lang w:val="en-US" w:eastAsia="zh-CN"/>
              </w:rPr>
              <w:t>13</w:t>
            </w:r>
            <w:r>
              <w:rPr>
                <w:rFonts w:hint="eastAsia" w:ascii="Times New Roman" w:hAnsi="Times New Roman" w:cs="Times New Roman"/>
                <w:sz w:val="24"/>
              </w:rPr>
              <w:t>t/a</w:t>
            </w:r>
            <w:r>
              <w:rPr>
                <w:rFonts w:hint="eastAsia" w:ascii="Times New Roman" w:hAnsi="Times New Roman" w:cs="Times New Roman"/>
                <w:sz w:val="24"/>
                <w:lang w:eastAsia="zh-CN"/>
              </w:rPr>
              <w:t>、不合格品</w:t>
            </w:r>
            <w:r>
              <w:rPr>
                <w:rFonts w:hint="eastAsia" w:ascii="Times New Roman" w:hAnsi="Times New Roman" w:cs="Times New Roman"/>
                <w:sz w:val="24"/>
                <w:lang w:val="en-US" w:eastAsia="zh-CN"/>
              </w:rPr>
              <w:t>662</w:t>
            </w:r>
            <w:r>
              <w:rPr>
                <w:rFonts w:hint="eastAsia" w:ascii="Times New Roman" w:hAnsi="Times New Roman" w:cs="Times New Roman"/>
                <w:sz w:val="24"/>
              </w:rPr>
              <w:t>t/a</w:t>
            </w:r>
            <w:r>
              <w:rPr>
                <w:rFonts w:ascii="Times New Roman" w:hAnsi="Times New Roman" w:cs="Times New Roman"/>
                <w:sz w:val="24"/>
              </w:rPr>
              <w:t>，</w:t>
            </w:r>
            <w:r>
              <w:rPr>
                <w:rFonts w:hint="eastAsia" w:ascii="Times New Roman" w:hAnsi="Times New Roman" w:cs="Times New Roman"/>
                <w:sz w:val="24"/>
                <w:lang w:eastAsia="zh-CN"/>
              </w:rPr>
              <w:t>出售相关单位</w:t>
            </w:r>
            <w:r>
              <w:rPr>
                <w:rFonts w:hint="eastAsia" w:ascii="Times New Roman" w:hAnsi="Times New Roman" w:cs="Times New Roman"/>
                <w:sz w:val="24"/>
              </w:rPr>
              <w:t>；</w:t>
            </w:r>
            <w:r>
              <w:rPr>
                <w:rFonts w:hint="eastAsia" w:ascii="Times New Roman" w:hAnsi="Times New Roman" w:cs="Times New Roman"/>
                <w:sz w:val="24"/>
                <w:lang w:eastAsia="zh-CN"/>
              </w:rPr>
              <w:t>生活垃圾</w:t>
            </w:r>
            <w:r>
              <w:rPr>
                <w:rFonts w:hint="eastAsia" w:ascii="Times New Roman" w:hAnsi="Times New Roman" w:cs="Times New Roman"/>
                <w:sz w:val="24"/>
                <w:lang w:val="en-US" w:eastAsia="zh-CN"/>
              </w:rPr>
              <w:t>15</w:t>
            </w:r>
            <w:r>
              <w:rPr>
                <w:rFonts w:hint="eastAsia" w:ascii="Times New Roman" w:hAnsi="Times New Roman" w:cs="Times New Roman"/>
                <w:sz w:val="24"/>
              </w:rPr>
              <w:t>t/a，</w:t>
            </w:r>
            <w:r>
              <w:rPr>
                <w:rFonts w:hint="eastAsia" w:ascii="Times New Roman" w:hAnsi="Times New Roman" w:cs="Times New Roman"/>
                <w:sz w:val="24"/>
                <w:lang w:eastAsia="zh-CN"/>
              </w:rPr>
              <w:t>由环卫部门统一清运</w:t>
            </w:r>
            <w:r>
              <w:rPr>
                <w:rFonts w:hint="eastAsia" w:ascii="Times New Roman" w:hAnsi="Times New Roman" w:cs="Times New Roman"/>
                <w:sz w:val="24"/>
              </w:rPr>
              <w:t>。</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危险固体废物：</w:t>
            </w:r>
            <w:r>
              <w:rPr>
                <w:rFonts w:hint="eastAsia" w:ascii="Times New Roman" w:hAnsi="Times New Roman" w:cs="Times New Roman"/>
                <w:sz w:val="24"/>
              </w:rPr>
              <w:t>废</w:t>
            </w:r>
            <w:r>
              <w:rPr>
                <w:rFonts w:hint="eastAsia" w:ascii="Times New Roman" w:hAnsi="Times New Roman" w:cs="Times New Roman"/>
                <w:sz w:val="24"/>
                <w:lang w:eastAsia="zh-CN"/>
              </w:rPr>
              <w:t>活性炭</w:t>
            </w:r>
            <w:r>
              <w:rPr>
                <w:rFonts w:ascii="Times New Roman" w:hAnsi="Times New Roman" w:cs="Times New Roman"/>
                <w:sz w:val="24"/>
              </w:rPr>
              <w:t>属于危险固体废物，委托有资质的第三方有资质单位处理。</w:t>
            </w:r>
          </w:p>
          <w:p>
            <w:pPr>
              <w:snapToGrid w:val="0"/>
              <w:spacing w:line="360" w:lineRule="auto"/>
              <w:ind w:firstLine="480" w:firstLineChars="200"/>
              <w:rPr>
                <w:sz w:val="24"/>
              </w:rPr>
            </w:pPr>
            <w:r>
              <w:rPr>
                <w:rFonts w:hAnsi="宋体"/>
                <w:sz w:val="24"/>
              </w:rPr>
              <w:t>（</w:t>
            </w:r>
            <w:r>
              <w:rPr>
                <w:sz w:val="24"/>
              </w:rPr>
              <w:t>2</w:t>
            </w:r>
            <w:r>
              <w:rPr>
                <w:rFonts w:hAnsi="宋体"/>
                <w:sz w:val="24"/>
              </w:rPr>
              <w:t>）</w:t>
            </w:r>
            <w:r>
              <w:rPr>
                <w:sz w:val="24"/>
              </w:rPr>
              <w:t>厂内暂堆场影响</w:t>
            </w:r>
          </w:p>
          <w:p>
            <w:pPr>
              <w:snapToGrid w:val="0"/>
              <w:spacing w:line="360" w:lineRule="auto"/>
              <w:ind w:firstLine="480" w:firstLineChars="200"/>
              <w:rPr>
                <w:rFonts w:ascii="Times New Roman" w:hAnsi="Times New Roman" w:cs="Times New Roman"/>
                <w:snapToGrid w:val="0"/>
                <w:kern w:val="0"/>
                <w:sz w:val="24"/>
              </w:rPr>
            </w:pPr>
            <w:r>
              <w:rPr>
                <w:rFonts w:ascii="Times New Roman" w:hAnsi="Times New Roman" w:cs="Times New Roman"/>
                <w:snapToGrid w:val="0"/>
                <w:kern w:val="0"/>
                <w:sz w:val="24"/>
              </w:rPr>
              <w:t>厂区设置一</w:t>
            </w:r>
            <w:r>
              <w:rPr>
                <w:rFonts w:hint="eastAsia" w:ascii="Times New Roman" w:hAnsi="Times New Roman" w:cs="Times New Roman"/>
                <w:snapToGrid w:val="0"/>
                <w:kern w:val="0"/>
                <w:sz w:val="24"/>
              </w:rPr>
              <w:t>个</w:t>
            </w:r>
            <w:r>
              <w:rPr>
                <w:rFonts w:ascii="Times New Roman" w:hAnsi="Times New Roman" w:cs="Times New Roman"/>
                <w:snapToGrid w:val="0"/>
                <w:kern w:val="0"/>
                <w:sz w:val="24"/>
              </w:rPr>
              <w:t>一般固体废物堆场，占地面积约</w:t>
            </w:r>
            <w:r>
              <w:rPr>
                <w:rFonts w:hint="eastAsia" w:ascii="Times New Roman" w:hAnsi="Times New Roman" w:cs="Times New Roman"/>
                <w:snapToGrid w:val="0"/>
                <w:kern w:val="0"/>
                <w:sz w:val="24"/>
                <w:lang w:val="en-US" w:eastAsia="zh-CN"/>
              </w:rPr>
              <w:t>30</w:t>
            </w:r>
            <w:r>
              <w:rPr>
                <w:rFonts w:ascii="Times New Roman" w:hAnsi="Times New Roman" w:cs="Times New Roman"/>
                <w:snapToGrid w:val="0"/>
                <w:kern w:val="0"/>
                <w:sz w:val="24"/>
              </w:rPr>
              <w:t>m</w:t>
            </w:r>
            <w:r>
              <w:rPr>
                <w:rFonts w:ascii="Times New Roman" w:hAnsi="Times New Roman" w:cs="Times New Roman"/>
                <w:snapToGrid w:val="0"/>
                <w:kern w:val="0"/>
                <w:sz w:val="24"/>
                <w:vertAlign w:val="superscript"/>
              </w:rPr>
              <w:t>2</w:t>
            </w:r>
            <w:r>
              <w:rPr>
                <w:rFonts w:ascii="Times New Roman" w:hAnsi="Times New Roman" w:cs="Times New Roman"/>
                <w:snapToGrid w:val="0"/>
                <w:kern w:val="0"/>
                <w:sz w:val="24"/>
              </w:rPr>
              <w:t>，危险固废暂存间</w:t>
            </w:r>
            <w:r>
              <w:rPr>
                <w:rFonts w:hint="eastAsia" w:ascii="Times New Roman" w:hAnsi="Times New Roman" w:cs="Times New Roman"/>
                <w:snapToGrid w:val="0"/>
                <w:kern w:val="0"/>
                <w:sz w:val="24"/>
              </w:rPr>
              <w:t>10</w:t>
            </w:r>
            <w:r>
              <w:rPr>
                <w:rFonts w:ascii="Times New Roman" w:hAnsi="Times New Roman" w:cs="Times New Roman"/>
                <w:snapToGrid w:val="0"/>
                <w:kern w:val="0"/>
                <w:sz w:val="24"/>
              </w:rPr>
              <w:t>m</w:t>
            </w:r>
            <w:r>
              <w:rPr>
                <w:rFonts w:ascii="Times New Roman" w:hAnsi="Times New Roman" w:cs="Times New Roman"/>
                <w:snapToGrid w:val="0"/>
                <w:kern w:val="0"/>
                <w:sz w:val="24"/>
                <w:vertAlign w:val="superscript"/>
              </w:rPr>
              <w:t>2</w:t>
            </w:r>
            <w:r>
              <w:rPr>
                <w:rFonts w:hint="eastAsia" w:ascii="Times New Roman" w:hAnsi="Times New Roman" w:cs="Times New Roman"/>
                <w:snapToGrid w:val="0"/>
                <w:kern w:val="0"/>
                <w:sz w:val="24"/>
              </w:rPr>
              <w:t>。</w:t>
            </w:r>
          </w:p>
          <w:p>
            <w:pPr>
              <w:snapToGrid w:val="0"/>
              <w:spacing w:line="360" w:lineRule="auto"/>
              <w:ind w:firstLine="480" w:firstLineChars="200"/>
              <w:rPr>
                <w:snapToGrid w:val="0"/>
                <w:kern w:val="0"/>
                <w:sz w:val="24"/>
              </w:rPr>
            </w:pPr>
            <w:r>
              <w:rPr>
                <w:snapToGrid w:val="0"/>
                <w:kern w:val="0"/>
                <w:sz w:val="24"/>
              </w:rPr>
              <w:t>一般固体废物堆场地面有完善的防渗措施，且雨水不会径流进入堆场内，满足</w:t>
            </w:r>
            <w:r>
              <w:rPr>
                <w:rFonts w:hint="default" w:ascii="Times New Roman" w:hAnsi="Times New Roman" w:cs="Times New Roman"/>
                <w:bCs/>
                <w:sz w:val="24"/>
                <w:szCs w:val="24"/>
              </w:rPr>
              <w:t>《</w:t>
            </w:r>
            <w:r>
              <w:rPr>
                <w:rFonts w:hint="default" w:ascii="Times New Roman" w:hAnsi="Times New Roman" w:cs="Times New Roman"/>
                <w:bCs/>
                <w:sz w:val="24"/>
                <w:szCs w:val="24"/>
                <w:lang w:eastAsia="zh-CN"/>
              </w:rPr>
              <w:t>一般工业固体废物贮存和填埋污染控制标准</w:t>
            </w:r>
            <w:r>
              <w:rPr>
                <w:rFonts w:hint="default" w:ascii="Times New Roman" w:hAnsi="Times New Roman" w:cs="Times New Roman"/>
                <w:bCs/>
                <w:sz w:val="24"/>
                <w:szCs w:val="24"/>
              </w:rPr>
              <w:t>》（GB18599-2020）</w:t>
            </w:r>
            <w:r>
              <w:rPr>
                <w:snapToGrid w:val="0"/>
                <w:kern w:val="0"/>
                <w:sz w:val="24"/>
              </w:rPr>
              <w:t>建设要求。</w:t>
            </w:r>
          </w:p>
          <w:p>
            <w:pPr>
              <w:snapToGrid w:val="0"/>
              <w:spacing w:line="360" w:lineRule="auto"/>
              <w:ind w:firstLine="480" w:firstLineChars="200"/>
              <w:rPr>
                <w:snapToGrid w:val="0"/>
                <w:kern w:val="0"/>
                <w:sz w:val="24"/>
              </w:rPr>
            </w:pPr>
            <w:r>
              <w:rPr>
                <w:snapToGrid w:val="0"/>
                <w:kern w:val="0"/>
                <w:sz w:val="24"/>
              </w:rPr>
              <w:t>危险废物仓库满足《危险废物贮存污染控制标准》（GB18597-2001）：贮存场所地面作硬化处理，场所雨棚、围堰或围墙，设置危险废物识别标志，不同危险废物做到分类贮存。根据相关管理规定，危险废物贮存不得超过一年，企业必须按照管理要求做好台账记录，定期交由有资质公司处理处置，禁止长期存放。危险废物暂存场贮存符合《危险废物贮存污染控制标准》（GB18597-2001）中要求。</w:t>
            </w:r>
          </w:p>
          <w:p>
            <w:pPr>
              <w:snapToGrid w:val="0"/>
              <w:spacing w:line="360" w:lineRule="auto"/>
              <w:ind w:firstLine="480" w:firstLineChars="200"/>
              <w:rPr>
                <w:snapToGrid w:val="0"/>
                <w:kern w:val="0"/>
                <w:sz w:val="24"/>
              </w:rPr>
            </w:pPr>
            <w:r>
              <w:rPr>
                <w:snapToGrid w:val="0"/>
                <w:kern w:val="0"/>
                <w:sz w:val="24"/>
              </w:rPr>
              <w:t>建设项目危险废物储存场所基本情况见表</w:t>
            </w:r>
            <w:r>
              <w:rPr>
                <w:rFonts w:hint="eastAsia"/>
                <w:snapToGrid w:val="0"/>
                <w:kern w:val="0"/>
                <w:sz w:val="24"/>
              </w:rPr>
              <w:t>4-2</w:t>
            </w:r>
            <w:r>
              <w:rPr>
                <w:rFonts w:hint="eastAsia"/>
                <w:snapToGrid w:val="0"/>
                <w:kern w:val="0"/>
                <w:sz w:val="24"/>
                <w:lang w:val="en-US" w:eastAsia="zh-CN"/>
              </w:rPr>
              <w:t>4</w:t>
            </w:r>
            <w:r>
              <w:rPr>
                <w:snapToGrid w:val="0"/>
                <w:kern w:val="0"/>
                <w:sz w:val="24"/>
              </w:rPr>
              <w:t>。</w:t>
            </w:r>
          </w:p>
          <w:p>
            <w:pPr>
              <w:pStyle w:val="15"/>
              <w:keepNext/>
              <w:snapToGrid w:val="0"/>
              <w:jc w:val="center"/>
              <w:rPr>
                <w:rFonts w:ascii="Times New Roman" w:hAnsi="Times New Roman" w:eastAsia="宋体" w:cs="Times New Roman"/>
                <w:snapToGrid w:val="0"/>
                <w:kern w:val="0"/>
                <w:sz w:val="24"/>
              </w:rPr>
            </w:pPr>
            <w:r>
              <w:rPr>
                <w:rFonts w:ascii="Times New Roman" w:hAnsi="Times New Roman" w:eastAsia="宋体" w:cs="Times New Roman"/>
                <w:b/>
                <w:snapToGrid w:val="0"/>
                <w:kern w:val="0"/>
                <w:sz w:val="24"/>
              </w:rPr>
              <w:t>表</w:t>
            </w:r>
            <w:r>
              <w:rPr>
                <w:rFonts w:hint="eastAsia" w:ascii="Times New Roman" w:hAnsi="Times New Roman" w:eastAsia="宋体" w:cs="Times New Roman"/>
                <w:b/>
                <w:snapToGrid w:val="0"/>
                <w:kern w:val="0"/>
                <w:sz w:val="24"/>
              </w:rPr>
              <w:t>4-2</w:t>
            </w:r>
            <w:r>
              <w:rPr>
                <w:rFonts w:hint="eastAsia" w:ascii="Times New Roman" w:hAnsi="Times New Roman" w:eastAsia="宋体" w:cs="Times New Roman"/>
                <w:b/>
                <w:snapToGrid w:val="0"/>
                <w:kern w:val="0"/>
                <w:sz w:val="24"/>
                <w:lang w:val="en-US" w:eastAsia="zh-CN"/>
              </w:rPr>
              <w:t>4</w:t>
            </w:r>
            <w:r>
              <w:rPr>
                <w:rFonts w:hint="eastAsia" w:ascii="Times New Roman" w:hAnsi="Times New Roman" w:eastAsia="宋体" w:cs="Times New Roman"/>
                <w:b/>
                <w:snapToGrid w:val="0"/>
                <w:kern w:val="0"/>
                <w:sz w:val="24"/>
              </w:rPr>
              <w:t xml:space="preserve">   </w:t>
            </w:r>
            <w:r>
              <w:rPr>
                <w:rFonts w:ascii="Times New Roman" w:hAnsi="Times New Roman" w:eastAsia="宋体" w:cs="Times New Roman"/>
                <w:b/>
                <w:snapToGrid w:val="0"/>
                <w:kern w:val="0"/>
                <w:sz w:val="24"/>
              </w:rPr>
              <w:t>建设项目危险废物贮存场所（设施）基本情况</w:t>
            </w:r>
          </w:p>
          <w:tbl>
            <w:tblPr>
              <w:tblStyle w:val="36"/>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951"/>
              <w:gridCol w:w="1145"/>
              <w:gridCol w:w="708"/>
              <w:gridCol w:w="1252"/>
              <w:gridCol w:w="682"/>
              <w:gridCol w:w="630"/>
              <w:gridCol w:w="1809"/>
              <w:gridCol w:w="687"/>
              <w:gridCol w:w="6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2" w:hRule="atLeast"/>
              </w:trPr>
              <w:tc>
                <w:tcPr>
                  <w:tcW w:w="559" w:type="pct"/>
                  <w:vAlign w:val="center"/>
                </w:tcPr>
                <w:p>
                  <w:pPr>
                    <w:widowControl/>
                    <w:jc w:val="center"/>
                    <w:rPr>
                      <w:snapToGrid w:val="0"/>
                      <w:kern w:val="0"/>
                      <w:szCs w:val="21"/>
                    </w:rPr>
                  </w:pPr>
                  <w:r>
                    <w:rPr>
                      <w:b/>
                      <w:kern w:val="0"/>
                      <w:szCs w:val="21"/>
                    </w:rPr>
                    <w:t>贮存场所名称</w:t>
                  </w:r>
                </w:p>
              </w:tc>
              <w:tc>
                <w:tcPr>
                  <w:tcW w:w="673" w:type="pct"/>
                  <w:vAlign w:val="center"/>
                </w:tcPr>
                <w:p>
                  <w:pPr>
                    <w:widowControl/>
                    <w:jc w:val="center"/>
                    <w:rPr>
                      <w:snapToGrid w:val="0"/>
                      <w:kern w:val="0"/>
                      <w:szCs w:val="21"/>
                    </w:rPr>
                  </w:pPr>
                  <w:r>
                    <w:rPr>
                      <w:b/>
                      <w:kern w:val="0"/>
                      <w:szCs w:val="21"/>
                    </w:rPr>
                    <w:t>危险废物名称</w:t>
                  </w:r>
                </w:p>
              </w:tc>
              <w:tc>
                <w:tcPr>
                  <w:tcW w:w="416" w:type="pct"/>
                  <w:vAlign w:val="center"/>
                </w:tcPr>
                <w:p>
                  <w:pPr>
                    <w:widowControl/>
                    <w:jc w:val="center"/>
                    <w:rPr>
                      <w:snapToGrid w:val="0"/>
                      <w:kern w:val="0"/>
                      <w:szCs w:val="21"/>
                    </w:rPr>
                  </w:pPr>
                  <w:r>
                    <w:rPr>
                      <w:b/>
                      <w:kern w:val="0"/>
                      <w:szCs w:val="21"/>
                    </w:rPr>
                    <w:t>危险废物类别</w:t>
                  </w:r>
                </w:p>
              </w:tc>
              <w:tc>
                <w:tcPr>
                  <w:tcW w:w="736" w:type="pct"/>
                  <w:vAlign w:val="center"/>
                </w:tcPr>
                <w:p>
                  <w:pPr>
                    <w:widowControl/>
                    <w:jc w:val="center"/>
                    <w:rPr>
                      <w:snapToGrid w:val="0"/>
                      <w:kern w:val="0"/>
                      <w:szCs w:val="21"/>
                    </w:rPr>
                  </w:pPr>
                  <w:r>
                    <w:rPr>
                      <w:b/>
                      <w:kern w:val="0"/>
                      <w:szCs w:val="21"/>
                    </w:rPr>
                    <w:t>危险废物代码）</w:t>
                  </w:r>
                </w:p>
              </w:tc>
              <w:tc>
                <w:tcPr>
                  <w:tcW w:w="401" w:type="pct"/>
                  <w:vAlign w:val="center"/>
                </w:tcPr>
                <w:p>
                  <w:pPr>
                    <w:widowControl/>
                    <w:jc w:val="center"/>
                    <w:rPr>
                      <w:snapToGrid w:val="0"/>
                      <w:kern w:val="0"/>
                      <w:szCs w:val="21"/>
                    </w:rPr>
                  </w:pPr>
                  <w:r>
                    <w:rPr>
                      <w:b/>
                      <w:kern w:val="0"/>
                      <w:szCs w:val="21"/>
                    </w:rPr>
                    <w:t>位置</w:t>
                  </w:r>
                </w:p>
              </w:tc>
              <w:tc>
                <w:tcPr>
                  <w:tcW w:w="370" w:type="pct"/>
                  <w:vAlign w:val="center"/>
                </w:tcPr>
                <w:p>
                  <w:pPr>
                    <w:widowControl/>
                    <w:jc w:val="center"/>
                    <w:rPr>
                      <w:snapToGrid w:val="0"/>
                      <w:kern w:val="0"/>
                      <w:szCs w:val="21"/>
                    </w:rPr>
                  </w:pPr>
                  <w:r>
                    <w:rPr>
                      <w:b/>
                      <w:kern w:val="0"/>
                      <w:szCs w:val="21"/>
                    </w:rPr>
                    <w:t>占地面积</w:t>
                  </w:r>
                </w:p>
              </w:tc>
              <w:tc>
                <w:tcPr>
                  <w:tcW w:w="1063" w:type="pct"/>
                  <w:vAlign w:val="center"/>
                </w:tcPr>
                <w:p>
                  <w:pPr>
                    <w:widowControl/>
                    <w:jc w:val="center"/>
                    <w:rPr>
                      <w:snapToGrid w:val="0"/>
                      <w:kern w:val="0"/>
                      <w:szCs w:val="21"/>
                    </w:rPr>
                  </w:pPr>
                  <w:r>
                    <w:rPr>
                      <w:b/>
                      <w:kern w:val="0"/>
                      <w:szCs w:val="21"/>
                    </w:rPr>
                    <w:t>贮存方式</w:t>
                  </w:r>
                </w:p>
              </w:tc>
              <w:tc>
                <w:tcPr>
                  <w:tcW w:w="404" w:type="pct"/>
                  <w:vAlign w:val="center"/>
                </w:tcPr>
                <w:p>
                  <w:pPr>
                    <w:widowControl/>
                    <w:jc w:val="center"/>
                    <w:rPr>
                      <w:snapToGrid w:val="0"/>
                      <w:kern w:val="0"/>
                      <w:szCs w:val="21"/>
                    </w:rPr>
                  </w:pPr>
                  <w:r>
                    <w:rPr>
                      <w:b/>
                      <w:kern w:val="0"/>
                      <w:szCs w:val="21"/>
                    </w:rPr>
                    <w:t>贮存能力</w:t>
                  </w:r>
                </w:p>
              </w:tc>
              <w:tc>
                <w:tcPr>
                  <w:tcW w:w="372" w:type="pct"/>
                  <w:vAlign w:val="center"/>
                </w:tcPr>
                <w:p>
                  <w:pPr>
                    <w:widowControl/>
                    <w:jc w:val="center"/>
                    <w:rPr>
                      <w:snapToGrid w:val="0"/>
                      <w:kern w:val="0"/>
                      <w:szCs w:val="21"/>
                    </w:rPr>
                  </w:pPr>
                  <w:r>
                    <w:rPr>
                      <w:b/>
                      <w:kern w:val="0"/>
                      <w:szCs w:val="21"/>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37" w:hRule="atLeast"/>
              </w:trPr>
              <w:tc>
                <w:tcPr>
                  <w:tcW w:w="559" w:type="pct"/>
                  <w:vAlign w:val="center"/>
                </w:tcPr>
                <w:p>
                  <w:pPr>
                    <w:snapToGrid w:val="0"/>
                    <w:jc w:val="center"/>
                    <w:rPr>
                      <w:snapToGrid w:val="0"/>
                      <w:color w:val="auto"/>
                      <w:kern w:val="0"/>
                      <w:szCs w:val="21"/>
                    </w:rPr>
                  </w:pPr>
                  <w:r>
                    <w:rPr>
                      <w:color w:val="auto"/>
                      <w:kern w:val="0"/>
                      <w:szCs w:val="21"/>
                    </w:rPr>
                    <w:t>危险废物暂存场</w:t>
                  </w:r>
                </w:p>
              </w:tc>
              <w:tc>
                <w:tcPr>
                  <w:tcW w:w="673" w:type="pct"/>
                  <w:vAlign w:val="center"/>
                </w:tcPr>
                <w:p>
                  <w:pPr>
                    <w:jc w:val="center"/>
                    <w:rPr>
                      <w:rFonts w:hint="eastAsia" w:eastAsia="宋体"/>
                      <w:color w:val="auto"/>
                      <w:szCs w:val="21"/>
                      <w:lang w:eastAsia="zh-CN"/>
                    </w:rPr>
                  </w:pPr>
                  <w:r>
                    <w:rPr>
                      <w:rFonts w:hint="eastAsia"/>
                      <w:color w:val="auto"/>
                      <w:szCs w:val="21"/>
                      <w:lang w:eastAsia="zh-CN"/>
                    </w:rPr>
                    <w:t>废活性炭</w:t>
                  </w:r>
                </w:p>
              </w:tc>
              <w:tc>
                <w:tcPr>
                  <w:tcW w:w="416" w:type="pct"/>
                  <w:vAlign w:val="center"/>
                </w:tcPr>
                <w:p>
                  <w:pPr>
                    <w:spacing w:line="240" w:lineRule="exact"/>
                    <w:jc w:val="center"/>
                    <w:rPr>
                      <w:rFonts w:hint="default" w:eastAsia="宋体"/>
                      <w:bCs/>
                      <w:color w:val="auto"/>
                      <w:szCs w:val="21"/>
                      <w:lang w:val="en-US" w:eastAsia="zh-CN"/>
                    </w:rPr>
                  </w:pPr>
                  <w:r>
                    <w:rPr>
                      <w:color w:val="auto"/>
                      <w:szCs w:val="21"/>
                    </w:rPr>
                    <w:t>HW</w:t>
                  </w:r>
                  <w:r>
                    <w:rPr>
                      <w:rFonts w:hint="eastAsia"/>
                      <w:color w:val="auto"/>
                      <w:szCs w:val="21"/>
                      <w:lang w:val="en-US" w:eastAsia="zh-CN"/>
                    </w:rPr>
                    <w:t>49</w:t>
                  </w:r>
                </w:p>
              </w:tc>
              <w:tc>
                <w:tcPr>
                  <w:tcW w:w="736" w:type="pct"/>
                  <w:vAlign w:val="center"/>
                </w:tcPr>
                <w:p>
                  <w:pPr>
                    <w:widowControl/>
                    <w:adjustRightInd w:val="0"/>
                    <w:snapToGrid w:val="0"/>
                    <w:jc w:val="center"/>
                    <w:textAlignment w:val="center"/>
                    <w:rPr>
                      <w:rFonts w:hint="default" w:eastAsia="宋体"/>
                      <w:bCs/>
                      <w:color w:val="auto"/>
                      <w:szCs w:val="21"/>
                      <w:lang w:val="en-US" w:eastAsia="zh-CN"/>
                    </w:rPr>
                  </w:pPr>
                  <w:r>
                    <w:rPr>
                      <w:color w:val="auto"/>
                      <w:kern w:val="0"/>
                      <w:szCs w:val="21"/>
                      <w:lang w:bidi="ar"/>
                    </w:rPr>
                    <w:t>900-</w:t>
                  </w:r>
                  <w:r>
                    <w:rPr>
                      <w:rFonts w:hint="eastAsia"/>
                      <w:color w:val="auto"/>
                      <w:kern w:val="0"/>
                      <w:szCs w:val="21"/>
                      <w:lang w:val="en-US" w:eastAsia="zh-CN" w:bidi="ar"/>
                    </w:rPr>
                    <w:t>039</w:t>
                  </w:r>
                  <w:r>
                    <w:rPr>
                      <w:color w:val="auto"/>
                      <w:kern w:val="0"/>
                      <w:szCs w:val="21"/>
                      <w:lang w:bidi="ar"/>
                    </w:rPr>
                    <w:t>-</w:t>
                  </w:r>
                  <w:r>
                    <w:rPr>
                      <w:rFonts w:hint="eastAsia"/>
                      <w:color w:val="auto"/>
                      <w:kern w:val="0"/>
                      <w:szCs w:val="21"/>
                      <w:lang w:val="en-US" w:eastAsia="zh-CN" w:bidi="ar"/>
                    </w:rPr>
                    <w:t>49</w:t>
                  </w:r>
                </w:p>
              </w:tc>
              <w:tc>
                <w:tcPr>
                  <w:tcW w:w="401" w:type="pct"/>
                  <w:vAlign w:val="center"/>
                </w:tcPr>
                <w:p>
                  <w:pPr>
                    <w:snapToGrid w:val="0"/>
                    <w:jc w:val="center"/>
                    <w:rPr>
                      <w:snapToGrid w:val="0"/>
                      <w:color w:val="auto"/>
                      <w:kern w:val="0"/>
                      <w:szCs w:val="21"/>
                    </w:rPr>
                  </w:pPr>
                  <w:r>
                    <w:rPr>
                      <w:rFonts w:hint="eastAsia"/>
                      <w:snapToGrid w:val="0"/>
                      <w:color w:val="auto"/>
                      <w:kern w:val="0"/>
                      <w:szCs w:val="21"/>
                    </w:rPr>
                    <w:t>车间西</w:t>
                  </w:r>
                  <w:r>
                    <w:rPr>
                      <w:snapToGrid w:val="0"/>
                      <w:color w:val="auto"/>
                      <w:kern w:val="0"/>
                      <w:szCs w:val="21"/>
                    </w:rPr>
                    <w:t>侧</w:t>
                  </w:r>
                </w:p>
              </w:tc>
              <w:tc>
                <w:tcPr>
                  <w:tcW w:w="370" w:type="pct"/>
                  <w:vAlign w:val="center"/>
                </w:tcPr>
                <w:p>
                  <w:pPr>
                    <w:snapToGrid w:val="0"/>
                    <w:jc w:val="center"/>
                    <w:rPr>
                      <w:snapToGrid w:val="0"/>
                      <w:color w:val="auto"/>
                      <w:kern w:val="0"/>
                      <w:szCs w:val="21"/>
                    </w:rPr>
                  </w:pPr>
                  <w:r>
                    <w:rPr>
                      <w:rFonts w:hint="eastAsia"/>
                      <w:snapToGrid w:val="0"/>
                      <w:color w:val="auto"/>
                      <w:kern w:val="0"/>
                      <w:szCs w:val="21"/>
                    </w:rPr>
                    <w:t>10</w:t>
                  </w:r>
                  <w:r>
                    <w:rPr>
                      <w:snapToGrid w:val="0"/>
                      <w:color w:val="auto"/>
                      <w:kern w:val="0"/>
                      <w:szCs w:val="21"/>
                    </w:rPr>
                    <w:t>m</w:t>
                  </w:r>
                  <w:r>
                    <w:rPr>
                      <w:snapToGrid w:val="0"/>
                      <w:color w:val="auto"/>
                      <w:kern w:val="0"/>
                      <w:szCs w:val="21"/>
                      <w:vertAlign w:val="superscript"/>
                    </w:rPr>
                    <w:t>2</w:t>
                  </w:r>
                </w:p>
              </w:tc>
              <w:tc>
                <w:tcPr>
                  <w:tcW w:w="1063" w:type="pct"/>
                  <w:vAlign w:val="center"/>
                </w:tcPr>
                <w:p>
                  <w:pPr>
                    <w:snapToGrid w:val="0"/>
                    <w:jc w:val="center"/>
                    <w:rPr>
                      <w:snapToGrid w:val="0"/>
                      <w:color w:val="auto"/>
                      <w:kern w:val="0"/>
                      <w:szCs w:val="21"/>
                    </w:rPr>
                  </w:pPr>
                  <w:r>
                    <w:rPr>
                      <w:snapToGrid w:val="0"/>
                      <w:color w:val="auto"/>
                      <w:kern w:val="0"/>
                      <w:szCs w:val="21"/>
                    </w:rPr>
                    <w:t>分类、分区、桶装暂存于危险固废暂存间，委托有资质单位处置</w:t>
                  </w:r>
                </w:p>
              </w:tc>
              <w:tc>
                <w:tcPr>
                  <w:tcW w:w="404" w:type="pct"/>
                  <w:vAlign w:val="center"/>
                </w:tcPr>
                <w:p>
                  <w:pPr>
                    <w:snapToGrid w:val="0"/>
                    <w:jc w:val="center"/>
                    <w:rPr>
                      <w:snapToGrid w:val="0"/>
                      <w:color w:val="auto"/>
                      <w:kern w:val="0"/>
                      <w:szCs w:val="21"/>
                    </w:rPr>
                  </w:pPr>
                  <w:r>
                    <w:rPr>
                      <w:snapToGrid w:val="0"/>
                      <w:color w:val="auto"/>
                      <w:kern w:val="0"/>
                      <w:szCs w:val="21"/>
                    </w:rPr>
                    <w:t>满足</w:t>
                  </w:r>
                </w:p>
              </w:tc>
              <w:tc>
                <w:tcPr>
                  <w:tcW w:w="372" w:type="pct"/>
                  <w:vAlign w:val="center"/>
                </w:tcPr>
                <w:p>
                  <w:pPr>
                    <w:snapToGrid w:val="0"/>
                    <w:jc w:val="center"/>
                    <w:rPr>
                      <w:snapToGrid w:val="0"/>
                      <w:color w:val="auto"/>
                      <w:kern w:val="0"/>
                      <w:szCs w:val="21"/>
                    </w:rPr>
                  </w:pPr>
                  <w:r>
                    <w:rPr>
                      <w:rFonts w:hint="eastAsia"/>
                      <w:snapToGrid w:val="0"/>
                      <w:color w:val="auto"/>
                      <w:kern w:val="0"/>
                      <w:szCs w:val="21"/>
                    </w:rPr>
                    <w:t>1年</w:t>
                  </w:r>
                </w:p>
              </w:tc>
            </w:tr>
          </w:tbl>
          <w:p>
            <w:pPr>
              <w:snapToGrid w:val="0"/>
              <w:spacing w:line="360" w:lineRule="auto"/>
              <w:ind w:firstLine="480" w:firstLineChars="200"/>
              <w:rPr>
                <w:snapToGrid w:val="0"/>
                <w:kern w:val="0"/>
                <w:sz w:val="24"/>
              </w:rPr>
            </w:pPr>
            <w:r>
              <w:rPr>
                <w:rFonts w:hAnsi="宋体"/>
                <w:snapToGrid w:val="0"/>
                <w:kern w:val="0"/>
                <w:sz w:val="24"/>
              </w:rPr>
              <w:t>（</w:t>
            </w:r>
            <w:r>
              <w:rPr>
                <w:snapToGrid w:val="0"/>
                <w:kern w:val="0"/>
                <w:sz w:val="24"/>
              </w:rPr>
              <w:t>3</w:t>
            </w:r>
            <w:r>
              <w:rPr>
                <w:rFonts w:hAnsi="宋体"/>
                <w:snapToGrid w:val="0"/>
                <w:kern w:val="0"/>
                <w:sz w:val="24"/>
              </w:rPr>
              <w:t>）</w:t>
            </w:r>
            <w:r>
              <w:rPr>
                <w:snapToGrid w:val="0"/>
                <w:kern w:val="0"/>
                <w:sz w:val="24"/>
              </w:rPr>
              <w:t>转移运输影响分析</w:t>
            </w:r>
          </w:p>
          <w:p>
            <w:pPr>
              <w:snapToGrid w:val="0"/>
              <w:spacing w:line="360" w:lineRule="auto"/>
              <w:ind w:firstLine="480" w:firstLineChars="200"/>
              <w:rPr>
                <w:snapToGrid w:val="0"/>
                <w:kern w:val="0"/>
                <w:sz w:val="24"/>
              </w:rPr>
            </w:pPr>
            <w:r>
              <w:rPr>
                <w:snapToGrid w:val="0"/>
                <w:kern w:val="0"/>
                <w:sz w:val="24"/>
              </w:rPr>
              <w:t>项目一般固体废物在厂内堆放和转移运输过程应防止抛洒逸散，建立台账记录并按时申报其产生贮存情况。危险废物由专用车辆转移至处置公司，转移过程按照要求办理转移审批手续，严格执行五联单制度，确保危险废物从产生、转移到处置的全过程监控，防止抛洒逸散</w:t>
            </w:r>
            <w:r>
              <w:rPr>
                <w:rFonts w:hint="eastAsia"/>
                <w:snapToGrid w:val="0"/>
                <w:kern w:val="0"/>
                <w:sz w:val="24"/>
                <w:lang w:eastAsia="zh-CN"/>
              </w:rPr>
              <w:t>，符合国家及江苏省对危险废物的运输要求</w:t>
            </w:r>
            <w:r>
              <w:rPr>
                <w:snapToGrid w:val="0"/>
                <w:kern w:val="0"/>
                <w:sz w:val="24"/>
              </w:rPr>
              <w:t>。正常情况下，转移过程不会对沿线环境造成不良影响。</w:t>
            </w:r>
          </w:p>
          <w:p>
            <w:pPr>
              <w:snapToGrid w:val="0"/>
              <w:spacing w:line="360" w:lineRule="auto"/>
              <w:ind w:firstLine="480" w:firstLineChars="200"/>
              <w:rPr>
                <w:rFonts w:hAnsi="宋体"/>
                <w:snapToGrid w:val="0"/>
                <w:kern w:val="0"/>
                <w:sz w:val="24"/>
              </w:rPr>
            </w:pPr>
            <w:r>
              <w:rPr>
                <w:rFonts w:hint="eastAsia" w:hAnsi="宋体"/>
                <w:snapToGrid w:val="0"/>
                <w:kern w:val="0"/>
                <w:sz w:val="24"/>
              </w:rPr>
              <w:t>（4）与苏环办〔</w:t>
            </w:r>
            <w:r>
              <w:rPr>
                <w:rFonts w:hAnsi="宋体"/>
                <w:snapToGrid w:val="0"/>
                <w:kern w:val="0"/>
                <w:sz w:val="24"/>
              </w:rPr>
              <w:t>2019</w:t>
            </w:r>
            <w:r>
              <w:rPr>
                <w:rFonts w:hint="eastAsia" w:hAnsi="宋体"/>
                <w:snapToGrid w:val="0"/>
                <w:kern w:val="0"/>
                <w:sz w:val="24"/>
              </w:rPr>
              <w:t>〕</w:t>
            </w:r>
            <w:r>
              <w:rPr>
                <w:rFonts w:hAnsi="宋体"/>
                <w:snapToGrid w:val="0"/>
                <w:kern w:val="0"/>
                <w:sz w:val="24"/>
              </w:rPr>
              <w:t>327</w:t>
            </w:r>
            <w:r>
              <w:rPr>
                <w:rFonts w:hint="eastAsia" w:hAnsi="宋体"/>
                <w:snapToGrid w:val="0"/>
                <w:kern w:val="0"/>
                <w:sz w:val="24"/>
              </w:rPr>
              <w:t>号文相符性分析</w:t>
            </w:r>
          </w:p>
          <w:p>
            <w:pPr>
              <w:snapToGrid w:val="0"/>
              <w:spacing w:line="360" w:lineRule="auto"/>
              <w:ind w:firstLine="480" w:firstLineChars="200"/>
              <w:rPr>
                <w:snapToGrid w:val="0"/>
                <w:kern w:val="0"/>
                <w:sz w:val="24"/>
              </w:rPr>
            </w:pPr>
            <w:r>
              <w:rPr>
                <w:rFonts w:hint="eastAsia"/>
                <w:snapToGrid w:val="0"/>
                <w:kern w:val="0"/>
                <w:sz w:val="24"/>
              </w:rPr>
              <w:t>厂区设置危废间，企业应按照要求及时办理危废管理计划，在厂区内设置危废信息公开标牌；危废间区域设置标牌、配备通讯设备（电话，对讲机等）、照明设施（应急照明）、消防设施（灭火器、黄沙、铁锹等）；危废间内的废机油、废机油桶均用密闭桶储存，包装空桶存放于防腐防渗的托盘上。危废间是根据防火、防雨、放雷设置，危废间地面进行环氧树脂防腐处理，设置围堰，切实做到防扬散、防流失、防渗漏（三防措施），危废间设置导流沟，可将危废滴漏出来的的泄漏液体收集并回收；企业需在危废间区域出入口、危废间内部、危废车辆运输通道等关键位置按要求建设视频监控设备，并与中控室联网。</w:t>
            </w:r>
          </w:p>
          <w:p>
            <w:pPr>
              <w:pStyle w:val="15"/>
              <w:keepNext/>
              <w:snapToGrid w:val="0"/>
              <w:jc w:val="center"/>
              <w:rPr>
                <w:rFonts w:hint="eastAsia" w:ascii="Times New Roman" w:hAnsi="Times New Roman" w:eastAsia="宋体" w:cs="Times New Roman"/>
                <w:b/>
                <w:snapToGrid w:val="0"/>
                <w:kern w:val="0"/>
                <w:sz w:val="24"/>
              </w:rPr>
            </w:pPr>
          </w:p>
          <w:p>
            <w:pPr>
              <w:pStyle w:val="15"/>
              <w:keepNext/>
              <w:snapToGrid w:val="0"/>
              <w:jc w:val="center"/>
              <w:rPr>
                <w:rFonts w:hint="eastAsia" w:ascii="Times New Roman" w:hAnsi="Times New Roman" w:eastAsia="宋体" w:cs="Times New Roman"/>
                <w:b/>
                <w:snapToGrid w:val="0"/>
                <w:kern w:val="0"/>
                <w:sz w:val="24"/>
              </w:rPr>
            </w:pPr>
          </w:p>
          <w:p>
            <w:pPr>
              <w:pStyle w:val="15"/>
              <w:keepNext/>
              <w:snapToGrid w:val="0"/>
              <w:jc w:val="center"/>
              <w:rPr>
                <w:rFonts w:hint="eastAsia" w:ascii="Times New Roman" w:hAnsi="Times New Roman" w:eastAsia="宋体" w:cs="Times New Roman"/>
                <w:b/>
                <w:snapToGrid w:val="0"/>
                <w:kern w:val="0"/>
                <w:sz w:val="24"/>
              </w:rPr>
            </w:pPr>
          </w:p>
          <w:p>
            <w:pPr>
              <w:pStyle w:val="15"/>
              <w:keepNext/>
              <w:snapToGrid w:val="0"/>
              <w:jc w:val="center"/>
              <w:rPr>
                <w:rFonts w:hint="eastAsia" w:ascii="Times New Roman" w:hAnsi="Times New Roman" w:eastAsia="宋体" w:cs="Times New Roman"/>
                <w:b/>
                <w:snapToGrid w:val="0"/>
                <w:kern w:val="0"/>
                <w:sz w:val="24"/>
              </w:rPr>
            </w:pPr>
          </w:p>
          <w:p>
            <w:pPr>
              <w:pStyle w:val="15"/>
              <w:keepNext/>
              <w:snapToGrid w:val="0"/>
              <w:jc w:val="center"/>
              <w:rPr>
                <w:rFonts w:ascii="Times New Roman" w:hAnsi="Times New Roman" w:eastAsia="宋体" w:cs="Times New Roman"/>
                <w:b/>
                <w:snapToGrid w:val="0"/>
                <w:kern w:val="0"/>
                <w:sz w:val="24"/>
              </w:rPr>
            </w:pPr>
            <w:r>
              <w:rPr>
                <w:rFonts w:hint="eastAsia" w:ascii="Times New Roman" w:hAnsi="Times New Roman" w:eastAsia="宋体" w:cs="Times New Roman"/>
                <w:b/>
                <w:snapToGrid w:val="0"/>
                <w:kern w:val="0"/>
                <w:sz w:val="24"/>
              </w:rPr>
              <w:t>表</w:t>
            </w:r>
            <w:r>
              <w:rPr>
                <w:rFonts w:ascii="Times New Roman" w:hAnsi="Times New Roman" w:eastAsia="宋体" w:cs="Times New Roman"/>
                <w:b/>
                <w:snapToGrid w:val="0"/>
                <w:kern w:val="0"/>
                <w:sz w:val="24"/>
              </w:rPr>
              <w:t xml:space="preserve"> </w:t>
            </w:r>
            <w:r>
              <w:rPr>
                <w:rFonts w:hint="eastAsia" w:ascii="Times New Roman" w:hAnsi="Times New Roman" w:eastAsia="宋体" w:cs="Times New Roman"/>
                <w:b/>
                <w:snapToGrid w:val="0"/>
                <w:kern w:val="0"/>
                <w:sz w:val="24"/>
              </w:rPr>
              <w:t>4</w:t>
            </w:r>
            <w:r>
              <w:rPr>
                <w:rFonts w:ascii="Times New Roman" w:hAnsi="Times New Roman" w:eastAsia="宋体" w:cs="Times New Roman"/>
                <w:b/>
                <w:snapToGrid w:val="0"/>
                <w:kern w:val="0"/>
                <w:sz w:val="24"/>
              </w:rPr>
              <w:t>-</w:t>
            </w:r>
            <w:r>
              <w:rPr>
                <w:rFonts w:hint="eastAsia" w:ascii="Times New Roman" w:hAnsi="Times New Roman" w:eastAsia="宋体" w:cs="Times New Roman"/>
                <w:b/>
                <w:snapToGrid w:val="0"/>
                <w:kern w:val="0"/>
                <w:sz w:val="24"/>
              </w:rPr>
              <w:t>2</w:t>
            </w:r>
            <w:r>
              <w:rPr>
                <w:rFonts w:hint="eastAsia" w:ascii="Times New Roman" w:hAnsi="Times New Roman" w:eastAsia="宋体" w:cs="Times New Roman"/>
                <w:b/>
                <w:snapToGrid w:val="0"/>
                <w:kern w:val="0"/>
                <w:sz w:val="24"/>
                <w:lang w:val="en-US" w:eastAsia="zh-CN"/>
              </w:rPr>
              <w:t>5</w:t>
            </w:r>
            <w:r>
              <w:rPr>
                <w:rFonts w:hint="eastAsia" w:ascii="Times New Roman" w:hAnsi="Times New Roman" w:eastAsia="宋体" w:cs="Times New Roman"/>
                <w:b/>
                <w:snapToGrid w:val="0"/>
                <w:kern w:val="0"/>
                <w:sz w:val="24"/>
              </w:rPr>
              <w:t xml:space="preserve">   危废仓库与苏环办〔</w:t>
            </w:r>
            <w:r>
              <w:rPr>
                <w:rFonts w:ascii="Times New Roman" w:hAnsi="Times New Roman" w:eastAsia="宋体" w:cs="Times New Roman"/>
                <w:b/>
                <w:snapToGrid w:val="0"/>
                <w:kern w:val="0"/>
                <w:sz w:val="24"/>
              </w:rPr>
              <w:t>2019</w:t>
            </w:r>
            <w:r>
              <w:rPr>
                <w:rFonts w:hint="eastAsia" w:ascii="Times New Roman" w:hAnsi="Times New Roman" w:eastAsia="宋体" w:cs="Times New Roman"/>
                <w:b/>
                <w:snapToGrid w:val="0"/>
                <w:kern w:val="0"/>
                <w:sz w:val="24"/>
              </w:rPr>
              <w:t>〕</w:t>
            </w:r>
            <w:r>
              <w:rPr>
                <w:rFonts w:ascii="Times New Roman" w:hAnsi="Times New Roman" w:eastAsia="宋体" w:cs="Times New Roman"/>
                <w:b/>
                <w:snapToGrid w:val="0"/>
                <w:kern w:val="0"/>
                <w:sz w:val="24"/>
              </w:rPr>
              <w:t>327</w:t>
            </w:r>
            <w:r>
              <w:rPr>
                <w:rFonts w:hint="eastAsia" w:ascii="Times New Roman" w:hAnsi="Times New Roman" w:eastAsia="宋体" w:cs="Times New Roman"/>
                <w:b/>
                <w:snapToGrid w:val="0"/>
                <w:kern w:val="0"/>
                <w:sz w:val="24"/>
              </w:rPr>
              <w:t>号文相符性分析表</w:t>
            </w:r>
          </w:p>
          <w:tbl>
            <w:tblPr>
              <w:tblStyle w:val="3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3233"/>
              <w:gridCol w:w="3791"/>
              <w:gridCol w:w="7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napToGrid w:val="0"/>
                    <w:jc w:val="center"/>
                    <w:rPr>
                      <w:b/>
                      <w:snapToGrid w:val="0"/>
                      <w:kern w:val="0"/>
                      <w:szCs w:val="21"/>
                    </w:rPr>
                  </w:pPr>
                  <w:r>
                    <w:rPr>
                      <w:rFonts w:hint="eastAsia"/>
                      <w:b/>
                      <w:snapToGrid w:val="0"/>
                      <w:kern w:val="0"/>
                      <w:szCs w:val="21"/>
                    </w:rPr>
                    <w:t>序号</w:t>
                  </w:r>
                </w:p>
              </w:tc>
              <w:tc>
                <w:tcPr>
                  <w:tcW w:w="3402" w:type="dxa"/>
                  <w:vAlign w:val="center"/>
                </w:tcPr>
                <w:p>
                  <w:pPr>
                    <w:snapToGrid w:val="0"/>
                    <w:jc w:val="center"/>
                    <w:rPr>
                      <w:b/>
                      <w:snapToGrid w:val="0"/>
                      <w:kern w:val="0"/>
                      <w:szCs w:val="21"/>
                    </w:rPr>
                  </w:pPr>
                  <w:r>
                    <w:rPr>
                      <w:rFonts w:hint="eastAsia"/>
                      <w:b/>
                      <w:snapToGrid w:val="0"/>
                      <w:kern w:val="0"/>
                      <w:szCs w:val="21"/>
                    </w:rPr>
                    <w:t>文件规定要求</w:t>
                  </w:r>
                </w:p>
              </w:tc>
              <w:tc>
                <w:tcPr>
                  <w:tcW w:w="4110" w:type="dxa"/>
                  <w:vAlign w:val="center"/>
                </w:tcPr>
                <w:p>
                  <w:pPr>
                    <w:snapToGrid w:val="0"/>
                    <w:jc w:val="center"/>
                    <w:rPr>
                      <w:b/>
                      <w:snapToGrid w:val="0"/>
                      <w:kern w:val="0"/>
                      <w:szCs w:val="21"/>
                    </w:rPr>
                  </w:pPr>
                  <w:r>
                    <w:rPr>
                      <w:rFonts w:hint="eastAsia"/>
                      <w:b/>
                      <w:snapToGrid w:val="0"/>
                      <w:kern w:val="0"/>
                      <w:szCs w:val="21"/>
                    </w:rPr>
                    <w:t>拟实施情况</w:t>
                  </w:r>
                </w:p>
              </w:tc>
              <w:tc>
                <w:tcPr>
                  <w:tcW w:w="836" w:type="dxa"/>
                  <w:vAlign w:val="center"/>
                </w:tcPr>
                <w:p>
                  <w:pPr>
                    <w:snapToGrid w:val="0"/>
                    <w:jc w:val="center"/>
                    <w:rPr>
                      <w:b/>
                      <w:snapToGrid w:val="0"/>
                      <w:kern w:val="0"/>
                      <w:szCs w:val="21"/>
                    </w:rPr>
                  </w:pPr>
                  <w:r>
                    <w:rPr>
                      <w:rFonts w:hint="eastAsia"/>
                      <w:b/>
                      <w:snapToGrid w:val="0"/>
                      <w:kern w:val="0"/>
                      <w:szCs w:val="21"/>
                    </w:rPr>
                    <w:t>备注</w:t>
                  </w:r>
                  <w:r>
                    <w:rPr>
                      <w:b/>
                      <w:snapToGrid w:val="0"/>
                      <w:kern w:val="0"/>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napToGrid w:val="0"/>
                    <w:jc w:val="center"/>
                    <w:rPr>
                      <w:snapToGrid w:val="0"/>
                      <w:kern w:val="0"/>
                      <w:szCs w:val="21"/>
                    </w:rPr>
                  </w:pPr>
                  <w:r>
                    <w:rPr>
                      <w:snapToGrid w:val="0"/>
                      <w:kern w:val="0"/>
                      <w:szCs w:val="21"/>
                    </w:rPr>
                    <w:t>1</w:t>
                  </w:r>
                </w:p>
              </w:tc>
              <w:tc>
                <w:tcPr>
                  <w:tcW w:w="3402" w:type="dxa"/>
                  <w:vAlign w:val="center"/>
                </w:tcPr>
                <w:p>
                  <w:pPr>
                    <w:snapToGrid w:val="0"/>
                    <w:jc w:val="center"/>
                    <w:rPr>
                      <w:rFonts w:hint="eastAsia" w:ascii="Times New Roman" w:hAnsi="Times New Roman" w:cs="Times New Roman"/>
                      <w:snapToGrid w:val="0"/>
                      <w:kern w:val="0"/>
                      <w:szCs w:val="21"/>
                    </w:rPr>
                  </w:pPr>
                  <w:r>
                    <w:rPr>
                      <w:rFonts w:hint="eastAsia" w:ascii="Times New Roman" w:hAnsi="Times New Roman" w:cs="Times New Roman"/>
                      <w:snapToGrid w:val="0"/>
                      <w:kern w:val="0"/>
                      <w:szCs w:val="21"/>
                    </w:rPr>
                    <w:t>对建设项目危险废物种类、数量、属性、贮存设施、利用或处置方式进行科学分析</w:t>
                  </w:r>
                </w:p>
              </w:tc>
              <w:tc>
                <w:tcPr>
                  <w:tcW w:w="4110" w:type="dxa"/>
                  <w:vAlign w:val="center"/>
                </w:tcPr>
                <w:p>
                  <w:pPr>
                    <w:snapToGrid w:val="0"/>
                    <w:jc w:val="center"/>
                    <w:rPr>
                      <w:rFonts w:hint="eastAsia" w:ascii="Times New Roman" w:hAnsi="Times New Roman" w:cs="Times New Roman"/>
                      <w:snapToGrid w:val="0"/>
                      <w:kern w:val="0"/>
                      <w:szCs w:val="21"/>
                    </w:rPr>
                  </w:pPr>
                  <w:r>
                    <w:rPr>
                      <w:rFonts w:hint="eastAsia" w:ascii="Times New Roman" w:hAnsi="Times New Roman" w:cs="Times New Roman"/>
                      <w:snapToGrid w:val="0"/>
                      <w:kern w:val="0"/>
                      <w:szCs w:val="21"/>
                    </w:rPr>
                    <w:t>本项目产生的</w:t>
                  </w:r>
                  <w:r>
                    <w:rPr>
                      <w:rFonts w:hint="eastAsia" w:ascii="Times New Roman" w:hAnsi="Times New Roman" w:cs="Times New Roman"/>
                      <w:snapToGrid w:val="0"/>
                      <w:kern w:val="0"/>
                      <w:szCs w:val="21"/>
                      <w:lang w:eastAsia="zh-CN"/>
                    </w:rPr>
                    <w:t>废活性炭</w:t>
                  </w:r>
                  <w:r>
                    <w:rPr>
                      <w:rFonts w:hint="eastAsia" w:ascii="Times New Roman" w:hAnsi="Times New Roman" w:cs="Times New Roman"/>
                      <w:snapToGrid w:val="0"/>
                      <w:kern w:val="0"/>
                      <w:szCs w:val="21"/>
                      <w:lang w:val="en-US" w:eastAsia="zh-CN"/>
                    </w:rPr>
                    <w:t>2.7</w:t>
                  </w:r>
                  <w:r>
                    <w:rPr>
                      <w:rFonts w:hint="eastAsia" w:ascii="Times New Roman" w:hAnsi="Times New Roman" w:cs="Times New Roman"/>
                      <w:snapToGrid w:val="0"/>
                      <w:kern w:val="0"/>
                      <w:szCs w:val="21"/>
                    </w:rPr>
                    <w:t>t/a使用密封</w:t>
                  </w:r>
                  <w:r>
                    <w:rPr>
                      <w:rFonts w:hint="eastAsia" w:ascii="Times New Roman" w:hAnsi="Times New Roman" w:cs="Times New Roman"/>
                      <w:snapToGrid w:val="0"/>
                      <w:kern w:val="0"/>
                      <w:szCs w:val="21"/>
                      <w:lang w:eastAsia="zh-CN"/>
                    </w:rPr>
                    <w:t>容器</w:t>
                  </w:r>
                  <w:r>
                    <w:rPr>
                      <w:rFonts w:hint="eastAsia" w:ascii="Times New Roman" w:hAnsi="Times New Roman" w:cs="Times New Roman"/>
                      <w:snapToGrid w:val="0"/>
                      <w:kern w:val="0"/>
                      <w:szCs w:val="21"/>
                    </w:rPr>
                    <w:t>密封暂存于危废间，委托有资质的单位定期处理。</w:t>
                  </w:r>
                </w:p>
              </w:tc>
              <w:tc>
                <w:tcPr>
                  <w:tcW w:w="836" w:type="dxa"/>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napToGrid w:val="0"/>
                    <w:jc w:val="center"/>
                    <w:rPr>
                      <w:snapToGrid w:val="0"/>
                      <w:kern w:val="0"/>
                      <w:szCs w:val="21"/>
                    </w:rPr>
                  </w:pPr>
                  <w:r>
                    <w:rPr>
                      <w:snapToGrid w:val="0"/>
                      <w:kern w:val="0"/>
                      <w:szCs w:val="21"/>
                    </w:rPr>
                    <w:t>2</w:t>
                  </w:r>
                </w:p>
              </w:tc>
              <w:tc>
                <w:tcPr>
                  <w:tcW w:w="3402" w:type="dxa"/>
                  <w:vAlign w:val="center"/>
                </w:tcPr>
                <w:p>
                  <w:pPr>
                    <w:snapToGrid w:val="0"/>
                    <w:jc w:val="center"/>
                    <w:rPr>
                      <w:snapToGrid w:val="0"/>
                      <w:kern w:val="0"/>
                      <w:szCs w:val="21"/>
                    </w:rPr>
                  </w:pPr>
                  <w:r>
                    <w:rPr>
                      <w:rFonts w:hint="eastAsia"/>
                      <w:snapToGrid w:val="0"/>
                      <w:kern w:val="0"/>
                      <w:szCs w:val="21"/>
                    </w:rPr>
                    <w:t>对建设项目危险废物环境影响以及环境风险评价，并提出切实可行的污染防治对策措施</w:t>
                  </w:r>
                </w:p>
              </w:tc>
              <w:tc>
                <w:tcPr>
                  <w:tcW w:w="4110" w:type="dxa"/>
                  <w:vAlign w:val="center"/>
                </w:tcPr>
                <w:p>
                  <w:pPr>
                    <w:snapToGrid w:val="0"/>
                    <w:jc w:val="center"/>
                    <w:rPr>
                      <w:snapToGrid w:val="0"/>
                      <w:kern w:val="0"/>
                      <w:szCs w:val="21"/>
                    </w:rPr>
                  </w:pPr>
                  <w:r>
                    <w:rPr>
                      <w:rFonts w:hint="eastAsia"/>
                      <w:snapToGrid w:val="0"/>
                      <w:kern w:val="0"/>
                      <w:szCs w:val="21"/>
                    </w:rPr>
                    <w:t>建设项目危废不易发生泄漏，危废间地面采取防渗措施，四周设围堰。</w:t>
                  </w:r>
                </w:p>
              </w:tc>
              <w:tc>
                <w:tcPr>
                  <w:tcW w:w="836" w:type="dxa"/>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44" w:type="dxa"/>
                  <w:vAlign w:val="center"/>
                </w:tcPr>
                <w:p>
                  <w:pPr>
                    <w:snapToGrid w:val="0"/>
                    <w:jc w:val="center"/>
                    <w:rPr>
                      <w:snapToGrid w:val="0"/>
                      <w:kern w:val="0"/>
                      <w:szCs w:val="21"/>
                    </w:rPr>
                  </w:pPr>
                  <w:r>
                    <w:rPr>
                      <w:rFonts w:hint="eastAsia"/>
                      <w:snapToGrid w:val="0"/>
                      <w:kern w:val="0"/>
                      <w:szCs w:val="21"/>
                    </w:rPr>
                    <w:t>3</w:t>
                  </w:r>
                </w:p>
              </w:tc>
              <w:tc>
                <w:tcPr>
                  <w:tcW w:w="3402" w:type="dxa"/>
                  <w:vAlign w:val="center"/>
                </w:tcPr>
                <w:p>
                  <w:pPr>
                    <w:snapToGrid w:val="0"/>
                    <w:jc w:val="center"/>
                    <w:rPr>
                      <w:snapToGrid w:val="0"/>
                      <w:kern w:val="0"/>
                      <w:szCs w:val="21"/>
                    </w:rPr>
                  </w:pPr>
                  <w:r>
                    <w:rPr>
                      <w:rFonts w:hint="eastAsia"/>
                      <w:snapToGrid w:val="0"/>
                      <w:kern w:val="0"/>
                      <w:szCs w:val="21"/>
                    </w:rPr>
                    <w:t>企业应根据危险废物的种类和特性进行分区、分类贮存</w:t>
                  </w:r>
                </w:p>
              </w:tc>
              <w:tc>
                <w:tcPr>
                  <w:tcW w:w="4110" w:type="dxa"/>
                  <w:vAlign w:val="center"/>
                </w:tcPr>
                <w:p>
                  <w:pPr>
                    <w:snapToGrid w:val="0"/>
                    <w:jc w:val="center"/>
                    <w:rPr>
                      <w:snapToGrid w:val="0"/>
                      <w:kern w:val="0"/>
                      <w:szCs w:val="21"/>
                    </w:rPr>
                  </w:pPr>
                  <w:r>
                    <w:rPr>
                      <w:rFonts w:hint="eastAsia"/>
                      <w:snapToGrid w:val="0"/>
                      <w:kern w:val="0"/>
                      <w:szCs w:val="21"/>
                    </w:rPr>
                    <w:t>危废采用塑料密封袋及密闭胶桶贮存，危废分区、分类进行存放，各种类危废存放区域均设置有危废标识</w:t>
                  </w:r>
                </w:p>
              </w:tc>
              <w:tc>
                <w:tcPr>
                  <w:tcW w:w="836" w:type="dxa"/>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dxa"/>
                </w:tcPr>
                <w:p>
                  <w:pPr>
                    <w:snapToGrid w:val="0"/>
                    <w:jc w:val="center"/>
                    <w:rPr>
                      <w:snapToGrid w:val="0"/>
                      <w:kern w:val="0"/>
                      <w:szCs w:val="21"/>
                    </w:rPr>
                  </w:pPr>
                  <w:r>
                    <w:rPr>
                      <w:rFonts w:hint="eastAsia"/>
                      <w:snapToGrid w:val="0"/>
                      <w:kern w:val="0"/>
                      <w:szCs w:val="21"/>
                    </w:rPr>
                    <w:t>4</w:t>
                  </w:r>
                </w:p>
              </w:tc>
              <w:tc>
                <w:tcPr>
                  <w:tcW w:w="3402" w:type="dxa"/>
                  <w:vAlign w:val="center"/>
                </w:tcPr>
                <w:p>
                  <w:pPr>
                    <w:snapToGrid w:val="0"/>
                    <w:jc w:val="center"/>
                    <w:rPr>
                      <w:snapToGrid w:val="0"/>
                      <w:kern w:val="0"/>
                      <w:szCs w:val="21"/>
                    </w:rPr>
                  </w:pPr>
                  <w:r>
                    <w:rPr>
                      <w:rFonts w:hint="eastAsia"/>
                      <w:snapToGrid w:val="0"/>
                      <w:kern w:val="0"/>
                      <w:szCs w:val="21"/>
                    </w:rPr>
                    <w:t>危险废物贮存设置防雨、防火、防雷、防扬散、防渗漏装置及泄漏液体收集装置</w:t>
                  </w:r>
                </w:p>
              </w:tc>
              <w:tc>
                <w:tcPr>
                  <w:tcW w:w="4110" w:type="dxa"/>
                  <w:vAlign w:val="center"/>
                </w:tcPr>
                <w:p>
                  <w:pPr>
                    <w:snapToGrid w:val="0"/>
                    <w:jc w:val="center"/>
                    <w:rPr>
                      <w:snapToGrid w:val="0"/>
                      <w:kern w:val="0"/>
                      <w:szCs w:val="21"/>
                    </w:rPr>
                  </w:pPr>
                  <w:r>
                    <w:rPr>
                      <w:rFonts w:hint="eastAsia"/>
                      <w:snapToGrid w:val="0"/>
                      <w:kern w:val="0"/>
                      <w:szCs w:val="21"/>
                    </w:rPr>
                    <w:t>危险废物贮存设置防雨、防火、防雷、防扬散、防渗漏装置及泄漏液体收集装置</w:t>
                  </w:r>
                </w:p>
              </w:tc>
              <w:tc>
                <w:tcPr>
                  <w:tcW w:w="836" w:type="dxa"/>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napToGrid w:val="0"/>
                    <w:jc w:val="center"/>
                    <w:rPr>
                      <w:snapToGrid w:val="0"/>
                      <w:kern w:val="0"/>
                      <w:szCs w:val="21"/>
                    </w:rPr>
                  </w:pPr>
                  <w:r>
                    <w:rPr>
                      <w:snapToGrid w:val="0"/>
                      <w:kern w:val="0"/>
                      <w:szCs w:val="21"/>
                    </w:rPr>
                    <w:t>5</w:t>
                  </w:r>
                </w:p>
              </w:tc>
              <w:tc>
                <w:tcPr>
                  <w:tcW w:w="3402" w:type="dxa"/>
                  <w:vAlign w:val="center"/>
                </w:tcPr>
                <w:p>
                  <w:pPr>
                    <w:snapToGrid w:val="0"/>
                    <w:jc w:val="center"/>
                    <w:rPr>
                      <w:snapToGrid w:val="0"/>
                      <w:kern w:val="0"/>
                      <w:szCs w:val="21"/>
                    </w:rPr>
                  </w:pPr>
                  <w:r>
                    <w:rPr>
                      <w:rFonts w:hint="eastAsia"/>
                      <w:snapToGrid w:val="0"/>
                      <w:kern w:val="0"/>
                      <w:szCs w:val="21"/>
                    </w:rPr>
                    <w:t>对易爆、易燃及排出有毒气体的危险废物进行预处理，稳定后贮存</w:t>
                  </w:r>
                </w:p>
              </w:tc>
              <w:tc>
                <w:tcPr>
                  <w:tcW w:w="4110" w:type="dxa"/>
                  <w:vAlign w:val="center"/>
                </w:tcPr>
                <w:p>
                  <w:pPr>
                    <w:snapToGrid w:val="0"/>
                    <w:jc w:val="center"/>
                    <w:rPr>
                      <w:snapToGrid w:val="0"/>
                      <w:kern w:val="0"/>
                      <w:szCs w:val="21"/>
                    </w:rPr>
                  </w:pPr>
                  <w:r>
                    <w:rPr>
                      <w:rFonts w:hint="eastAsia"/>
                      <w:snapToGrid w:val="0"/>
                      <w:kern w:val="0"/>
                      <w:szCs w:val="21"/>
                    </w:rPr>
                    <w:t>本项目不涉及易燃、易爆及排放有毒气体的危险废物</w:t>
                  </w:r>
                </w:p>
              </w:tc>
              <w:tc>
                <w:tcPr>
                  <w:tcW w:w="836" w:type="dxa"/>
                  <w:vAlign w:val="center"/>
                </w:tcPr>
                <w:p>
                  <w:pPr>
                    <w:snapToGrid w:val="0"/>
                    <w:jc w:val="center"/>
                    <w:rPr>
                      <w:snapToGrid w:val="0"/>
                      <w:kern w:val="0"/>
                      <w:szCs w:val="21"/>
                    </w:rPr>
                  </w:pPr>
                  <w:r>
                    <w:rPr>
                      <w:snapToGrid w:val="0"/>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napToGrid w:val="0"/>
                    <w:jc w:val="center"/>
                    <w:rPr>
                      <w:snapToGrid w:val="0"/>
                      <w:kern w:val="0"/>
                      <w:szCs w:val="21"/>
                    </w:rPr>
                  </w:pPr>
                  <w:r>
                    <w:rPr>
                      <w:snapToGrid w:val="0"/>
                      <w:kern w:val="0"/>
                      <w:szCs w:val="21"/>
                    </w:rPr>
                    <w:t>6</w:t>
                  </w:r>
                </w:p>
              </w:tc>
              <w:tc>
                <w:tcPr>
                  <w:tcW w:w="3402" w:type="dxa"/>
                  <w:vAlign w:val="center"/>
                </w:tcPr>
                <w:p>
                  <w:pPr>
                    <w:snapToGrid w:val="0"/>
                    <w:jc w:val="center"/>
                    <w:rPr>
                      <w:snapToGrid w:val="0"/>
                      <w:kern w:val="0"/>
                      <w:szCs w:val="21"/>
                    </w:rPr>
                  </w:pPr>
                  <w:r>
                    <w:rPr>
                      <w:rFonts w:hint="eastAsia"/>
                      <w:snapToGrid w:val="0"/>
                      <w:kern w:val="0"/>
                      <w:szCs w:val="21"/>
                    </w:rPr>
                    <w:t>贮存废弃剧毒化学品的，应按照公安机关要求落实治安防范措施</w:t>
                  </w:r>
                </w:p>
              </w:tc>
              <w:tc>
                <w:tcPr>
                  <w:tcW w:w="4110" w:type="dxa"/>
                  <w:vAlign w:val="center"/>
                </w:tcPr>
                <w:p>
                  <w:pPr>
                    <w:snapToGrid w:val="0"/>
                    <w:jc w:val="center"/>
                    <w:rPr>
                      <w:snapToGrid w:val="0"/>
                      <w:kern w:val="0"/>
                      <w:szCs w:val="21"/>
                    </w:rPr>
                  </w:pPr>
                  <w:r>
                    <w:rPr>
                      <w:rFonts w:hint="eastAsia"/>
                      <w:snapToGrid w:val="0"/>
                      <w:kern w:val="0"/>
                      <w:szCs w:val="21"/>
                    </w:rPr>
                    <w:t>本项目不涉及废弃剧毒化学品</w:t>
                  </w:r>
                </w:p>
              </w:tc>
              <w:tc>
                <w:tcPr>
                  <w:tcW w:w="836" w:type="dxa"/>
                  <w:vAlign w:val="center"/>
                </w:tcPr>
                <w:p>
                  <w:pPr>
                    <w:snapToGrid w:val="0"/>
                    <w:jc w:val="center"/>
                    <w:rPr>
                      <w:snapToGrid w:val="0"/>
                      <w:kern w:val="0"/>
                      <w:szCs w:val="21"/>
                    </w:rPr>
                  </w:pPr>
                  <w:r>
                    <w:rPr>
                      <w:snapToGrid w:val="0"/>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44" w:type="dxa"/>
                  <w:vAlign w:val="center"/>
                </w:tcPr>
                <w:p>
                  <w:pPr>
                    <w:snapToGrid w:val="0"/>
                    <w:jc w:val="center"/>
                    <w:rPr>
                      <w:snapToGrid w:val="0"/>
                      <w:kern w:val="0"/>
                      <w:szCs w:val="21"/>
                    </w:rPr>
                  </w:pPr>
                  <w:r>
                    <w:rPr>
                      <w:snapToGrid w:val="0"/>
                      <w:kern w:val="0"/>
                      <w:szCs w:val="21"/>
                    </w:rPr>
                    <w:t>7</w:t>
                  </w:r>
                </w:p>
              </w:tc>
              <w:tc>
                <w:tcPr>
                  <w:tcW w:w="3402" w:type="dxa"/>
                  <w:vAlign w:val="center"/>
                </w:tcPr>
                <w:p>
                  <w:pPr>
                    <w:snapToGrid w:val="0"/>
                    <w:jc w:val="center"/>
                    <w:rPr>
                      <w:snapToGrid w:val="0"/>
                      <w:kern w:val="0"/>
                      <w:szCs w:val="21"/>
                    </w:rPr>
                  </w:pPr>
                  <w:r>
                    <w:rPr>
                      <w:rFonts w:hint="eastAsia"/>
                      <w:snapToGrid w:val="0"/>
                      <w:kern w:val="0"/>
                      <w:szCs w:val="21"/>
                    </w:rPr>
                    <w:t>企业严格执行《省生态环境厅关于印发江苏省危险废物贮存规范化管理专项整治行动方案的通知》（苏环办〔</w:t>
                  </w:r>
                  <w:r>
                    <w:rPr>
                      <w:snapToGrid w:val="0"/>
                      <w:kern w:val="0"/>
                      <w:szCs w:val="21"/>
                    </w:rPr>
                    <w:t xml:space="preserve"> 2019</w:t>
                  </w:r>
                  <w:r>
                    <w:rPr>
                      <w:rFonts w:hint="eastAsia"/>
                      <w:snapToGrid w:val="0"/>
                      <w:kern w:val="0"/>
                      <w:szCs w:val="21"/>
                    </w:rPr>
                    <w:t>〕</w:t>
                  </w:r>
                  <w:r>
                    <w:rPr>
                      <w:snapToGrid w:val="0"/>
                      <w:kern w:val="0"/>
                      <w:szCs w:val="21"/>
                    </w:rPr>
                    <w:t>149</w:t>
                  </w:r>
                  <w:r>
                    <w:rPr>
                      <w:rFonts w:hint="eastAsia"/>
                      <w:snapToGrid w:val="0"/>
                      <w:kern w:val="0"/>
                      <w:szCs w:val="21"/>
                    </w:rPr>
                    <w:t>号）要求，按照《环境保护图形标志固体废物贮存（处置）场》（</w:t>
                  </w:r>
                  <w:r>
                    <w:rPr>
                      <w:snapToGrid w:val="0"/>
                      <w:kern w:val="0"/>
                      <w:szCs w:val="21"/>
                    </w:rPr>
                    <w:t>GB15562.2-1995</w:t>
                  </w:r>
                  <w:r>
                    <w:rPr>
                      <w:rFonts w:hint="eastAsia"/>
                      <w:snapToGrid w:val="0"/>
                      <w:kern w:val="0"/>
                      <w:szCs w:val="21"/>
                    </w:rPr>
                    <w:t>）和危险废物识别标识设置规范设置标志（具体要求必须符合苏环办</w:t>
                  </w:r>
                  <w:r>
                    <w:rPr>
                      <w:snapToGrid w:val="0"/>
                      <w:kern w:val="0"/>
                      <w:szCs w:val="21"/>
                    </w:rPr>
                    <w:t xml:space="preserve"> [2019]327</w:t>
                  </w:r>
                  <w:r>
                    <w:rPr>
                      <w:rFonts w:hint="eastAsia"/>
                      <w:snapToGrid w:val="0"/>
                      <w:kern w:val="0"/>
                      <w:szCs w:val="21"/>
                    </w:rPr>
                    <w:t>号附件</w:t>
                  </w:r>
                  <w:r>
                    <w:rPr>
                      <w:snapToGrid w:val="0"/>
                      <w:kern w:val="0"/>
                      <w:szCs w:val="21"/>
                    </w:rPr>
                    <w:t xml:space="preserve"> 1“</w:t>
                  </w:r>
                  <w:r>
                    <w:rPr>
                      <w:rFonts w:hint="eastAsia"/>
                      <w:snapToGrid w:val="0"/>
                      <w:kern w:val="0"/>
                      <w:szCs w:val="21"/>
                    </w:rPr>
                    <w:t>危险废物识别标识规范化设置要求</w:t>
                  </w:r>
                  <w:r>
                    <w:rPr>
                      <w:snapToGrid w:val="0"/>
                      <w:kern w:val="0"/>
                      <w:szCs w:val="21"/>
                    </w:rPr>
                    <w:t xml:space="preserve"> ”</w:t>
                  </w:r>
                  <w:r>
                    <w:rPr>
                      <w:rFonts w:hint="eastAsia"/>
                      <w:snapToGrid w:val="0"/>
                      <w:kern w:val="0"/>
                      <w:szCs w:val="21"/>
                    </w:rPr>
                    <w:t>的规定）</w:t>
                  </w:r>
                </w:p>
              </w:tc>
              <w:tc>
                <w:tcPr>
                  <w:tcW w:w="4110" w:type="dxa"/>
                  <w:vAlign w:val="center"/>
                </w:tcPr>
                <w:p>
                  <w:pPr>
                    <w:snapToGrid w:val="0"/>
                    <w:jc w:val="center"/>
                    <w:rPr>
                      <w:snapToGrid w:val="0"/>
                      <w:kern w:val="0"/>
                      <w:szCs w:val="21"/>
                    </w:rPr>
                  </w:pPr>
                  <w:r>
                    <w:rPr>
                      <w:rFonts w:hint="eastAsia"/>
                      <w:snapToGrid w:val="0"/>
                      <w:kern w:val="0"/>
                      <w:szCs w:val="21"/>
                    </w:rPr>
                    <w:t>厂区门口设置危废信息公开栏，危废间外墙墙面设置贮存设施警示标志牌</w:t>
                  </w:r>
                </w:p>
              </w:tc>
              <w:tc>
                <w:tcPr>
                  <w:tcW w:w="836" w:type="dxa"/>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napToGrid w:val="0"/>
                    <w:jc w:val="center"/>
                    <w:rPr>
                      <w:snapToGrid w:val="0"/>
                      <w:kern w:val="0"/>
                      <w:szCs w:val="21"/>
                    </w:rPr>
                  </w:pPr>
                  <w:r>
                    <w:rPr>
                      <w:snapToGrid w:val="0"/>
                      <w:kern w:val="0"/>
                      <w:szCs w:val="21"/>
                    </w:rPr>
                    <w:t>8</w:t>
                  </w:r>
                </w:p>
              </w:tc>
              <w:tc>
                <w:tcPr>
                  <w:tcW w:w="3402" w:type="dxa"/>
                  <w:vAlign w:val="center"/>
                </w:tcPr>
                <w:p>
                  <w:pPr>
                    <w:snapToGrid w:val="0"/>
                    <w:jc w:val="center"/>
                    <w:rPr>
                      <w:snapToGrid w:val="0"/>
                      <w:kern w:val="0"/>
                      <w:szCs w:val="21"/>
                    </w:rPr>
                  </w:pPr>
                  <w:r>
                    <w:rPr>
                      <w:rFonts w:hint="eastAsia"/>
                      <w:snapToGrid w:val="0"/>
                      <w:kern w:val="0"/>
                      <w:szCs w:val="21"/>
                    </w:rPr>
                    <w:t>危废仓库须配备通讯设备、照明设施和消防设施</w:t>
                  </w:r>
                </w:p>
              </w:tc>
              <w:tc>
                <w:tcPr>
                  <w:tcW w:w="4110" w:type="dxa"/>
                  <w:vAlign w:val="center"/>
                </w:tcPr>
                <w:p>
                  <w:pPr>
                    <w:snapToGrid w:val="0"/>
                    <w:jc w:val="center"/>
                    <w:rPr>
                      <w:snapToGrid w:val="0"/>
                      <w:kern w:val="0"/>
                      <w:szCs w:val="21"/>
                    </w:rPr>
                  </w:pPr>
                  <w:r>
                    <w:rPr>
                      <w:rFonts w:hint="eastAsia"/>
                      <w:snapToGrid w:val="0"/>
                      <w:kern w:val="0"/>
                      <w:szCs w:val="21"/>
                    </w:rPr>
                    <w:t>危废间内配备通讯设备、防爆灯、禁火标志、灭火器、黄沙等</w:t>
                  </w:r>
                </w:p>
              </w:tc>
              <w:tc>
                <w:tcPr>
                  <w:tcW w:w="836" w:type="dxa"/>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napToGrid w:val="0"/>
                    <w:jc w:val="center"/>
                    <w:rPr>
                      <w:snapToGrid w:val="0"/>
                      <w:kern w:val="0"/>
                      <w:szCs w:val="21"/>
                    </w:rPr>
                  </w:pPr>
                  <w:r>
                    <w:rPr>
                      <w:snapToGrid w:val="0"/>
                      <w:kern w:val="0"/>
                      <w:szCs w:val="21"/>
                    </w:rPr>
                    <w:t>9</w:t>
                  </w:r>
                </w:p>
              </w:tc>
              <w:tc>
                <w:tcPr>
                  <w:tcW w:w="3402" w:type="dxa"/>
                  <w:vAlign w:val="center"/>
                </w:tcPr>
                <w:p>
                  <w:pPr>
                    <w:snapToGrid w:val="0"/>
                    <w:jc w:val="center"/>
                    <w:rPr>
                      <w:snapToGrid w:val="0"/>
                      <w:kern w:val="0"/>
                      <w:szCs w:val="21"/>
                    </w:rPr>
                  </w:pPr>
                  <w:r>
                    <w:rPr>
                      <w:rFonts w:hint="eastAsia"/>
                      <w:snapToGrid w:val="0"/>
                      <w:kern w:val="0"/>
                      <w:szCs w:val="21"/>
                    </w:rPr>
                    <w:t>危险废物仓库须设置气体导出口及气体净化装置，确保废气达标排放</w:t>
                  </w:r>
                </w:p>
              </w:tc>
              <w:tc>
                <w:tcPr>
                  <w:tcW w:w="4110" w:type="dxa"/>
                  <w:vAlign w:val="center"/>
                </w:tcPr>
                <w:p>
                  <w:pPr>
                    <w:snapToGrid w:val="0"/>
                    <w:jc w:val="center"/>
                    <w:rPr>
                      <w:snapToGrid w:val="0"/>
                      <w:kern w:val="0"/>
                      <w:szCs w:val="21"/>
                    </w:rPr>
                  </w:pPr>
                  <w:r>
                    <w:rPr>
                      <w:rFonts w:hint="eastAsia"/>
                      <w:snapToGrid w:val="0"/>
                      <w:kern w:val="0"/>
                      <w:szCs w:val="21"/>
                    </w:rPr>
                    <w:t>本项目产生的危险废物存放在密闭的塑封袋或胶桶内，无废气产生</w:t>
                  </w:r>
                </w:p>
              </w:tc>
              <w:tc>
                <w:tcPr>
                  <w:tcW w:w="836" w:type="dxa"/>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napToGrid w:val="0"/>
                    <w:jc w:val="center"/>
                    <w:rPr>
                      <w:snapToGrid w:val="0"/>
                      <w:kern w:val="0"/>
                      <w:szCs w:val="21"/>
                    </w:rPr>
                  </w:pPr>
                  <w:r>
                    <w:rPr>
                      <w:snapToGrid w:val="0"/>
                      <w:kern w:val="0"/>
                      <w:szCs w:val="21"/>
                    </w:rPr>
                    <w:t>10</w:t>
                  </w:r>
                </w:p>
              </w:tc>
              <w:tc>
                <w:tcPr>
                  <w:tcW w:w="3402" w:type="dxa"/>
                  <w:vAlign w:val="center"/>
                </w:tcPr>
                <w:p>
                  <w:pPr>
                    <w:snapToGrid w:val="0"/>
                    <w:jc w:val="center"/>
                    <w:rPr>
                      <w:snapToGrid w:val="0"/>
                      <w:kern w:val="0"/>
                      <w:szCs w:val="21"/>
                    </w:rPr>
                  </w:pPr>
                  <w:r>
                    <w:rPr>
                      <w:rFonts w:hint="eastAsia"/>
                      <w:snapToGrid w:val="0"/>
                      <w:kern w:val="0"/>
                      <w:szCs w:val="21"/>
                    </w:rPr>
                    <w:t>在危险废物仓库出入口、设施内部、危险废物运输车辆通道等关键位置按照危险废物贮存设施视频监控布设要求设置视频监控，并与中控室联网（具体要求必须符合苏环办</w:t>
                  </w:r>
                  <w:r>
                    <w:rPr>
                      <w:snapToGrid w:val="0"/>
                      <w:kern w:val="0"/>
                      <w:szCs w:val="21"/>
                    </w:rPr>
                    <w:t xml:space="preserve"> [2019]327</w:t>
                  </w:r>
                  <w:r>
                    <w:rPr>
                      <w:rFonts w:hint="eastAsia"/>
                      <w:snapToGrid w:val="0"/>
                      <w:kern w:val="0"/>
                      <w:szCs w:val="21"/>
                    </w:rPr>
                    <w:t>号附件</w:t>
                  </w:r>
                  <w:r>
                    <w:rPr>
                      <w:snapToGrid w:val="0"/>
                      <w:kern w:val="0"/>
                      <w:szCs w:val="21"/>
                    </w:rPr>
                    <w:t xml:space="preserve"> 2“</w:t>
                  </w:r>
                  <w:r>
                    <w:rPr>
                      <w:rFonts w:hint="eastAsia"/>
                      <w:snapToGrid w:val="0"/>
                      <w:kern w:val="0"/>
                      <w:szCs w:val="21"/>
                    </w:rPr>
                    <w:t>危险废物贮存设施视频监控布设要求</w:t>
                  </w:r>
                  <w:r>
                    <w:rPr>
                      <w:snapToGrid w:val="0"/>
                      <w:kern w:val="0"/>
                      <w:szCs w:val="21"/>
                    </w:rPr>
                    <w:t xml:space="preserve"> ”</w:t>
                  </w:r>
                  <w:r>
                    <w:rPr>
                      <w:rFonts w:hint="eastAsia"/>
                      <w:snapToGrid w:val="0"/>
                      <w:kern w:val="0"/>
                      <w:szCs w:val="21"/>
                    </w:rPr>
                    <w:t>的规定）</w:t>
                  </w:r>
                </w:p>
              </w:tc>
              <w:tc>
                <w:tcPr>
                  <w:tcW w:w="4110" w:type="dxa"/>
                  <w:vAlign w:val="center"/>
                </w:tcPr>
                <w:p>
                  <w:pPr>
                    <w:snapToGrid w:val="0"/>
                    <w:jc w:val="center"/>
                    <w:rPr>
                      <w:snapToGrid w:val="0"/>
                      <w:kern w:val="0"/>
                      <w:szCs w:val="21"/>
                    </w:rPr>
                  </w:pPr>
                  <w:r>
                    <w:rPr>
                      <w:rFonts w:hint="eastAsia"/>
                      <w:snapToGrid w:val="0"/>
                      <w:kern w:val="0"/>
                      <w:szCs w:val="21"/>
                    </w:rPr>
                    <w:t>本次环评已对危废间的建设提出设置监控系统的要求，主要在危废间出入口、内部、厂门口等关键位置安装视频监控设施，进行实时监控，并与中控室联网</w:t>
                  </w:r>
                </w:p>
              </w:tc>
              <w:tc>
                <w:tcPr>
                  <w:tcW w:w="836" w:type="dxa"/>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744" w:type="dxa"/>
                  <w:vAlign w:val="center"/>
                </w:tcPr>
                <w:p>
                  <w:pPr>
                    <w:snapToGrid w:val="0"/>
                    <w:jc w:val="center"/>
                    <w:rPr>
                      <w:snapToGrid w:val="0"/>
                      <w:kern w:val="0"/>
                      <w:szCs w:val="21"/>
                    </w:rPr>
                  </w:pPr>
                  <w:r>
                    <w:rPr>
                      <w:snapToGrid w:val="0"/>
                      <w:kern w:val="0"/>
                      <w:szCs w:val="21"/>
                    </w:rPr>
                    <w:t>11</w:t>
                  </w:r>
                </w:p>
              </w:tc>
              <w:tc>
                <w:tcPr>
                  <w:tcW w:w="3402" w:type="dxa"/>
                  <w:vAlign w:val="center"/>
                </w:tcPr>
                <w:p>
                  <w:pPr>
                    <w:snapToGrid w:val="0"/>
                    <w:jc w:val="center"/>
                    <w:rPr>
                      <w:snapToGrid w:val="0"/>
                      <w:kern w:val="0"/>
                      <w:szCs w:val="21"/>
                    </w:rPr>
                  </w:pPr>
                  <w:r>
                    <w:rPr>
                      <w:rFonts w:hint="eastAsia"/>
                      <w:snapToGrid w:val="0"/>
                      <w:kern w:val="0"/>
                      <w:szCs w:val="21"/>
                    </w:rPr>
                    <w:t>环评文件中涉及有副产品内容的，应严格对照《固体废物鉴别标准通则》（</w:t>
                  </w:r>
                  <w:r>
                    <w:rPr>
                      <w:snapToGrid w:val="0"/>
                      <w:kern w:val="0"/>
                      <w:szCs w:val="21"/>
                    </w:rPr>
                    <w:t xml:space="preserve"> GB34330-2017</w:t>
                  </w:r>
                  <w:r>
                    <w:rPr>
                      <w:rFonts w:hint="eastAsia"/>
                      <w:snapToGrid w:val="0"/>
                      <w:kern w:val="0"/>
                      <w:szCs w:val="21"/>
                    </w:rPr>
                    <w:t>），依据其产生来源、利用和处置过程等进行鉴别，禁止以副产品的名义逃避监管。</w:t>
                  </w:r>
                </w:p>
              </w:tc>
              <w:tc>
                <w:tcPr>
                  <w:tcW w:w="4110" w:type="dxa"/>
                  <w:vAlign w:val="center"/>
                </w:tcPr>
                <w:p>
                  <w:pPr>
                    <w:snapToGrid w:val="0"/>
                    <w:jc w:val="center"/>
                    <w:rPr>
                      <w:rFonts w:hint="eastAsia" w:eastAsia="宋体"/>
                      <w:snapToGrid w:val="0"/>
                      <w:kern w:val="0"/>
                      <w:szCs w:val="21"/>
                      <w:lang w:eastAsia="zh-CN"/>
                    </w:rPr>
                  </w:pPr>
                  <w:r>
                    <w:rPr>
                      <w:rFonts w:hint="eastAsia"/>
                      <w:snapToGrid w:val="0"/>
                      <w:kern w:val="0"/>
                      <w:szCs w:val="21"/>
                    </w:rPr>
                    <w:t>本项目产生的固体废物主要为</w:t>
                  </w:r>
                  <w:r>
                    <w:rPr>
                      <w:rFonts w:hint="eastAsia"/>
                      <w:snapToGrid w:val="0"/>
                      <w:kern w:val="0"/>
                      <w:szCs w:val="21"/>
                      <w:lang w:eastAsia="zh-CN"/>
                    </w:rPr>
                    <w:t>玻璃碎屑、粉尘、废活性炭、不合格品、污泥、生活垃圾</w:t>
                  </w:r>
                  <w:r>
                    <w:rPr>
                      <w:rFonts w:hint="eastAsia"/>
                      <w:snapToGrid w:val="0"/>
                      <w:kern w:val="0"/>
                      <w:szCs w:val="21"/>
                    </w:rPr>
                    <w:t>，均已对照《固体废物鉴别标准通则》（</w:t>
                  </w:r>
                  <w:r>
                    <w:rPr>
                      <w:snapToGrid w:val="0"/>
                      <w:kern w:val="0"/>
                      <w:szCs w:val="21"/>
                    </w:rPr>
                    <w:t>GB34330-2017</w:t>
                  </w:r>
                  <w:r>
                    <w:rPr>
                      <w:rFonts w:hint="eastAsia"/>
                      <w:snapToGrid w:val="0"/>
                      <w:kern w:val="0"/>
                      <w:szCs w:val="21"/>
                    </w:rPr>
                    <w:t>）进行分析，定位为固体废物，不属于副产品</w:t>
                  </w:r>
                  <w:r>
                    <w:rPr>
                      <w:rFonts w:hint="eastAsia"/>
                      <w:snapToGrid w:val="0"/>
                      <w:kern w:val="0"/>
                      <w:szCs w:val="21"/>
                      <w:lang w:eastAsia="zh-CN"/>
                    </w:rPr>
                    <w:t>。</w:t>
                  </w:r>
                </w:p>
              </w:tc>
              <w:tc>
                <w:tcPr>
                  <w:tcW w:w="836" w:type="dxa"/>
                  <w:vAlign w:val="center"/>
                </w:tcPr>
                <w:p>
                  <w:pPr>
                    <w:snapToGrid w:val="0"/>
                    <w:jc w:val="center"/>
                    <w:rPr>
                      <w:snapToGrid w:val="0"/>
                      <w:kern w:val="0"/>
                      <w:szCs w:val="21"/>
                    </w:rPr>
                  </w:pPr>
                  <w:r>
                    <w:rPr>
                      <w:rFonts w:hint="eastAsia"/>
                      <w:snapToGrid w:val="0"/>
                      <w:kern w:val="0"/>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napToGrid w:val="0"/>
                    <w:jc w:val="center"/>
                    <w:rPr>
                      <w:snapToGrid w:val="0"/>
                      <w:kern w:val="0"/>
                      <w:szCs w:val="21"/>
                    </w:rPr>
                  </w:pPr>
                  <w:r>
                    <w:rPr>
                      <w:snapToGrid w:val="0"/>
                      <w:kern w:val="0"/>
                      <w:szCs w:val="21"/>
                    </w:rPr>
                    <w:t>12</w:t>
                  </w:r>
                </w:p>
              </w:tc>
              <w:tc>
                <w:tcPr>
                  <w:tcW w:w="3402" w:type="dxa"/>
                  <w:vAlign w:val="center"/>
                </w:tcPr>
                <w:p>
                  <w:pPr>
                    <w:snapToGrid w:val="0"/>
                    <w:jc w:val="center"/>
                    <w:rPr>
                      <w:snapToGrid w:val="0"/>
                      <w:kern w:val="0"/>
                      <w:szCs w:val="21"/>
                    </w:rPr>
                  </w:pPr>
                  <w:r>
                    <w:rPr>
                      <w:rFonts w:hint="eastAsia"/>
                      <w:snapToGrid w:val="0"/>
                      <w:kern w:val="0"/>
                      <w:szCs w:val="21"/>
                    </w:rPr>
                    <w:t>贮存易爆、易燃及排出有毒气体的危险废物贮存设施应按照应急管理、消防、规划建设等相关职能部门的要求办理相关手续</w:t>
                  </w:r>
                </w:p>
              </w:tc>
              <w:tc>
                <w:tcPr>
                  <w:tcW w:w="4110" w:type="dxa"/>
                  <w:vAlign w:val="center"/>
                </w:tcPr>
                <w:p>
                  <w:pPr>
                    <w:snapToGrid w:val="0"/>
                    <w:jc w:val="center"/>
                    <w:rPr>
                      <w:snapToGrid w:val="0"/>
                      <w:kern w:val="0"/>
                      <w:szCs w:val="21"/>
                    </w:rPr>
                  </w:pPr>
                  <w:r>
                    <w:rPr>
                      <w:rFonts w:hint="eastAsia"/>
                      <w:snapToGrid w:val="0"/>
                      <w:kern w:val="0"/>
                      <w:szCs w:val="21"/>
                    </w:rPr>
                    <w:t>本项目不涉及易燃、易爆及挥发有毒气体的危险废物</w:t>
                  </w:r>
                </w:p>
              </w:tc>
              <w:tc>
                <w:tcPr>
                  <w:tcW w:w="836" w:type="dxa"/>
                  <w:vAlign w:val="center"/>
                </w:tcPr>
                <w:p>
                  <w:pPr>
                    <w:snapToGrid w:val="0"/>
                    <w:jc w:val="center"/>
                    <w:rPr>
                      <w:snapToGrid w:val="0"/>
                      <w:kern w:val="0"/>
                      <w:szCs w:val="21"/>
                    </w:rPr>
                  </w:pPr>
                  <w:r>
                    <w:rPr>
                      <w:snapToGrid w:val="0"/>
                      <w:kern w:val="0"/>
                      <w:szCs w:val="21"/>
                    </w:rPr>
                    <w:t>/</w:t>
                  </w:r>
                </w:p>
              </w:tc>
            </w:tr>
          </w:tbl>
          <w:p>
            <w:pPr>
              <w:snapToGrid w:val="0"/>
              <w:spacing w:line="360" w:lineRule="auto"/>
              <w:ind w:firstLine="480" w:firstLineChars="200"/>
              <w:rPr>
                <w:snapToGrid w:val="0"/>
                <w:kern w:val="0"/>
                <w:sz w:val="24"/>
              </w:rPr>
            </w:pPr>
          </w:p>
          <w:p>
            <w:pPr>
              <w:snapToGrid w:val="0"/>
              <w:spacing w:line="360" w:lineRule="auto"/>
              <w:ind w:firstLine="480" w:firstLineChars="200"/>
              <w:rPr>
                <w:snapToGrid w:val="0"/>
                <w:kern w:val="0"/>
                <w:sz w:val="24"/>
              </w:rPr>
            </w:pPr>
            <w:r>
              <w:rPr>
                <w:rFonts w:hint="eastAsia"/>
                <w:snapToGrid w:val="0"/>
                <w:kern w:val="0"/>
                <w:sz w:val="24"/>
              </w:rPr>
              <w:t>根据《省生态环境厅关于进一步加强危险废物污染防治工作的实施意见》</w:t>
            </w:r>
            <w:r>
              <w:rPr>
                <w:snapToGrid w:val="0"/>
                <w:kern w:val="0"/>
                <w:sz w:val="24"/>
              </w:rPr>
              <w:t>[</w:t>
            </w:r>
            <w:r>
              <w:rPr>
                <w:rFonts w:hint="eastAsia"/>
                <w:snapToGrid w:val="0"/>
                <w:kern w:val="0"/>
                <w:sz w:val="24"/>
              </w:rPr>
              <w:t>苏环办（</w:t>
            </w:r>
            <w:r>
              <w:rPr>
                <w:snapToGrid w:val="0"/>
                <w:kern w:val="0"/>
                <w:sz w:val="24"/>
              </w:rPr>
              <w:t>2019</w:t>
            </w:r>
            <w:r>
              <w:rPr>
                <w:rFonts w:hint="eastAsia"/>
                <w:snapToGrid w:val="0"/>
                <w:kern w:val="0"/>
                <w:sz w:val="24"/>
              </w:rPr>
              <w:t>）</w:t>
            </w:r>
            <w:r>
              <w:rPr>
                <w:snapToGrid w:val="0"/>
                <w:kern w:val="0"/>
                <w:sz w:val="24"/>
              </w:rPr>
              <w:t xml:space="preserve">327 </w:t>
            </w:r>
            <w:r>
              <w:rPr>
                <w:rFonts w:hint="eastAsia"/>
                <w:snapToGrid w:val="0"/>
                <w:kern w:val="0"/>
                <w:sz w:val="24"/>
              </w:rPr>
              <w:t>号</w:t>
            </w:r>
            <w:r>
              <w:rPr>
                <w:snapToGrid w:val="0"/>
                <w:kern w:val="0"/>
                <w:sz w:val="24"/>
              </w:rPr>
              <w:t>]</w:t>
            </w:r>
            <w:r>
              <w:rPr>
                <w:rFonts w:hint="eastAsia"/>
                <w:snapToGrid w:val="0"/>
                <w:kern w:val="0"/>
                <w:sz w:val="24"/>
              </w:rPr>
              <w:t>，</w:t>
            </w:r>
            <w:r>
              <w:rPr>
                <w:rFonts w:hint="eastAsia" w:ascii="宋体" w:cs="宋体"/>
                <w:kern w:val="0"/>
                <w:sz w:val="24"/>
              </w:rPr>
              <w:t>危险固废暂存间</w:t>
            </w:r>
            <w:r>
              <w:rPr>
                <w:rFonts w:ascii="宋体" w:cs="宋体"/>
                <w:kern w:val="0"/>
                <w:sz w:val="24"/>
              </w:rPr>
              <w:t>危险废物识别标识规范化设置要求</w:t>
            </w:r>
            <w:r>
              <w:rPr>
                <w:rFonts w:hint="eastAsia" w:ascii="宋体" w:cs="宋体"/>
                <w:kern w:val="0"/>
                <w:sz w:val="24"/>
              </w:rPr>
              <w:t>见表4</w:t>
            </w:r>
            <w:r>
              <w:rPr>
                <w:rFonts w:ascii="宋体" w:cs="宋体"/>
                <w:kern w:val="0"/>
                <w:sz w:val="24"/>
              </w:rPr>
              <w:t>-</w:t>
            </w:r>
            <w:r>
              <w:rPr>
                <w:rFonts w:hint="eastAsia" w:ascii="宋体" w:cs="宋体"/>
                <w:kern w:val="0"/>
                <w:sz w:val="24"/>
                <w:lang w:val="en-US" w:eastAsia="zh-CN"/>
              </w:rPr>
              <w:t>30</w:t>
            </w:r>
            <w:r>
              <w:rPr>
                <w:rFonts w:hint="eastAsia" w:ascii="宋体" w:cs="宋体"/>
                <w:kern w:val="0"/>
                <w:sz w:val="24"/>
              </w:rPr>
              <w:t>。</w:t>
            </w:r>
          </w:p>
          <w:p>
            <w:pPr>
              <w:snapToGrid w:val="0"/>
              <w:spacing w:line="360" w:lineRule="auto"/>
              <w:ind w:firstLine="480" w:firstLineChars="200"/>
              <w:rPr>
                <w:rFonts w:hint="eastAsia" w:eastAsia="宋体"/>
                <w:sz w:val="24"/>
                <w:lang w:eastAsia="zh-CN"/>
              </w:rPr>
            </w:pPr>
            <w:r>
              <w:rPr>
                <w:snapToGrid w:val="0"/>
                <w:kern w:val="0"/>
                <w:sz w:val="24"/>
              </w:rPr>
              <w:t>综合上述，</w:t>
            </w:r>
            <w:r>
              <w:rPr>
                <w:rFonts w:hint="eastAsia"/>
                <w:snapToGrid w:val="0"/>
                <w:kern w:val="0"/>
                <w:sz w:val="24"/>
              </w:rPr>
              <w:t>本</w:t>
            </w:r>
            <w:r>
              <w:rPr>
                <w:snapToGrid w:val="0"/>
                <w:kern w:val="0"/>
                <w:sz w:val="24"/>
              </w:rPr>
              <w:t>项目各项固体废物均能得到妥善处理，对当地环境影响较小</w:t>
            </w:r>
            <w:r>
              <w:rPr>
                <w:rFonts w:hint="eastAsia"/>
                <w:snapToGrid w:val="0"/>
                <w:kern w:val="0"/>
                <w:sz w:val="24"/>
                <w:lang w:eastAsia="zh-CN"/>
              </w:rPr>
              <w:t>。</w:t>
            </w:r>
          </w:p>
          <w:p>
            <w:pPr>
              <w:snapToGrid w:val="0"/>
              <w:spacing w:line="360" w:lineRule="auto"/>
              <w:rPr>
                <w:sz w:val="24"/>
              </w:rPr>
            </w:pPr>
            <w:r>
              <w:rPr>
                <w:rFonts w:hint="eastAsia"/>
                <w:b/>
                <w:bCs/>
                <w:sz w:val="24"/>
              </w:rPr>
              <w:t>6、地下水</w:t>
            </w:r>
            <w:r>
              <w:rPr>
                <w:rFonts w:hint="eastAsia"/>
                <w:b/>
                <w:sz w:val="24"/>
              </w:rPr>
              <w:t>环境影响分析</w:t>
            </w:r>
          </w:p>
          <w:p>
            <w:pPr>
              <w:snapToGrid w:val="0"/>
              <w:spacing w:line="360" w:lineRule="auto"/>
              <w:ind w:firstLine="480" w:firstLineChars="200"/>
              <w:rPr>
                <w:rFonts w:hint="eastAsia" w:ascii="Times New Roman" w:hAnsi="Times New Roman" w:cs="Times New Roman"/>
                <w:snapToGrid w:val="0"/>
                <w:kern w:val="0"/>
                <w:sz w:val="24"/>
              </w:rPr>
            </w:pPr>
            <w:r>
              <w:rPr>
                <w:rFonts w:hint="eastAsia" w:ascii="Times New Roman" w:hAnsi="Times New Roman" w:cs="Times New Roman"/>
                <w:snapToGrid w:val="0"/>
                <w:kern w:val="0"/>
                <w:sz w:val="24"/>
              </w:rPr>
              <w:t>本项目</w:t>
            </w:r>
            <w:r>
              <w:rPr>
                <w:rFonts w:hint="eastAsia" w:cs="Times New Roman"/>
                <w:bCs w:val="0"/>
                <w:kern w:val="2"/>
                <w:sz w:val="24"/>
                <w:szCs w:val="24"/>
                <w:lang w:val="en-US" w:eastAsia="zh-CN" w:bidi="ar-SA"/>
              </w:rPr>
              <w:t>C3042</w:t>
            </w:r>
            <w:r>
              <w:rPr>
                <w:rFonts w:hint="eastAsia" w:ascii="Times New Roman" w:hAnsi="Times New Roman" w:cs="Times New Roman"/>
                <w:snapToGrid w:val="0"/>
                <w:kern w:val="0"/>
                <w:sz w:val="24"/>
              </w:rPr>
              <w:t>属于</w:t>
            </w:r>
            <w:r>
              <w:rPr>
                <w:rFonts w:hint="eastAsia" w:cs="Times New Roman"/>
                <w:bCs w:val="0"/>
                <w:kern w:val="2"/>
                <w:sz w:val="24"/>
                <w:szCs w:val="24"/>
                <w:lang w:val="en-US" w:eastAsia="zh-CN" w:bidi="ar-SA"/>
              </w:rPr>
              <w:t>特种玻璃制造</w:t>
            </w:r>
            <w:r>
              <w:rPr>
                <w:rFonts w:hint="eastAsia" w:ascii="Times New Roman" w:hAnsi="Times New Roman" w:cs="Times New Roman"/>
                <w:snapToGrid w:val="0"/>
                <w:kern w:val="0"/>
                <w:sz w:val="24"/>
              </w:rPr>
              <w:t>，经查阅《环境影响评价技术导则地下水环境》（HJ610-2016）</w:t>
            </w:r>
            <w:r>
              <w:rPr>
                <w:rFonts w:hint="eastAsia" w:ascii="Times New Roman" w:hAnsi="Times New Roman" w:cs="Times New Roman"/>
                <w:snapToGrid w:val="0"/>
                <w:kern w:val="0"/>
                <w:sz w:val="24"/>
                <w:lang w:eastAsia="zh-CN"/>
              </w:rPr>
              <w:t>“</w:t>
            </w:r>
            <w:r>
              <w:rPr>
                <w:rFonts w:hint="eastAsia" w:ascii="Times New Roman" w:hAnsi="Times New Roman" w:cs="Times New Roman"/>
                <w:snapToGrid w:val="0"/>
                <w:kern w:val="0"/>
                <w:sz w:val="24"/>
              </w:rPr>
              <w:t>附录A  地下水环境影响评价行业分类表</w:t>
            </w:r>
            <w:r>
              <w:rPr>
                <w:rFonts w:hint="eastAsia" w:ascii="Times New Roman" w:hAnsi="Times New Roman" w:cs="Times New Roman"/>
                <w:snapToGrid w:val="0"/>
                <w:kern w:val="0"/>
                <w:sz w:val="24"/>
                <w:lang w:eastAsia="zh-CN"/>
              </w:rPr>
              <w:t>“</w:t>
            </w:r>
            <w:r>
              <w:rPr>
                <w:rFonts w:hint="eastAsia" w:ascii="Times New Roman" w:hAnsi="Times New Roman" w:cs="Times New Roman"/>
                <w:snapToGrid w:val="0"/>
                <w:kern w:val="0"/>
                <w:sz w:val="24"/>
              </w:rPr>
              <w:t>，本项目类别为</w:t>
            </w:r>
            <w:r>
              <w:rPr>
                <w:rFonts w:hint="eastAsia" w:ascii="Times New Roman" w:hAnsi="Times New Roman" w:cs="Times New Roman"/>
                <w:snapToGrid w:val="0"/>
                <w:kern w:val="0"/>
                <w:sz w:val="24"/>
                <w:lang w:eastAsia="zh-CN"/>
              </w:rPr>
              <w:t>“</w:t>
            </w:r>
            <w:r>
              <w:rPr>
                <w:rFonts w:hint="eastAsia" w:cs="Times New Roman"/>
                <w:snapToGrid w:val="0"/>
                <w:kern w:val="0"/>
                <w:sz w:val="24"/>
                <w:lang w:val="en-US" w:eastAsia="zh-CN"/>
              </w:rPr>
              <w:t>J 非金属矿采选及制品制造</w:t>
            </w:r>
            <w:r>
              <w:rPr>
                <w:rFonts w:hint="eastAsia" w:ascii="Times New Roman" w:hAnsi="Times New Roman" w:cs="Times New Roman"/>
                <w:snapToGrid w:val="0"/>
                <w:kern w:val="0"/>
                <w:sz w:val="24"/>
              </w:rPr>
              <w:t>，</w:t>
            </w:r>
            <w:r>
              <w:rPr>
                <w:rFonts w:hint="eastAsia" w:cs="Times New Roman"/>
                <w:snapToGrid w:val="0"/>
                <w:kern w:val="0"/>
                <w:sz w:val="24"/>
                <w:lang w:val="en-US" w:eastAsia="zh-CN"/>
              </w:rPr>
              <w:t>65</w:t>
            </w:r>
            <w:r>
              <w:rPr>
                <w:rFonts w:hint="eastAsia" w:ascii="Times New Roman" w:hAnsi="Times New Roman" w:cs="Times New Roman"/>
                <w:snapToGrid w:val="0"/>
                <w:kern w:val="0"/>
                <w:sz w:val="24"/>
                <w:lang w:val="en-US" w:eastAsia="zh-CN"/>
              </w:rPr>
              <w:t>、</w:t>
            </w:r>
            <w:r>
              <w:rPr>
                <w:rFonts w:hint="eastAsia" w:cs="Times New Roman"/>
                <w:snapToGrid w:val="0"/>
                <w:kern w:val="0"/>
                <w:sz w:val="24"/>
                <w:lang w:val="en-US" w:eastAsia="zh-CN"/>
              </w:rPr>
              <w:t>玻璃及玻璃制品</w:t>
            </w:r>
            <w:r>
              <w:rPr>
                <w:rFonts w:hint="eastAsia" w:ascii="Times New Roman" w:hAnsi="Times New Roman" w:cs="Times New Roman"/>
                <w:snapToGrid w:val="0"/>
                <w:kern w:val="0"/>
                <w:sz w:val="24"/>
              </w:rPr>
              <w:t>中报告表类别，属于Ⅳ类项目</w:t>
            </w:r>
            <w:r>
              <w:rPr>
                <w:rFonts w:hint="default" w:cs="Times New Roman"/>
                <w:snapToGrid w:val="0"/>
                <w:kern w:val="0"/>
                <w:sz w:val="24"/>
                <w:lang w:val="en-US" w:eastAsia="zh-CN"/>
              </w:rPr>
              <w:t>”</w:t>
            </w:r>
            <w:r>
              <w:rPr>
                <w:rFonts w:hint="eastAsia" w:ascii="Times New Roman" w:hAnsi="Times New Roman" w:cs="Times New Roman"/>
                <w:snapToGrid w:val="0"/>
                <w:kern w:val="0"/>
                <w:sz w:val="24"/>
              </w:rPr>
              <w:t>，根据《环境影响评价技术导则地下水环境（HJ 610-2016）》4.1 一般性原则，Ⅳ类建设项目不开展地下水评价，故本报告不对地下水环境影响进行评价。</w:t>
            </w:r>
          </w:p>
          <w:p>
            <w:pPr>
              <w:tabs>
                <w:tab w:val="left" w:pos="1002"/>
              </w:tabs>
              <w:adjustRightInd w:val="0"/>
              <w:snapToGrid w:val="0"/>
              <w:spacing w:line="360" w:lineRule="auto"/>
              <w:ind w:firstLine="480" w:firstLineChars="200"/>
              <w:rPr>
                <w:sz w:val="24"/>
              </w:rPr>
            </w:pPr>
            <w:r>
              <w:rPr>
                <w:sz w:val="24"/>
              </w:rPr>
              <w:t>为了保护地下水，采取措施从源头上控制对其污染。从设计、管理中防止和减少污染物料的跑、冒、滴、漏而采取的各种措施，主要措施包括工艺、管道、设备、土建、给排水、总图布置等防止污染物泄漏的措施。</w:t>
            </w:r>
          </w:p>
          <w:p>
            <w:pPr>
              <w:pStyle w:val="32"/>
              <w:adjustRightInd w:val="0"/>
              <w:snapToGrid w:val="0"/>
              <w:spacing w:before="0" w:beforeAutospacing="0" w:after="0" w:afterAutospacing="0" w:line="360" w:lineRule="auto"/>
              <w:ind w:firstLine="530" w:firstLineChars="221"/>
              <w:rPr>
                <w:rFonts w:ascii="Times New Roman" w:hAnsi="Times New Roman"/>
                <w:szCs w:val="24"/>
                <w:lang w:val="en-US" w:eastAsia="zh-CN"/>
              </w:rPr>
            </w:pPr>
            <w:r>
              <w:rPr>
                <w:rFonts w:ascii="Times New Roman" w:hAnsi="Times New Roman"/>
                <w:szCs w:val="24"/>
                <w:lang w:val="en-US" w:eastAsia="zh-CN"/>
              </w:rPr>
              <w:t>运行期严格管理，加强巡检，将泄漏的环境风险事故降到最低。</w:t>
            </w:r>
          </w:p>
          <w:p>
            <w:pPr>
              <w:pStyle w:val="32"/>
              <w:adjustRightInd w:val="0"/>
              <w:snapToGrid w:val="0"/>
              <w:spacing w:before="0" w:beforeAutospacing="0" w:after="0" w:afterAutospacing="0" w:line="360" w:lineRule="auto"/>
              <w:ind w:firstLine="530" w:firstLineChars="221"/>
              <w:rPr>
                <w:rFonts w:ascii="Times New Roman" w:hAnsi="Times New Roman"/>
                <w:szCs w:val="24"/>
                <w:lang w:val="en-US" w:eastAsia="zh-CN"/>
              </w:rPr>
            </w:pPr>
            <w:r>
              <w:rPr>
                <w:rFonts w:ascii="Times New Roman" w:hAnsi="Times New Roman"/>
                <w:szCs w:val="24"/>
                <w:lang w:val="en-US" w:eastAsia="zh-CN"/>
              </w:rPr>
              <w:t>针对可能对地下水造成影响的各环节，按照</w:t>
            </w:r>
            <w:r>
              <w:rPr>
                <w:rFonts w:hint="eastAsia" w:ascii="Times New Roman" w:hAnsi="Times New Roman"/>
                <w:szCs w:val="24"/>
                <w:lang w:val="en-US" w:eastAsia="zh-CN"/>
              </w:rPr>
              <w:t>“</w:t>
            </w:r>
            <w:r>
              <w:rPr>
                <w:rFonts w:ascii="Times New Roman" w:hAnsi="Times New Roman"/>
                <w:szCs w:val="24"/>
                <w:lang w:val="en-US" w:eastAsia="zh-CN"/>
              </w:rPr>
              <w:t>考虑重点，辐射全面</w:t>
            </w:r>
            <w:r>
              <w:rPr>
                <w:rFonts w:hint="eastAsia" w:ascii="Times New Roman" w:hAnsi="Times New Roman"/>
                <w:szCs w:val="24"/>
                <w:lang w:val="en-US" w:eastAsia="zh-CN"/>
              </w:rPr>
              <w:t>“</w:t>
            </w:r>
            <w:r>
              <w:rPr>
                <w:rFonts w:ascii="Times New Roman" w:hAnsi="Times New Roman"/>
                <w:szCs w:val="24"/>
                <w:lang w:val="en-US" w:eastAsia="zh-CN"/>
              </w:rPr>
              <w:t>的防腐防渗原则，危废暂存间、液态物料暂存区等设置为一般防渗区，防渗系数小于1×10</w:t>
            </w:r>
            <w:r>
              <w:rPr>
                <w:rFonts w:ascii="Times New Roman" w:hAnsi="Times New Roman"/>
                <w:szCs w:val="24"/>
                <w:vertAlign w:val="superscript"/>
                <w:lang w:val="en-US" w:eastAsia="zh-CN"/>
              </w:rPr>
              <w:t>-7</w:t>
            </w:r>
            <w:r>
              <w:rPr>
                <w:rFonts w:ascii="Times New Roman" w:hAnsi="Times New Roman"/>
                <w:szCs w:val="24"/>
                <w:lang w:val="en-US" w:eastAsia="zh-CN"/>
              </w:rPr>
              <w:t>cm/s，其他其余为简单防渗区。生产装置选择耐腐蚀的设备、管道及阀门，避免废水、废液的跑冒滴漏；固废堆场在做好地面防渗、耐腐蚀处理的同时，需设置隔离设施以及防风、防晒和防雨设施。</w:t>
            </w:r>
          </w:p>
          <w:p>
            <w:pPr>
              <w:adjustRightInd w:val="0"/>
              <w:snapToGrid w:val="0"/>
              <w:spacing w:line="360" w:lineRule="auto"/>
              <w:ind w:firstLine="482" w:firstLineChars="200"/>
            </w:pPr>
            <w:r>
              <w:rPr>
                <w:rFonts w:hint="eastAsia" w:eastAsia="仿宋体"/>
                <w:b/>
                <w:sz w:val="24"/>
              </w:rPr>
              <w:t>综上所述，采取以上污染防治措施后，建设项目对地下水环境影响可得到有效控制。</w:t>
            </w:r>
          </w:p>
          <w:p>
            <w:pPr>
              <w:spacing w:line="360" w:lineRule="auto"/>
              <w:rPr>
                <w:b/>
                <w:bCs/>
                <w:sz w:val="24"/>
              </w:rPr>
            </w:pPr>
          </w:p>
          <w:p>
            <w:pPr>
              <w:spacing w:line="360" w:lineRule="auto"/>
              <w:rPr>
                <w:b/>
                <w:bCs/>
                <w:sz w:val="24"/>
              </w:rPr>
            </w:pPr>
            <w:r>
              <w:rPr>
                <w:b/>
                <w:bCs/>
                <w:sz w:val="24"/>
              </w:rPr>
              <w:t>7</w:t>
            </w:r>
            <w:r>
              <w:rPr>
                <w:rFonts w:hint="eastAsia"/>
                <w:b/>
                <w:bCs/>
                <w:sz w:val="24"/>
              </w:rPr>
              <w:t>、土壤</w:t>
            </w:r>
            <w:r>
              <w:rPr>
                <w:rFonts w:hint="eastAsia"/>
                <w:b/>
                <w:sz w:val="24"/>
              </w:rPr>
              <w:t>环境影响分析</w:t>
            </w:r>
          </w:p>
          <w:p>
            <w:pPr>
              <w:keepNext w:val="0"/>
              <w:keepLines w:val="0"/>
              <w:pageBreakBefore w:val="0"/>
              <w:widowControl/>
              <w:kinsoku/>
              <w:wordWrap/>
              <w:overflowPunct/>
              <w:topLinePunct w:val="0"/>
              <w:autoSpaceDE/>
              <w:autoSpaceDN/>
              <w:bidi w:val="0"/>
              <w:spacing w:line="360" w:lineRule="auto"/>
              <w:ind w:firstLine="480" w:firstLineChars="200"/>
              <w:textAlignment w:val="auto"/>
            </w:pPr>
            <w:r>
              <w:rPr>
                <w:color w:val="000000"/>
                <w:kern w:val="0"/>
                <w:sz w:val="24"/>
                <w:lang w:bidi="ar"/>
              </w:rPr>
              <w:t xml:space="preserve">本项目属于 </w:t>
            </w:r>
            <w:r>
              <w:rPr>
                <w:rFonts w:hint="eastAsia" w:cs="Times New Roman"/>
                <w:bCs w:val="0"/>
                <w:kern w:val="2"/>
                <w:sz w:val="24"/>
                <w:szCs w:val="24"/>
                <w:lang w:val="en-US" w:eastAsia="zh-CN" w:bidi="ar-SA"/>
              </w:rPr>
              <w:t>C3042</w:t>
            </w:r>
            <w:r>
              <w:rPr>
                <w:rFonts w:hint="eastAsia" w:ascii="Times New Roman" w:hAnsi="Times New Roman" w:cs="Times New Roman"/>
                <w:snapToGrid w:val="0"/>
                <w:kern w:val="0"/>
                <w:sz w:val="24"/>
              </w:rPr>
              <w:t>属于</w:t>
            </w:r>
            <w:r>
              <w:rPr>
                <w:rFonts w:hint="eastAsia" w:cs="Times New Roman"/>
                <w:bCs w:val="0"/>
                <w:kern w:val="2"/>
                <w:sz w:val="24"/>
                <w:szCs w:val="24"/>
                <w:lang w:val="en-US" w:eastAsia="zh-CN" w:bidi="ar-SA"/>
              </w:rPr>
              <w:t>特种玻璃制造</w:t>
            </w:r>
            <w:r>
              <w:rPr>
                <w:color w:val="000000"/>
                <w:kern w:val="0"/>
                <w:sz w:val="24"/>
                <w:lang w:bidi="ar"/>
              </w:rPr>
              <w:t>，经查阅《环境影响评价技术导则 土壤环境（试行）》（HJ 964-2018）表 A.1 土壤环境影响评价项目类别。根据项目土壤环境影响类型及影响途径分析，考虑到项目的行业类别，涉及的工艺，对土壤的污染途径和污染程度，判定本项目行业类别为</w:t>
            </w:r>
            <w:r>
              <w:rPr>
                <w:rFonts w:hint="eastAsia"/>
                <w:color w:val="000000"/>
                <w:kern w:val="0"/>
                <w:sz w:val="24"/>
                <w:lang w:eastAsia="zh-CN" w:bidi="ar"/>
              </w:rPr>
              <w:t>“</w:t>
            </w:r>
            <w:r>
              <w:rPr>
                <w:rFonts w:ascii="Times New Roman" w:hAnsi="Times New Roman" w:cs="Times New Roman"/>
                <w:color w:val="000000"/>
                <w:kern w:val="0"/>
                <w:sz w:val="24"/>
                <w:lang w:bidi="ar"/>
              </w:rPr>
              <w:t>其他行业</w:t>
            </w:r>
            <w:r>
              <w:rPr>
                <w:rFonts w:hint="eastAsia" w:ascii="Times New Roman" w:hAnsi="Times New Roman" w:cs="Times New Roman"/>
                <w:color w:val="000000"/>
                <w:kern w:val="0"/>
                <w:sz w:val="24"/>
                <w:lang w:eastAsia="zh-CN" w:bidi="ar"/>
              </w:rPr>
              <w:t>”</w:t>
            </w:r>
            <w:r>
              <w:rPr>
                <w:rFonts w:ascii="Times New Roman" w:hAnsi="Times New Roman" w:cs="Times New Roman"/>
                <w:color w:val="000000"/>
                <w:kern w:val="0"/>
                <w:sz w:val="24"/>
                <w:lang w:bidi="ar"/>
              </w:rPr>
              <w:t>中Ⅳ类别。</w:t>
            </w:r>
            <w:r>
              <w:rPr>
                <w:color w:val="000000"/>
                <w:kern w:val="0"/>
                <w:sz w:val="24"/>
                <w:lang w:bidi="ar"/>
              </w:rPr>
              <w:t xml:space="preserve"> </w:t>
            </w:r>
          </w:p>
          <w:p>
            <w:pPr>
              <w:keepNext w:val="0"/>
              <w:keepLines w:val="0"/>
              <w:pageBreakBefore w:val="0"/>
              <w:widowControl/>
              <w:kinsoku/>
              <w:wordWrap/>
              <w:overflowPunct/>
              <w:topLinePunct w:val="0"/>
              <w:autoSpaceDE/>
              <w:autoSpaceDN/>
              <w:bidi w:val="0"/>
              <w:spacing w:line="360" w:lineRule="auto"/>
              <w:ind w:firstLine="480" w:firstLineChars="200"/>
              <w:textAlignment w:val="auto"/>
              <w:rPr>
                <w:color w:val="000000"/>
                <w:kern w:val="0"/>
                <w:sz w:val="24"/>
                <w:lang w:bidi="ar"/>
              </w:rPr>
            </w:pPr>
            <w:r>
              <w:rPr>
                <w:color w:val="000000"/>
                <w:kern w:val="0"/>
                <w:sz w:val="24"/>
                <w:lang w:bidi="ar"/>
              </w:rPr>
              <w:t>本项目所在地位于</w:t>
            </w:r>
            <w:r>
              <w:rPr>
                <w:sz w:val="24"/>
              </w:rPr>
              <w:t>宜兴市</w:t>
            </w:r>
            <w:r>
              <w:rPr>
                <w:rFonts w:hint="eastAsia"/>
                <w:sz w:val="24"/>
                <w:lang w:eastAsia="zh-CN"/>
              </w:rPr>
              <w:t>高塍镇工业集中区</w:t>
            </w:r>
            <w:r>
              <w:rPr>
                <w:color w:val="000000"/>
                <w:kern w:val="0"/>
                <w:sz w:val="24"/>
                <w:lang w:bidi="ar"/>
              </w:rPr>
              <w:t>，属于工业用地，项目周边无土壤敏感目标，因此本项目所在地周边的土壤环境敏感程度为不敏感。本项目建设项目占地规模≤5hm</w:t>
            </w:r>
            <w:r>
              <w:rPr>
                <w:color w:val="000000"/>
                <w:kern w:val="0"/>
                <w:sz w:val="24"/>
                <w:vertAlign w:val="superscript"/>
                <w:lang w:bidi="ar"/>
              </w:rPr>
              <w:t>2</w:t>
            </w:r>
            <w:r>
              <w:rPr>
                <w:color w:val="000000"/>
                <w:kern w:val="0"/>
                <w:sz w:val="24"/>
                <w:lang w:bidi="ar"/>
              </w:rPr>
              <w:t>。本项目为</w:t>
            </w:r>
            <w:r>
              <w:rPr>
                <w:rFonts w:ascii="Times New Roman" w:hAnsi="Times New Roman" w:cs="Times New Roman"/>
                <w:color w:val="000000"/>
                <w:kern w:val="0"/>
                <w:sz w:val="24"/>
                <w:lang w:bidi="ar"/>
              </w:rPr>
              <w:t>Ⅳ</w:t>
            </w:r>
            <w:r>
              <w:rPr>
                <w:color w:val="000000"/>
                <w:kern w:val="0"/>
                <w:sz w:val="24"/>
                <w:lang w:bidi="ar"/>
              </w:rPr>
              <w:t>类项目，占地规模为小型，敏感程度为不敏感，综上确定项目可不开展土壤环境影响评价工作。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pPr>
            <w:r>
              <w:rPr>
                <w:bCs/>
                <w:sz w:val="24"/>
              </w:rPr>
              <w:t>采取</w:t>
            </w:r>
            <w:r>
              <w:rPr>
                <w:rFonts w:hint="eastAsia"/>
                <w:bCs/>
                <w:sz w:val="24"/>
              </w:rPr>
              <w:t>合理</w:t>
            </w:r>
            <w:r>
              <w:rPr>
                <w:bCs/>
                <w:sz w:val="24"/>
              </w:rPr>
              <w:t>的防渗措施后，建设项目对</w:t>
            </w:r>
            <w:r>
              <w:rPr>
                <w:rFonts w:hint="eastAsia"/>
                <w:bCs/>
                <w:sz w:val="24"/>
              </w:rPr>
              <w:t>土壤</w:t>
            </w:r>
            <w:r>
              <w:rPr>
                <w:bCs/>
                <w:sz w:val="24"/>
              </w:rPr>
              <w:t>环境影响</w:t>
            </w:r>
            <w:r>
              <w:rPr>
                <w:rFonts w:hint="eastAsia"/>
                <w:bCs/>
                <w:sz w:val="24"/>
              </w:rPr>
              <w:t>较小</w:t>
            </w:r>
            <w:r>
              <w:rPr>
                <w:bCs/>
                <w:sz w:val="24"/>
              </w:rPr>
              <w:t>。</w:t>
            </w:r>
          </w:p>
          <w:p>
            <w:pPr>
              <w:spacing w:line="360" w:lineRule="auto"/>
              <w:rPr>
                <w:b/>
                <w:sz w:val="24"/>
              </w:rPr>
            </w:pPr>
            <w:r>
              <w:rPr>
                <w:rFonts w:hint="eastAsia"/>
                <w:b/>
                <w:bCs/>
                <w:sz w:val="24"/>
              </w:rPr>
              <w:t>8、</w:t>
            </w:r>
            <w:r>
              <w:rPr>
                <w:b/>
                <w:sz w:val="24"/>
              </w:rPr>
              <w:t>环境风险评价</w:t>
            </w:r>
          </w:p>
          <w:p>
            <w:pPr>
              <w:autoSpaceDE w:val="0"/>
              <w:autoSpaceDN w:val="0"/>
              <w:spacing w:line="324" w:lineRule="auto"/>
              <w:ind w:right="113" w:firstLine="480" w:firstLineChars="200"/>
              <w:rPr>
                <w:bCs/>
                <w:sz w:val="24"/>
              </w:rPr>
            </w:pPr>
            <w:r>
              <w:rPr>
                <w:bCs/>
                <w:sz w:val="24"/>
              </w:rPr>
              <w:t>根据《建设项目环境风险评价技术导则》（HJ169-2018）附录B本项目危险物质临界量如下：</w:t>
            </w:r>
          </w:p>
          <w:p>
            <w:pPr>
              <w:adjustRightInd w:val="0"/>
              <w:snapToGrid w:val="0"/>
              <w:jc w:val="center"/>
              <w:rPr>
                <w:b/>
                <w:szCs w:val="21"/>
              </w:rPr>
            </w:pPr>
            <w:r>
              <w:rPr>
                <w:b/>
                <w:szCs w:val="21"/>
              </w:rPr>
              <w:t>表4-</w:t>
            </w:r>
            <w:r>
              <w:rPr>
                <w:rFonts w:hint="eastAsia"/>
                <w:b/>
                <w:szCs w:val="21"/>
              </w:rPr>
              <w:t>2</w:t>
            </w:r>
            <w:r>
              <w:rPr>
                <w:rFonts w:hint="eastAsia"/>
                <w:b/>
                <w:szCs w:val="21"/>
                <w:lang w:val="en-US" w:eastAsia="zh-CN"/>
              </w:rPr>
              <w:t>6</w:t>
            </w:r>
            <w:r>
              <w:rPr>
                <w:b/>
                <w:szCs w:val="21"/>
              </w:rPr>
              <w:t xml:space="preserve"> 危险物质数量与临界量比值Q</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84"/>
              <w:gridCol w:w="1464"/>
              <w:gridCol w:w="1469"/>
              <w:gridCol w:w="1265"/>
              <w:gridCol w:w="1875"/>
              <w:gridCol w:w="13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jc w:val="center"/>
              </w:trPr>
              <w:tc>
                <w:tcPr>
                  <w:tcW w:w="684" w:type="dxa"/>
                  <w:tcBorders>
                    <w:top w:val="single" w:color="auto" w:sz="8" w:space="0"/>
                    <w:left w:val="single" w:color="auto" w:sz="8" w:space="0"/>
                    <w:bottom w:val="single" w:color="auto" w:sz="8" w:space="0"/>
                    <w:right w:val="single" w:color="auto" w:sz="8" w:space="0"/>
                  </w:tcBorders>
                  <w:noWrap w:val="0"/>
                  <w:vAlign w:val="center"/>
                </w:tcPr>
                <w:p>
                  <w:pPr>
                    <w:jc w:val="center"/>
                    <w:rPr>
                      <w:b/>
                      <w:bCs/>
                      <w:szCs w:val="21"/>
                    </w:rPr>
                  </w:pPr>
                  <w:r>
                    <w:rPr>
                      <w:b/>
                      <w:bCs/>
                      <w:szCs w:val="21"/>
                    </w:rPr>
                    <w:t>序号</w:t>
                  </w:r>
                </w:p>
              </w:tc>
              <w:tc>
                <w:tcPr>
                  <w:tcW w:w="1464" w:type="dxa"/>
                  <w:tcBorders>
                    <w:top w:val="single" w:color="auto" w:sz="8" w:space="0"/>
                    <w:left w:val="single" w:color="auto" w:sz="8" w:space="0"/>
                    <w:bottom w:val="single" w:color="auto" w:sz="8" w:space="0"/>
                    <w:right w:val="single" w:color="auto" w:sz="8" w:space="0"/>
                  </w:tcBorders>
                  <w:noWrap w:val="0"/>
                  <w:vAlign w:val="center"/>
                </w:tcPr>
                <w:p>
                  <w:pPr>
                    <w:jc w:val="center"/>
                    <w:rPr>
                      <w:b/>
                      <w:bCs/>
                      <w:szCs w:val="21"/>
                    </w:rPr>
                  </w:pPr>
                  <w:r>
                    <w:rPr>
                      <w:b/>
                      <w:bCs/>
                      <w:szCs w:val="21"/>
                    </w:rPr>
                    <w:t>物质名称</w:t>
                  </w:r>
                </w:p>
              </w:tc>
              <w:tc>
                <w:tcPr>
                  <w:tcW w:w="1469" w:type="dxa"/>
                  <w:tcBorders>
                    <w:top w:val="single" w:color="auto" w:sz="8" w:space="0"/>
                    <w:left w:val="single" w:color="auto" w:sz="8" w:space="0"/>
                    <w:bottom w:val="single" w:color="auto" w:sz="8" w:space="0"/>
                    <w:right w:val="single" w:color="auto" w:sz="8" w:space="0"/>
                  </w:tcBorders>
                  <w:noWrap w:val="0"/>
                  <w:vAlign w:val="center"/>
                </w:tcPr>
                <w:p>
                  <w:pPr>
                    <w:jc w:val="center"/>
                    <w:rPr>
                      <w:b/>
                      <w:bCs/>
                      <w:szCs w:val="21"/>
                    </w:rPr>
                  </w:pPr>
                  <w:r>
                    <w:rPr>
                      <w:b/>
                      <w:bCs/>
                      <w:szCs w:val="21"/>
                    </w:rPr>
                    <w:t>辨识依据</w:t>
                  </w:r>
                </w:p>
              </w:tc>
              <w:tc>
                <w:tcPr>
                  <w:tcW w:w="1265" w:type="dxa"/>
                  <w:tcBorders>
                    <w:top w:val="single" w:color="auto" w:sz="8" w:space="0"/>
                    <w:left w:val="single" w:color="auto" w:sz="8" w:space="0"/>
                    <w:bottom w:val="single" w:color="auto" w:sz="8" w:space="0"/>
                    <w:right w:val="single" w:color="auto" w:sz="8" w:space="0"/>
                  </w:tcBorders>
                  <w:noWrap w:val="0"/>
                  <w:vAlign w:val="center"/>
                </w:tcPr>
                <w:p>
                  <w:pPr>
                    <w:jc w:val="center"/>
                    <w:rPr>
                      <w:b/>
                      <w:bCs/>
                      <w:szCs w:val="21"/>
                    </w:rPr>
                  </w:pPr>
                  <w:r>
                    <w:rPr>
                      <w:b/>
                      <w:bCs/>
                      <w:szCs w:val="21"/>
                    </w:rPr>
                    <w:t>临界量</w:t>
                  </w:r>
                </w:p>
              </w:tc>
              <w:tc>
                <w:tcPr>
                  <w:tcW w:w="1875" w:type="dxa"/>
                  <w:tcBorders>
                    <w:top w:val="single" w:color="auto" w:sz="8" w:space="0"/>
                    <w:left w:val="single" w:color="auto" w:sz="8" w:space="0"/>
                    <w:bottom w:val="single" w:color="auto" w:sz="8" w:space="0"/>
                    <w:right w:val="single" w:color="auto" w:sz="8" w:space="0"/>
                  </w:tcBorders>
                  <w:noWrap w:val="0"/>
                  <w:vAlign w:val="center"/>
                </w:tcPr>
                <w:p>
                  <w:pPr>
                    <w:jc w:val="center"/>
                    <w:rPr>
                      <w:b/>
                      <w:bCs/>
                      <w:szCs w:val="21"/>
                    </w:rPr>
                  </w:pPr>
                  <w:r>
                    <w:rPr>
                      <w:b/>
                      <w:bCs/>
                      <w:szCs w:val="21"/>
                    </w:rPr>
                    <w:t>厂区实际贮存量</w:t>
                  </w:r>
                </w:p>
              </w:tc>
              <w:tc>
                <w:tcPr>
                  <w:tcW w:w="1338" w:type="dxa"/>
                  <w:tcBorders>
                    <w:top w:val="single" w:color="auto" w:sz="8" w:space="0"/>
                    <w:left w:val="single" w:color="auto" w:sz="8" w:space="0"/>
                    <w:bottom w:val="single" w:color="auto" w:sz="8" w:space="0"/>
                    <w:right w:val="single" w:color="auto" w:sz="8" w:space="0"/>
                  </w:tcBorders>
                  <w:noWrap w:val="0"/>
                  <w:vAlign w:val="center"/>
                </w:tcPr>
                <w:p>
                  <w:pPr>
                    <w:jc w:val="center"/>
                    <w:rPr>
                      <w:b/>
                      <w:bCs/>
                      <w:szCs w:val="21"/>
                    </w:rPr>
                  </w:pPr>
                  <w:r>
                    <w:rPr>
                      <w:b/>
                      <w:bCs/>
                      <w:szCs w:val="21"/>
                    </w:rPr>
                    <w:t>q/Q</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 w:hRule="atLeast"/>
                <w:jc w:val="center"/>
              </w:trPr>
              <w:tc>
                <w:tcPr>
                  <w:tcW w:w="68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eastAsia="宋体"/>
                      <w:szCs w:val="21"/>
                      <w:lang w:eastAsia="zh-CN"/>
                    </w:rPr>
                  </w:pPr>
                  <w:r>
                    <w:rPr>
                      <w:rFonts w:hint="eastAsia"/>
                      <w:szCs w:val="21"/>
                      <w:lang w:val="en-US" w:eastAsia="zh-CN"/>
                    </w:rPr>
                    <w:t>1</w:t>
                  </w:r>
                </w:p>
              </w:tc>
              <w:tc>
                <w:tcPr>
                  <w:tcW w:w="1464" w:type="dxa"/>
                  <w:tcBorders>
                    <w:top w:val="single" w:color="auto" w:sz="8" w:space="0"/>
                    <w:left w:val="single" w:color="auto" w:sz="8" w:space="0"/>
                    <w:bottom w:val="single" w:color="auto" w:sz="8" w:space="0"/>
                    <w:right w:val="single" w:color="auto" w:sz="8" w:space="0"/>
                  </w:tcBorders>
                  <w:noWrap w:val="0"/>
                  <w:vAlign w:val="center"/>
                </w:tcPr>
                <w:p>
                  <w:pPr>
                    <w:adjustRightInd w:val="0"/>
                    <w:jc w:val="center"/>
                    <w:rPr>
                      <w:rFonts w:hint="eastAsia"/>
                      <w:szCs w:val="21"/>
                    </w:rPr>
                  </w:pPr>
                  <w:r>
                    <w:rPr>
                      <w:rFonts w:hint="eastAsia"/>
                      <w:szCs w:val="21"/>
                    </w:rPr>
                    <w:t>废活性炭</w:t>
                  </w:r>
                </w:p>
              </w:tc>
              <w:tc>
                <w:tcPr>
                  <w:tcW w:w="1469" w:type="dxa"/>
                  <w:tcBorders>
                    <w:left w:val="single" w:color="auto" w:sz="8" w:space="0"/>
                    <w:right w:val="single" w:color="auto" w:sz="8" w:space="0"/>
                  </w:tcBorders>
                  <w:noWrap w:val="0"/>
                  <w:vAlign w:val="center"/>
                </w:tcPr>
                <w:p>
                  <w:pPr>
                    <w:jc w:val="center"/>
                    <w:rPr>
                      <w:szCs w:val="21"/>
                    </w:rPr>
                  </w:pPr>
                  <w:r>
                    <w:rPr>
                      <w:bCs/>
                      <w:snapToGrid w:val="0"/>
                      <w:kern w:val="0"/>
                      <w:sz w:val="22"/>
                      <w:szCs w:val="21"/>
                    </w:rPr>
                    <w:t>HJ169-2018</w:t>
                  </w:r>
                </w:p>
              </w:tc>
              <w:tc>
                <w:tcPr>
                  <w:tcW w:w="1265" w:type="dxa"/>
                  <w:tcBorders>
                    <w:top w:val="single" w:color="auto" w:sz="8" w:space="0"/>
                    <w:left w:val="single" w:color="auto" w:sz="8" w:space="0"/>
                    <w:bottom w:val="single" w:color="auto" w:sz="8" w:space="0"/>
                    <w:right w:val="single" w:color="auto" w:sz="8" w:space="0"/>
                  </w:tcBorders>
                  <w:noWrap w:val="0"/>
                  <w:vAlign w:val="center"/>
                </w:tcPr>
                <w:p>
                  <w:pPr>
                    <w:jc w:val="center"/>
                    <w:rPr>
                      <w:szCs w:val="21"/>
                    </w:rPr>
                  </w:pPr>
                  <w:r>
                    <w:rPr>
                      <w:szCs w:val="21"/>
                    </w:rPr>
                    <w:t>50t</w:t>
                  </w:r>
                </w:p>
              </w:tc>
              <w:tc>
                <w:tcPr>
                  <w:tcW w:w="1875" w:type="dxa"/>
                  <w:tcBorders>
                    <w:top w:val="single" w:color="auto" w:sz="8" w:space="0"/>
                    <w:left w:val="single" w:color="auto" w:sz="8" w:space="0"/>
                    <w:bottom w:val="single" w:color="auto" w:sz="8" w:space="0"/>
                    <w:right w:val="single" w:color="auto" w:sz="8" w:space="0"/>
                  </w:tcBorders>
                  <w:noWrap w:val="0"/>
                  <w:vAlign w:val="center"/>
                </w:tcPr>
                <w:p>
                  <w:pPr>
                    <w:adjustRightInd w:val="0"/>
                    <w:jc w:val="center"/>
                    <w:rPr>
                      <w:rFonts w:hint="default" w:eastAsia="宋体"/>
                      <w:szCs w:val="21"/>
                      <w:lang w:val="en-US" w:eastAsia="zh-CN"/>
                    </w:rPr>
                  </w:pPr>
                  <w:r>
                    <w:rPr>
                      <w:rFonts w:hint="eastAsia"/>
                      <w:szCs w:val="21"/>
                      <w:lang w:val="en-US" w:eastAsia="zh-CN"/>
                    </w:rPr>
                    <w:t>3.67t</w:t>
                  </w:r>
                </w:p>
              </w:tc>
              <w:tc>
                <w:tcPr>
                  <w:tcW w:w="1338" w:type="dxa"/>
                  <w:tcBorders>
                    <w:top w:val="single" w:color="auto" w:sz="8" w:space="0"/>
                    <w:left w:val="single" w:color="auto" w:sz="8" w:space="0"/>
                    <w:bottom w:val="single" w:color="auto" w:sz="8" w:space="0"/>
                    <w:right w:val="single" w:color="auto" w:sz="8" w:space="0"/>
                  </w:tcBorders>
                  <w:noWrap w:val="0"/>
                  <w:vAlign w:val="center"/>
                </w:tcPr>
                <w:p>
                  <w:pPr>
                    <w:jc w:val="center"/>
                    <w:rPr>
                      <w:rFonts w:hint="default" w:eastAsia="宋体"/>
                      <w:szCs w:val="21"/>
                      <w:lang w:val="en-US" w:eastAsia="zh-CN"/>
                    </w:rPr>
                  </w:pPr>
                  <w:r>
                    <w:rPr>
                      <w:rFonts w:hint="eastAsia"/>
                      <w:szCs w:val="21"/>
                      <w:lang w:val="en-US" w:eastAsia="zh-CN"/>
                    </w:rPr>
                    <w:t>0.073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757" w:type="dxa"/>
                  <w:gridSpan w:val="5"/>
                  <w:tcBorders>
                    <w:top w:val="single" w:color="auto" w:sz="8" w:space="0"/>
                    <w:left w:val="single" w:color="auto" w:sz="8" w:space="0"/>
                    <w:bottom w:val="single" w:color="auto" w:sz="8" w:space="0"/>
                    <w:right w:val="single" w:color="auto" w:sz="8" w:space="0"/>
                  </w:tcBorders>
                  <w:noWrap w:val="0"/>
                  <w:vAlign w:val="center"/>
                </w:tcPr>
                <w:p>
                  <w:pPr>
                    <w:jc w:val="center"/>
                    <w:rPr>
                      <w:szCs w:val="21"/>
                    </w:rPr>
                  </w:pPr>
                  <w:r>
                    <w:rPr>
                      <w:szCs w:val="21"/>
                    </w:rPr>
                    <w:t>合计</w:t>
                  </w:r>
                </w:p>
              </w:tc>
              <w:tc>
                <w:tcPr>
                  <w:tcW w:w="1338" w:type="dxa"/>
                  <w:tcBorders>
                    <w:top w:val="single" w:color="auto" w:sz="8" w:space="0"/>
                    <w:left w:val="single" w:color="auto" w:sz="8" w:space="0"/>
                    <w:bottom w:val="single" w:color="auto" w:sz="8" w:space="0"/>
                    <w:right w:val="single" w:color="auto" w:sz="8" w:space="0"/>
                  </w:tcBorders>
                  <w:noWrap w:val="0"/>
                  <w:vAlign w:val="center"/>
                </w:tcPr>
                <w:p>
                  <w:pPr>
                    <w:jc w:val="center"/>
                    <w:rPr>
                      <w:rFonts w:hint="default" w:eastAsia="宋体"/>
                      <w:szCs w:val="21"/>
                      <w:lang w:val="en-US" w:eastAsia="zh-CN"/>
                    </w:rPr>
                  </w:pPr>
                  <w:r>
                    <w:rPr>
                      <w:rFonts w:hint="eastAsia"/>
                      <w:szCs w:val="21"/>
                      <w:lang w:val="en-US" w:eastAsia="zh-CN"/>
                    </w:rPr>
                    <w:t>0.073</w:t>
                  </w:r>
                </w:p>
              </w:tc>
            </w:tr>
          </w:tbl>
          <w:p>
            <w:pPr>
              <w:autoSpaceDE w:val="0"/>
              <w:autoSpaceDN w:val="0"/>
              <w:spacing w:line="324" w:lineRule="auto"/>
              <w:ind w:right="113" w:firstLine="480" w:firstLineChars="200"/>
              <w:rPr>
                <w:bCs/>
                <w:sz w:val="24"/>
              </w:rPr>
            </w:pPr>
            <w:r>
              <w:rPr>
                <w:bCs/>
                <w:sz w:val="24"/>
              </w:rPr>
              <w:t>经识别，本项目Q值=</w:t>
            </w:r>
            <w:r>
              <w:rPr>
                <w:rFonts w:hint="eastAsia"/>
                <w:bCs/>
                <w:sz w:val="24"/>
                <w:lang w:val="en-US" w:eastAsia="zh-CN"/>
              </w:rPr>
              <w:t>0.073</w:t>
            </w:r>
            <w:r>
              <w:rPr>
                <w:bCs/>
                <w:sz w:val="24"/>
              </w:rPr>
              <w:t>＜1，该项目不需专项评价。</w:t>
            </w:r>
          </w:p>
          <w:p>
            <w:pPr>
              <w:autoSpaceDE w:val="0"/>
              <w:autoSpaceDN w:val="0"/>
              <w:spacing w:line="324" w:lineRule="auto"/>
              <w:ind w:right="113" w:firstLine="480" w:firstLineChars="200"/>
              <w:rPr>
                <w:bCs/>
                <w:sz w:val="24"/>
              </w:rPr>
            </w:pPr>
            <w:r>
              <w:rPr>
                <w:bCs/>
                <w:sz w:val="24"/>
              </w:rPr>
              <w:t>本项目涉及的危险物质分布情况、可能影响途径及相应环境风险防范措施见下表。</w:t>
            </w:r>
          </w:p>
          <w:p>
            <w:pPr>
              <w:autoSpaceDE w:val="0"/>
              <w:autoSpaceDN w:val="0"/>
              <w:spacing w:line="324" w:lineRule="auto"/>
              <w:ind w:right="113" w:firstLine="422" w:firstLineChars="200"/>
              <w:jc w:val="center"/>
              <w:rPr>
                <w:b/>
                <w:kern w:val="0"/>
                <w:szCs w:val="21"/>
              </w:rPr>
            </w:pPr>
            <w:r>
              <w:rPr>
                <w:b/>
                <w:kern w:val="0"/>
                <w:szCs w:val="21"/>
              </w:rPr>
              <w:t>表4-</w:t>
            </w:r>
            <w:r>
              <w:rPr>
                <w:rFonts w:hint="eastAsia"/>
                <w:b/>
                <w:kern w:val="0"/>
                <w:szCs w:val="21"/>
              </w:rPr>
              <w:t>2</w:t>
            </w:r>
            <w:r>
              <w:rPr>
                <w:rFonts w:hint="eastAsia"/>
                <w:b/>
                <w:kern w:val="0"/>
                <w:szCs w:val="21"/>
                <w:lang w:val="en-US" w:eastAsia="zh-CN"/>
              </w:rPr>
              <w:t>7</w:t>
            </w:r>
            <w:r>
              <w:rPr>
                <w:b/>
                <w:kern w:val="0"/>
                <w:szCs w:val="21"/>
              </w:rPr>
              <w:t xml:space="preserve"> 本项目涉及的危险物质分布情况及污染途径</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1198"/>
              <w:gridCol w:w="1072"/>
              <w:gridCol w:w="1325"/>
              <w:gridCol w:w="1140"/>
              <w:gridCol w:w="1153"/>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612" w:type="dxa"/>
                  <w:noWrap w:val="0"/>
                  <w:vAlign w:val="center"/>
                </w:tcPr>
                <w:p>
                  <w:pPr>
                    <w:autoSpaceDE w:val="0"/>
                    <w:autoSpaceDN w:val="0"/>
                    <w:spacing w:line="300" w:lineRule="exact"/>
                    <w:jc w:val="center"/>
                    <w:rPr>
                      <w:b/>
                      <w:szCs w:val="21"/>
                    </w:rPr>
                  </w:pPr>
                  <w:r>
                    <w:rPr>
                      <w:b/>
                      <w:szCs w:val="21"/>
                    </w:rPr>
                    <w:t>序号</w:t>
                  </w:r>
                </w:p>
              </w:tc>
              <w:tc>
                <w:tcPr>
                  <w:tcW w:w="1198" w:type="dxa"/>
                  <w:noWrap w:val="0"/>
                  <w:vAlign w:val="center"/>
                </w:tcPr>
                <w:p>
                  <w:pPr>
                    <w:autoSpaceDE w:val="0"/>
                    <w:autoSpaceDN w:val="0"/>
                    <w:spacing w:line="300" w:lineRule="exact"/>
                    <w:jc w:val="center"/>
                    <w:rPr>
                      <w:b/>
                      <w:szCs w:val="21"/>
                    </w:rPr>
                  </w:pPr>
                  <w:r>
                    <w:rPr>
                      <w:b/>
                      <w:szCs w:val="21"/>
                    </w:rPr>
                    <w:t>危险物质分布情况</w:t>
                  </w:r>
                </w:p>
              </w:tc>
              <w:tc>
                <w:tcPr>
                  <w:tcW w:w="1072" w:type="dxa"/>
                  <w:noWrap w:val="0"/>
                  <w:vAlign w:val="center"/>
                </w:tcPr>
                <w:p>
                  <w:pPr>
                    <w:autoSpaceDE w:val="0"/>
                    <w:autoSpaceDN w:val="0"/>
                    <w:spacing w:line="300" w:lineRule="exact"/>
                    <w:jc w:val="center"/>
                    <w:rPr>
                      <w:b/>
                      <w:szCs w:val="21"/>
                    </w:rPr>
                  </w:pPr>
                  <w:r>
                    <w:rPr>
                      <w:b/>
                      <w:szCs w:val="21"/>
                    </w:rPr>
                    <w:t>风险源</w:t>
                  </w:r>
                </w:p>
              </w:tc>
              <w:tc>
                <w:tcPr>
                  <w:tcW w:w="1325" w:type="dxa"/>
                  <w:noWrap w:val="0"/>
                  <w:vAlign w:val="center"/>
                </w:tcPr>
                <w:p>
                  <w:pPr>
                    <w:autoSpaceDE w:val="0"/>
                    <w:autoSpaceDN w:val="0"/>
                    <w:spacing w:line="300" w:lineRule="exact"/>
                    <w:jc w:val="center"/>
                    <w:rPr>
                      <w:b/>
                      <w:szCs w:val="21"/>
                    </w:rPr>
                  </w:pPr>
                  <w:r>
                    <w:rPr>
                      <w:b/>
                      <w:szCs w:val="21"/>
                    </w:rPr>
                    <w:t>主要危险物质</w:t>
                  </w:r>
                </w:p>
              </w:tc>
              <w:tc>
                <w:tcPr>
                  <w:tcW w:w="1140" w:type="dxa"/>
                  <w:noWrap w:val="0"/>
                  <w:vAlign w:val="center"/>
                </w:tcPr>
                <w:p>
                  <w:pPr>
                    <w:autoSpaceDE w:val="0"/>
                    <w:autoSpaceDN w:val="0"/>
                    <w:spacing w:line="300" w:lineRule="exact"/>
                    <w:jc w:val="center"/>
                    <w:rPr>
                      <w:b/>
                      <w:szCs w:val="21"/>
                    </w:rPr>
                  </w:pPr>
                  <w:r>
                    <w:rPr>
                      <w:b/>
                      <w:szCs w:val="21"/>
                    </w:rPr>
                    <w:t>环境风险类型</w:t>
                  </w:r>
                </w:p>
              </w:tc>
              <w:tc>
                <w:tcPr>
                  <w:tcW w:w="1153" w:type="dxa"/>
                  <w:noWrap w:val="0"/>
                  <w:vAlign w:val="center"/>
                </w:tcPr>
                <w:p>
                  <w:pPr>
                    <w:autoSpaceDE w:val="0"/>
                    <w:autoSpaceDN w:val="0"/>
                    <w:spacing w:line="300" w:lineRule="exact"/>
                    <w:jc w:val="center"/>
                    <w:rPr>
                      <w:b/>
                      <w:szCs w:val="21"/>
                    </w:rPr>
                  </w:pPr>
                  <w:r>
                    <w:rPr>
                      <w:b/>
                      <w:szCs w:val="21"/>
                    </w:rPr>
                    <w:t>环境影响途径</w:t>
                  </w:r>
                </w:p>
              </w:tc>
              <w:tc>
                <w:tcPr>
                  <w:tcW w:w="1602" w:type="dxa"/>
                  <w:noWrap w:val="0"/>
                  <w:vAlign w:val="center"/>
                </w:tcPr>
                <w:p>
                  <w:pPr>
                    <w:autoSpaceDE w:val="0"/>
                    <w:autoSpaceDN w:val="0"/>
                    <w:spacing w:line="300" w:lineRule="exact"/>
                    <w:jc w:val="center"/>
                    <w:rPr>
                      <w:b/>
                      <w:szCs w:val="21"/>
                    </w:rPr>
                  </w:pPr>
                  <w:r>
                    <w:rPr>
                      <w:b/>
                      <w:szCs w:val="21"/>
                    </w:rPr>
                    <w:t>可能受影响的环 境敏感目标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12" w:type="dxa"/>
                  <w:noWrap w:val="0"/>
                  <w:vAlign w:val="center"/>
                </w:tcPr>
                <w:p>
                  <w:pPr>
                    <w:autoSpaceDE w:val="0"/>
                    <w:autoSpaceDN w:val="0"/>
                    <w:spacing w:line="300" w:lineRule="exact"/>
                    <w:jc w:val="center"/>
                    <w:rPr>
                      <w:rFonts w:hint="eastAsia" w:eastAsia="宋体"/>
                      <w:bCs/>
                      <w:szCs w:val="21"/>
                      <w:lang w:eastAsia="zh-CN"/>
                    </w:rPr>
                  </w:pPr>
                  <w:r>
                    <w:rPr>
                      <w:rFonts w:hint="eastAsia"/>
                      <w:bCs/>
                      <w:szCs w:val="21"/>
                      <w:lang w:val="en-US" w:eastAsia="zh-CN"/>
                    </w:rPr>
                    <w:t>1</w:t>
                  </w:r>
                </w:p>
              </w:tc>
              <w:tc>
                <w:tcPr>
                  <w:tcW w:w="1198" w:type="dxa"/>
                  <w:noWrap w:val="0"/>
                  <w:vAlign w:val="center"/>
                </w:tcPr>
                <w:p>
                  <w:pPr>
                    <w:autoSpaceDE w:val="0"/>
                    <w:autoSpaceDN w:val="0"/>
                    <w:spacing w:line="300" w:lineRule="exact"/>
                    <w:jc w:val="center"/>
                    <w:rPr>
                      <w:rFonts w:hint="eastAsia"/>
                      <w:bCs/>
                      <w:szCs w:val="21"/>
                    </w:rPr>
                  </w:pPr>
                  <w:r>
                    <w:rPr>
                      <w:bCs/>
                      <w:szCs w:val="21"/>
                    </w:rPr>
                    <w:t>危废仓库</w:t>
                  </w:r>
                </w:p>
              </w:tc>
              <w:tc>
                <w:tcPr>
                  <w:tcW w:w="1072" w:type="dxa"/>
                  <w:noWrap w:val="0"/>
                  <w:vAlign w:val="center"/>
                </w:tcPr>
                <w:p>
                  <w:pPr>
                    <w:autoSpaceDE w:val="0"/>
                    <w:autoSpaceDN w:val="0"/>
                    <w:spacing w:line="300" w:lineRule="exact"/>
                    <w:jc w:val="center"/>
                    <w:rPr>
                      <w:bCs/>
                      <w:szCs w:val="21"/>
                    </w:rPr>
                  </w:pPr>
                  <w:r>
                    <w:rPr>
                      <w:bCs/>
                      <w:szCs w:val="21"/>
                    </w:rPr>
                    <w:t>危险废物</w:t>
                  </w:r>
                </w:p>
              </w:tc>
              <w:tc>
                <w:tcPr>
                  <w:tcW w:w="1325" w:type="dxa"/>
                  <w:noWrap w:val="0"/>
                  <w:vAlign w:val="center"/>
                </w:tcPr>
                <w:p>
                  <w:pPr>
                    <w:autoSpaceDE w:val="0"/>
                    <w:autoSpaceDN w:val="0"/>
                    <w:spacing w:line="300" w:lineRule="exact"/>
                    <w:jc w:val="center"/>
                    <w:rPr>
                      <w:bCs/>
                      <w:szCs w:val="21"/>
                    </w:rPr>
                  </w:pPr>
                  <w:r>
                    <w:rPr>
                      <w:rFonts w:hint="eastAsia"/>
                      <w:bCs/>
                      <w:szCs w:val="21"/>
                    </w:rPr>
                    <w:t>废活性炭</w:t>
                  </w:r>
                </w:p>
              </w:tc>
              <w:tc>
                <w:tcPr>
                  <w:tcW w:w="1140" w:type="dxa"/>
                  <w:noWrap w:val="0"/>
                  <w:vAlign w:val="center"/>
                </w:tcPr>
                <w:p>
                  <w:pPr>
                    <w:autoSpaceDE w:val="0"/>
                    <w:autoSpaceDN w:val="0"/>
                    <w:spacing w:line="300" w:lineRule="exact"/>
                    <w:jc w:val="center"/>
                    <w:rPr>
                      <w:rFonts w:hint="eastAsia" w:eastAsia="宋体"/>
                      <w:bCs/>
                      <w:szCs w:val="21"/>
                      <w:lang w:eastAsia="zh-CN"/>
                    </w:rPr>
                  </w:pPr>
                  <w:r>
                    <w:rPr>
                      <w:bCs/>
                      <w:szCs w:val="21"/>
                    </w:rPr>
                    <w:t>泄漏</w:t>
                  </w:r>
                  <w:r>
                    <w:rPr>
                      <w:rFonts w:hint="eastAsia"/>
                      <w:bCs/>
                      <w:szCs w:val="21"/>
                    </w:rPr>
                    <w:t>、燃烧</w:t>
                  </w:r>
                </w:p>
              </w:tc>
              <w:tc>
                <w:tcPr>
                  <w:tcW w:w="1153" w:type="dxa"/>
                  <w:noWrap w:val="0"/>
                  <w:vAlign w:val="center"/>
                </w:tcPr>
                <w:p>
                  <w:pPr>
                    <w:autoSpaceDE w:val="0"/>
                    <w:autoSpaceDN w:val="0"/>
                    <w:spacing w:line="300" w:lineRule="exact"/>
                    <w:jc w:val="center"/>
                    <w:rPr>
                      <w:rFonts w:hint="eastAsia" w:eastAsia="宋体"/>
                      <w:bCs/>
                      <w:szCs w:val="21"/>
                      <w:lang w:eastAsia="zh-CN"/>
                    </w:rPr>
                  </w:pPr>
                  <w:r>
                    <w:rPr>
                      <w:bCs/>
                      <w:szCs w:val="21"/>
                    </w:rPr>
                    <w:t>水环境、</w:t>
                  </w:r>
                  <w:r>
                    <w:rPr>
                      <w:rFonts w:hint="eastAsia"/>
                      <w:bCs/>
                      <w:szCs w:val="21"/>
                      <w:lang w:eastAsia="zh-CN"/>
                    </w:rPr>
                    <w:t>大气环境</w:t>
                  </w:r>
                </w:p>
              </w:tc>
              <w:tc>
                <w:tcPr>
                  <w:tcW w:w="1602" w:type="dxa"/>
                  <w:noWrap w:val="0"/>
                  <w:vAlign w:val="center"/>
                </w:tcPr>
                <w:p>
                  <w:pPr>
                    <w:autoSpaceDE w:val="0"/>
                    <w:autoSpaceDN w:val="0"/>
                    <w:spacing w:line="300" w:lineRule="exact"/>
                    <w:jc w:val="center"/>
                    <w:rPr>
                      <w:rFonts w:hint="eastAsia" w:eastAsia="宋体"/>
                      <w:bCs/>
                      <w:szCs w:val="21"/>
                      <w:lang w:eastAsia="zh-CN"/>
                    </w:rPr>
                  </w:pPr>
                  <w:r>
                    <w:rPr>
                      <w:bCs/>
                      <w:szCs w:val="21"/>
                    </w:rPr>
                    <w:t>周边</w:t>
                  </w:r>
                  <w:r>
                    <w:rPr>
                      <w:rFonts w:hint="eastAsia"/>
                      <w:bCs/>
                      <w:szCs w:val="21"/>
                      <w:lang w:eastAsia="zh-CN"/>
                    </w:rPr>
                    <w:t>大气环境</w:t>
                  </w:r>
                  <w:r>
                    <w:rPr>
                      <w:bCs/>
                      <w:szCs w:val="21"/>
                    </w:rPr>
                    <w:t>及</w:t>
                  </w:r>
                  <w:r>
                    <w:rPr>
                      <w:rFonts w:hint="eastAsia"/>
                      <w:bCs/>
                      <w:szCs w:val="21"/>
                      <w:lang w:eastAsia="zh-CN"/>
                    </w:rPr>
                    <w:t>水环境</w:t>
                  </w:r>
                </w:p>
              </w:tc>
            </w:tr>
          </w:tbl>
          <w:p>
            <w:pPr>
              <w:adjustRightInd w:val="0"/>
              <w:snapToGrid w:val="0"/>
              <w:spacing w:before="120" w:beforeLines="50" w:line="360" w:lineRule="auto"/>
              <w:ind w:left="442"/>
              <w:jc w:val="left"/>
              <w:rPr>
                <w:kern w:val="0"/>
                <w:sz w:val="24"/>
                <w:szCs w:val="22"/>
              </w:rPr>
            </w:pPr>
            <w:r>
              <w:rPr>
                <w:kern w:val="0"/>
                <w:sz w:val="24"/>
                <w:szCs w:val="22"/>
              </w:rPr>
              <w:t>环境风险防范措施：</w:t>
            </w:r>
          </w:p>
          <w:p>
            <w:pPr>
              <w:adjustRightInd w:val="0"/>
              <w:snapToGrid w:val="0"/>
              <w:spacing w:line="360" w:lineRule="auto"/>
              <w:ind w:firstLine="480" w:firstLineChars="200"/>
              <w:jc w:val="left"/>
              <w:rPr>
                <w:kern w:val="0"/>
                <w:sz w:val="24"/>
                <w:szCs w:val="22"/>
              </w:rPr>
            </w:pPr>
            <w:r>
              <w:rPr>
                <w:kern w:val="0"/>
                <w:sz w:val="24"/>
                <w:szCs w:val="22"/>
              </w:rPr>
              <w:t>①原材料储运过程的安全防护措施</w:t>
            </w:r>
          </w:p>
          <w:p>
            <w:pPr>
              <w:spacing w:line="360" w:lineRule="auto"/>
              <w:ind w:firstLine="439" w:firstLineChars="183"/>
              <w:jc w:val="left"/>
              <w:rPr>
                <w:kern w:val="0"/>
                <w:sz w:val="24"/>
                <w:szCs w:val="22"/>
              </w:rPr>
            </w:pPr>
            <w:r>
              <w:rPr>
                <w:kern w:val="0"/>
                <w:sz w:val="24"/>
                <w:szCs w:val="22"/>
              </w:rPr>
              <w:t>制定运输规章制度，运输车辆专人专车专用；运输人员必须接受过有关法律、法规、规章和安全知识、专业技术、职业卫生防护和应急救援知识的培训，并应具备各种事故的应急处理能力；合理计划运输路线及运输时间，尽量远离人群集中地、基本农田保护区、饮用水源保护区等环境敏感区。</w:t>
            </w:r>
          </w:p>
          <w:p>
            <w:pPr>
              <w:spacing w:line="360" w:lineRule="auto"/>
              <w:ind w:firstLine="439" w:firstLineChars="183"/>
              <w:jc w:val="left"/>
              <w:rPr>
                <w:kern w:val="0"/>
                <w:sz w:val="24"/>
                <w:szCs w:val="22"/>
              </w:rPr>
            </w:pPr>
            <w:r>
              <w:rPr>
                <w:kern w:val="0"/>
                <w:sz w:val="24"/>
                <w:szCs w:val="22"/>
              </w:rPr>
              <w:t>②火灾事故防范措施</w:t>
            </w:r>
          </w:p>
          <w:p>
            <w:pPr>
              <w:autoSpaceDE w:val="0"/>
              <w:autoSpaceDN w:val="0"/>
              <w:spacing w:line="360" w:lineRule="auto"/>
              <w:ind w:right="113" w:firstLine="480" w:firstLineChars="200"/>
              <w:rPr>
                <w:sz w:val="24"/>
              </w:rPr>
            </w:pPr>
            <w:r>
              <w:rPr>
                <w:sz w:val="24"/>
              </w:rPr>
              <w:t>厂区内设置干粉型或泡沫型灭火器，消防栓等消防设施。厂区内严禁烟火，设严禁烟火告示牌，严禁携带易燃、易爆物品进入作业场所。一旦发生火灾事故，应采取以下措施：a.发现起火时应首先判明起火的部位和燃烧的物质，立即就地报警，通知消防部门灭火救援。b.指挥现场人员疏散，减少人员伤亡。同时组织人员，封锁现场，组织消防设备和力量进行灭火、抢救伤员作业。c.及时通知有关环保、安全管理部门等配合行动。d.进行环境监测，对造成的污染采取必要的措施加以消除。</w:t>
            </w:r>
          </w:p>
          <w:p>
            <w:pPr>
              <w:spacing w:line="360" w:lineRule="auto"/>
              <w:ind w:firstLine="480" w:firstLineChars="200"/>
              <w:jc w:val="left"/>
              <w:rPr>
                <w:kern w:val="0"/>
                <w:sz w:val="24"/>
                <w:szCs w:val="22"/>
              </w:rPr>
            </w:pPr>
            <w:r>
              <w:rPr>
                <w:kern w:val="0"/>
                <w:sz w:val="24"/>
                <w:szCs w:val="22"/>
              </w:rPr>
              <w:t>③污染治理设施失效防治对策</w:t>
            </w:r>
          </w:p>
          <w:p>
            <w:pPr>
              <w:spacing w:line="360" w:lineRule="auto"/>
              <w:ind w:firstLine="480" w:firstLineChars="200"/>
              <w:jc w:val="left"/>
              <w:rPr>
                <w:kern w:val="0"/>
                <w:sz w:val="24"/>
                <w:szCs w:val="22"/>
              </w:rPr>
            </w:pPr>
            <w:r>
              <w:rPr>
                <w:kern w:val="0"/>
                <w:sz w:val="24"/>
                <w:szCs w:val="22"/>
              </w:rPr>
              <w:t>活性炭吸附有机废气是一种较好的处理技术，但是活性炭吸附处理效率随着吸附量的增加会变小，最终失去处理效率，需定期更换活性炭，否则会导致整个废气系统的瘫痪，成为摆设。除了应加强管理，定期监测和检修，以确保污染治理设施正常运转外，建议采取如下措施：a.加强对废气治理设备的管理和维修，定时更换活性炭，严格杜绝废气系统的瘫痪的事故发生。b.如废气治理设施失效，应立即停止相应生产，并进行及时修理。</w:t>
            </w:r>
          </w:p>
          <w:p>
            <w:pPr>
              <w:spacing w:line="360" w:lineRule="auto"/>
              <w:ind w:firstLine="480" w:firstLineChars="200"/>
              <w:rPr>
                <w:kern w:val="0"/>
                <w:sz w:val="24"/>
                <w:szCs w:val="22"/>
              </w:rPr>
            </w:pPr>
            <w:r>
              <w:rPr>
                <w:kern w:val="0"/>
                <w:sz w:val="24"/>
                <w:szCs w:val="22"/>
              </w:rPr>
              <w:t>综上，</w:t>
            </w:r>
            <w:r>
              <w:rPr>
                <w:rFonts w:hint="eastAsia"/>
                <w:kern w:val="0"/>
                <w:sz w:val="24"/>
                <w:szCs w:val="22"/>
              </w:rPr>
              <w:t>本环评要求企业按相关规定要求编制环境突发事件应急预案，建设事故废水应急池，配备应急物资，进行应急演练。建立常态化的企业隐患排查整治监管机制。</w:t>
            </w:r>
            <w:r>
              <w:rPr>
                <w:kern w:val="0"/>
                <w:sz w:val="24"/>
                <w:szCs w:val="22"/>
              </w:rPr>
              <w:t>本项目运营期间需要注意的环境风险主要包括火灾、爆炸、环保设施失效等。企业在采取本评价提出的风险防范措施后，本项目的环境风险是可以接受的。</w:t>
            </w:r>
          </w:p>
          <w:p>
            <w:pPr>
              <w:numPr>
                <w:ilvl w:val="0"/>
                <w:numId w:val="7"/>
              </w:numPr>
              <w:spacing w:line="360" w:lineRule="auto"/>
              <w:rPr>
                <w:b/>
                <w:sz w:val="24"/>
              </w:rPr>
            </w:pPr>
            <w:r>
              <w:rPr>
                <w:rFonts w:hint="eastAsia"/>
                <w:b/>
                <w:sz w:val="24"/>
              </w:rPr>
              <w:t>排污口规范化设置</w:t>
            </w:r>
          </w:p>
          <w:p>
            <w:pPr>
              <w:widowControl/>
              <w:spacing w:line="360" w:lineRule="auto"/>
              <w:ind w:firstLine="480" w:firstLineChars="200"/>
            </w:pPr>
            <w:r>
              <w:rPr>
                <w:color w:val="000000"/>
                <w:kern w:val="0"/>
                <w:sz w:val="24"/>
                <w:lang w:bidi="ar"/>
              </w:rPr>
              <w:t>根据国家环境保护部门《关于开展排放口规范化整治工作的通知》及《江苏省污染源排放口规范化整治管理办法》的体制规定要求，建设项目必须正确设置排放口。</w:t>
            </w:r>
          </w:p>
          <w:p>
            <w:pPr>
              <w:spacing w:line="360" w:lineRule="auto"/>
              <w:ind w:firstLine="482" w:firstLineChars="200"/>
              <w:rPr>
                <w:b/>
                <w:sz w:val="24"/>
              </w:rPr>
            </w:pPr>
            <w:r>
              <w:rPr>
                <w:rFonts w:hint="eastAsia"/>
                <w:b/>
                <w:bCs/>
                <w:sz w:val="24"/>
              </w:rPr>
              <w:t>9.</w:t>
            </w:r>
            <w:r>
              <w:rPr>
                <w:rFonts w:hint="eastAsia"/>
                <w:b/>
                <w:color w:val="000000" w:themeColor="text1"/>
                <w:sz w:val="24"/>
                <w14:textFill>
                  <w14:solidFill>
                    <w14:schemeClr w14:val="tx1"/>
                  </w14:solidFill>
                </w14:textFill>
              </w:rPr>
              <w:t>1</w:t>
            </w:r>
            <w:r>
              <w:rPr>
                <w:rFonts w:hint="eastAsia"/>
                <w:b/>
                <w:sz w:val="24"/>
              </w:rPr>
              <w:t>废气</w:t>
            </w:r>
          </w:p>
          <w:p>
            <w:pPr>
              <w:spacing w:line="360" w:lineRule="auto"/>
              <w:ind w:firstLine="480" w:firstLineChars="200"/>
              <w:rPr>
                <w:sz w:val="24"/>
                <w:szCs w:val="22"/>
              </w:rPr>
            </w:pPr>
            <w:r>
              <w:rPr>
                <w:sz w:val="24"/>
              </w:rPr>
              <w:t>本项目产生的废气主要为</w:t>
            </w:r>
            <w:r>
              <w:rPr>
                <w:rFonts w:hint="eastAsia"/>
                <w:color w:val="000000" w:themeColor="text1"/>
                <w:sz w:val="24"/>
                <w:lang w:eastAsia="zh-CN"/>
                <w14:textFill>
                  <w14:solidFill>
                    <w14:schemeClr w14:val="tx1"/>
                  </w14:solidFill>
                </w14:textFill>
              </w:rPr>
              <w:t>丝网印刷、烘干</w:t>
            </w:r>
            <w:r>
              <w:rPr>
                <w:rFonts w:hint="eastAsia"/>
                <w:sz w:val="24"/>
              </w:rPr>
              <w:t>工段</w:t>
            </w:r>
            <w:r>
              <w:rPr>
                <w:rFonts w:hint="eastAsia"/>
                <w:bCs/>
                <w:snapToGrid w:val="0"/>
                <w:kern w:val="0"/>
                <w:sz w:val="24"/>
              </w:rPr>
              <w:t>产生的</w:t>
            </w:r>
            <w:r>
              <w:rPr>
                <w:rFonts w:hint="eastAsia"/>
                <w:sz w:val="24"/>
              </w:rPr>
              <w:t>VOCs</w:t>
            </w:r>
            <w:r>
              <w:rPr>
                <w:rFonts w:hint="eastAsia"/>
                <w:sz w:val="24"/>
                <w:lang w:eastAsia="zh-CN"/>
              </w:rPr>
              <w:t>经过</w:t>
            </w:r>
            <w:r>
              <w:rPr>
                <w:rFonts w:hint="eastAsia"/>
                <w:szCs w:val="21"/>
                <w:lang w:eastAsia="zh-CN"/>
              </w:rPr>
              <w:t>活性炭二级吸附</w:t>
            </w:r>
            <w:r>
              <w:rPr>
                <w:sz w:val="24"/>
                <w:szCs w:val="22"/>
              </w:rPr>
              <w:t>装置处理后，</w:t>
            </w:r>
            <w:r>
              <w:rPr>
                <w:rFonts w:hint="eastAsia"/>
                <w:sz w:val="24"/>
                <w:szCs w:val="22"/>
              </w:rPr>
              <w:t>通过</w:t>
            </w:r>
            <w:r>
              <w:rPr>
                <w:rFonts w:hint="eastAsia"/>
                <w:sz w:val="24"/>
                <w:szCs w:val="22"/>
                <w:lang w:val="en-US" w:eastAsia="zh-CN"/>
              </w:rPr>
              <w:t>DA001</w:t>
            </w:r>
            <w:r>
              <w:rPr>
                <w:sz w:val="24"/>
                <w:szCs w:val="22"/>
              </w:rPr>
              <w:t>排气筒高空排放。</w:t>
            </w:r>
          </w:p>
          <w:p>
            <w:pPr>
              <w:spacing w:line="360" w:lineRule="auto"/>
              <w:ind w:firstLine="480" w:firstLineChars="200"/>
              <w:rPr>
                <w:sz w:val="24"/>
              </w:rPr>
            </w:pPr>
            <w:r>
              <w:rPr>
                <w:rFonts w:hint="eastAsia"/>
                <w:sz w:val="24"/>
              </w:rPr>
              <w:t>根据国家标准《环境保护图形标志—排放口（源）》和国家环保总局《排污口规范化整治要求（试行）》的技术要求，企业废气排放口，必须按照</w:t>
            </w:r>
            <w:r>
              <w:rPr>
                <w:rFonts w:hint="eastAsia"/>
                <w:sz w:val="24"/>
                <w:lang w:eastAsia="zh-CN"/>
              </w:rPr>
              <w:t>“</w:t>
            </w:r>
            <w:r>
              <w:rPr>
                <w:rFonts w:hint="eastAsia"/>
                <w:sz w:val="24"/>
              </w:rPr>
              <w:t>便于计量监测、便于日常现场监督检查</w:t>
            </w:r>
            <w:r>
              <w:rPr>
                <w:rFonts w:hint="eastAsia"/>
                <w:sz w:val="24"/>
                <w:lang w:eastAsia="zh-CN"/>
              </w:rPr>
              <w:t>“</w:t>
            </w:r>
            <w:r>
              <w:rPr>
                <w:rFonts w:hint="eastAsia"/>
                <w:sz w:val="24"/>
              </w:rPr>
              <w:t>的原则和规范化要求，设置与之相适应的环境保护图形标志牌。本项目废气排放口必须符合规定的高度和按照《污染源监测技术规范》便于采样、监测的要求，设置直径不大于75mm的采样口。如无法满足要求的，其采样口与环境监测部门共同确认。</w:t>
            </w:r>
          </w:p>
          <w:p>
            <w:pPr>
              <w:spacing w:line="360" w:lineRule="auto"/>
              <w:ind w:firstLine="482" w:firstLineChars="200"/>
              <w:rPr>
                <w:b/>
                <w:sz w:val="24"/>
              </w:rPr>
            </w:pPr>
            <w:r>
              <w:rPr>
                <w:rFonts w:hint="eastAsia"/>
                <w:b/>
                <w:bCs/>
                <w:sz w:val="24"/>
              </w:rPr>
              <w:t>9.</w:t>
            </w:r>
            <w:r>
              <w:rPr>
                <w:rFonts w:hint="eastAsia"/>
                <w:b/>
                <w:color w:val="000000" w:themeColor="text1"/>
                <w:sz w:val="24"/>
                <w14:textFill>
                  <w14:solidFill>
                    <w14:schemeClr w14:val="tx1"/>
                  </w14:solidFill>
                </w14:textFill>
              </w:rPr>
              <w:t>2</w:t>
            </w:r>
            <w:r>
              <w:rPr>
                <w:rFonts w:hint="eastAsia"/>
                <w:b/>
                <w:sz w:val="24"/>
              </w:rPr>
              <w:t>废水</w:t>
            </w:r>
          </w:p>
          <w:p>
            <w:pPr>
              <w:spacing w:line="360" w:lineRule="auto"/>
              <w:ind w:firstLine="480" w:firstLineChars="200"/>
              <w:rPr>
                <w:sz w:val="24"/>
              </w:rPr>
            </w:pPr>
            <w:r>
              <w:rPr>
                <w:rFonts w:hint="eastAsia"/>
                <w:sz w:val="24"/>
              </w:rPr>
              <w:t>本项目依托现有废水</w:t>
            </w:r>
            <w:r>
              <w:rPr>
                <w:sz w:val="24"/>
              </w:rPr>
              <w:t>间接排口一个（</w:t>
            </w:r>
            <w:r>
              <w:rPr>
                <w:rFonts w:hint="eastAsia"/>
                <w:sz w:val="24"/>
              </w:rPr>
              <w:t>接入</w:t>
            </w:r>
            <w:r>
              <w:rPr>
                <w:rFonts w:hint="eastAsia"/>
                <w:sz w:val="24"/>
                <w:lang w:eastAsia="zh-CN"/>
              </w:rPr>
              <w:t>城市污水处理厂</w:t>
            </w:r>
            <w:r>
              <w:rPr>
                <w:sz w:val="24"/>
              </w:rPr>
              <w:t>）</w:t>
            </w:r>
            <w:r>
              <w:rPr>
                <w:rFonts w:hint="eastAsia"/>
                <w:sz w:val="24"/>
              </w:rPr>
              <w:t>，</w:t>
            </w:r>
            <w:r>
              <w:rPr>
                <w:sz w:val="24"/>
              </w:rPr>
              <w:t>在排口附近，必须留有水质监控和水质采样位置。</w:t>
            </w:r>
          </w:p>
          <w:p>
            <w:pPr>
              <w:spacing w:line="360" w:lineRule="auto"/>
              <w:ind w:firstLine="482" w:firstLineChars="200"/>
              <w:rPr>
                <w:sz w:val="24"/>
              </w:rPr>
            </w:pPr>
            <w:r>
              <w:rPr>
                <w:rFonts w:hint="eastAsia"/>
                <w:b/>
                <w:bCs/>
                <w:sz w:val="24"/>
              </w:rPr>
              <w:t>9.</w:t>
            </w:r>
            <w:r>
              <w:rPr>
                <w:rFonts w:hint="eastAsia"/>
                <w:b/>
                <w:color w:val="000000" w:themeColor="text1"/>
                <w:sz w:val="24"/>
                <w14:textFill>
                  <w14:solidFill>
                    <w14:schemeClr w14:val="tx1"/>
                  </w14:solidFill>
                </w14:textFill>
              </w:rPr>
              <w:t>3</w:t>
            </w:r>
            <w:r>
              <w:rPr>
                <w:rFonts w:hint="eastAsia"/>
                <w:b/>
                <w:sz w:val="24"/>
              </w:rPr>
              <w:t>噪声</w:t>
            </w:r>
          </w:p>
          <w:p>
            <w:pPr>
              <w:spacing w:line="360" w:lineRule="auto"/>
              <w:ind w:firstLine="480" w:firstLineChars="200"/>
              <w:rPr>
                <w:sz w:val="24"/>
              </w:rPr>
            </w:pPr>
            <w:r>
              <w:rPr>
                <w:rFonts w:hint="eastAsia" w:ascii="宋体" w:cs="宋体"/>
                <w:kern w:val="0"/>
                <w:sz w:val="24"/>
              </w:rPr>
              <w:t>按有关规定对固定噪声源进行治理，并在对外界影响最大处设置标志牌。</w:t>
            </w:r>
          </w:p>
          <w:p>
            <w:pPr>
              <w:spacing w:line="360" w:lineRule="auto"/>
              <w:ind w:firstLine="482" w:firstLineChars="200"/>
              <w:rPr>
                <w:b/>
                <w:sz w:val="24"/>
              </w:rPr>
            </w:pPr>
            <w:r>
              <w:rPr>
                <w:rFonts w:hint="eastAsia"/>
                <w:b/>
                <w:bCs/>
                <w:sz w:val="24"/>
              </w:rPr>
              <w:t>9.</w:t>
            </w:r>
            <w:r>
              <w:rPr>
                <w:rFonts w:hint="eastAsia"/>
                <w:b/>
                <w:color w:val="000000" w:themeColor="text1"/>
                <w:sz w:val="24"/>
                <w14:textFill>
                  <w14:solidFill>
                    <w14:schemeClr w14:val="tx1"/>
                  </w14:solidFill>
                </w14:textFill>
              </w:rPr>
              <w:t>4</w:t>
            </w:r>
            <w:r>
              <w:rPr>
                <w:rFonts w:hint="eastAsia"/>
                <w:b/>
                <w:sz w:val="24"/>
              </w:rPr>
              <w:t>环保</w:t>
            </w:r>
            <w:r>
              <w:rPr>
                <w:b/>
                <w:sz w:val="24"/>
              </w:rPr>
              <w:t>图形标设</w:t>
            </w:r>
            <w:r>
              <w:rPr>
                <w:rFonts w:hint="eastAsia"/>
                <w:b/>
                <w:sz w:val="24"/>
              </w:rPr>
              <w:t>和</w:t>
            </w:r>
            <w:r>
              <w:rPr>
                <w:b/>
                <w:sz w:val="24"/>
              </w:rPr>
              <w:t>监控要求</w:t>
            </w:r>
          </w:p>
          <w:p>
            <w:pPr>
              <w:spacing w:line="360" w:lineRule="auto"/>
              <w:ind w:firstLine="480" w:firstLineChars="200"/>
              <w:rPr>
                <w:sz w:val="24"/>
              </w:rPr>
            </w:pPr>
            <w:r>
              <w:rPr>
                <w:sz w:val="24"/>
              </w:rPr>
              <w:t>在厂区的噪声排放源和固体废物贮存处置场应设置环境保护图形标志，图形符号分为提示图形和警告图形符号两种，分别按GB15562.1-1995、GB15562.2-1995执行。环境保护图形标志的形状及颜色见表</w:t>
            </w:r>
            <w:r>
              <w:rPr>
                <w:rFonts w:hint="eastAsia"/>
                <w:sz w:val="24"/>
              </w:rPr>
              <w:t>4</w:t>
            </w:r>
            <w:r>
              <w:rPr>
                <w:sz w:val="24"/>
              </w:rPr>
              <w:t>-</w:t>
            </w:r>
            <w:r>
              <w:rPr>
                <w:rFonts w:hint="eastAsia"/>
                <w:sz w:val="24"/>
                <w:lang w:val="en-US" w:eastAsia="zh-CN"/>
              </w:rPr>
              <w:t>28</w:t>
            </w:r>
            <w:r>
              <w:rPr>
                <w:sz w:val="24"/>
              </w:rPr>
              <w:t>，环境保护图形符号见表</w:t>
            </w:r>
            <w:r>
              <w:rPr>
                <w:rFonts w:hint="eastAsia"/>
                <w:sz w:val="24"/>
              </w:rPr>
              <w:t>4</w:t>
            </w:r>
            <w:r>
              <w:rPr>
                <w:sz w:val="24"/>
              </w:rPr>
              <w:t>-</w:t>
            </w:r>
            <w:r>
              <w:rPr>
                <w:rFonts w:hint="eastAsia"/>
                <w:sz w:val="24"/>
                <w:lang w:val="en-US" w:eastAsia="zh-CN"/>
              </w:rPr>
              <w:t>29</w:t>
            </w:r>
            <w:r>
              <w:rPr>
                <w:sz w:val="24"/>
              </w:rPr>
              <w:t>。</w:t>
            </w:r>
          </w:p>
          <w:p>
            <w:pPr>
              <w:pStyle w:val="15"/>
              <w:jc w:val="center"/>
              <w:rPr>
                <w:rFonts w:ascii="Times New Roman" w:hAnsi="Times New Roman" w:cs="Times New Roman" w:eastAsiaTheme="minorEastAsia"/>
                <w:b/>
                <w:bCs/>
                <w:sz w:val="24"/>
              </w:rPr>
            </w:pPr>
            <w:r>
              <w:rPr>
                <w:rFonts w:ascii="Times New Roman" w:cs="Times New Roman" w:hAnsiTheme="minorEastAsia" w:eastAsiaTheme="minorEastAsia"/>
                <w:b/>
                <w:bCs/>
                <w:sz w:val="24"/>
              </w:rPr>
              <w:t>表</w:t>
            </w:r>
            <w:r>
              <w:rPr>
                <w:rFonts w:hint="eastAsia" w:ascii="Times New Roman" w:hAnsi="Times New Roman" w:cs="Times New Roman" w:eastAsiaTheme="minorEastAsia"/>
                <w:b/>
                <w:bCs/>
                <w:sz w:val="24"/>
              </w:rPr>
              <w:t>4</w:t>
            </w:r>
            <w:r>
              <w:rPr>
                <w:rFonts w:ascii="Times New Roman" w:hAnsi="Times New Roman" w:cs="Times New Roman" w:eastAsiaTheme="minorEastAsia"/>
                <w:b/>
                <w:bCs/>
                <w:sz w:val="24"/>
              </w:rPr>
              <w:t>-</w:t>
            </w:r>
            <w:r>
              <w:rPr>
                <w:rFonts w:hint="eastAsia" w:ascii="Times New Roman" w:hAnsi="Times New Roman" w:cs="Times New Roman" w:eastAsiaTheme="minorEastAsia"/>
                <w:b/>
                <w:bCs/>
                <w:sz w:val="24"/>
                <w:lang w:val="en-US" w:eastAsia="zh-CN"/>
              </w:rPr>
              <w:t>28</w:t>
            </w:r>
            <w:r>
              <w:rPr>
                <w:rFonts w:ascii="Times New Roman" w:cs="Times New Roman" w:hAnsiTheme="minorEastAsia" w:eastAsiaTheme="minorEastAsia"/>
                <w:b/>
                <w:bCs/>
                <w:sz w:val="24"/>
              </w:rPr>
              <w:t>环境保护图形标志的形状及颜色表</w:t>
            </w:r>
          </w:p>
          <w:tbl>
            <w:tblPr>
              <w:tblStyle w:val="36"/>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0" w:type="dxa"/>
                <w:bottom w:w="0" w:type="dxa"/>
                <w:right w:w="0" w:type="dxa"/>
              </w:tblCellMar>
            </w:tblPr>
            <w:tblGrid>
              <w:gridCol w:w="1998"/>
              <w:gridCol w:w="2495"/>
              <w:gridCol w:w="2007"/>
              <w:gridCol w:w="199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1176" w:type="pct"/>
                  <w:tcMar>
                    <w:left w:w="0" w:type="dxa"/>
                    <w:right w:w="0" w:type="dxa"/>
                  </w:tcMar>
                  <w:vAlign w:val="center"/>
                </w:tcPr>
                <w:p>
                  <w:pPr>
                    <w:pStyle w:val="143"/>
                    <w:spacing w:before="0" w:after="0"/>
                    <w:rPr>
                      <w:rFonts w:ascii="Times New Roman" w:hAnsi="Times New Roman" w:eastAsia="宋体"/>
                      <w:b/>
                      <w:bCs/>
                    </w:rPr>
                  </w:pPr>
                  <w:r>
                    <w:rPr>
                      <w:rFonts w:ascii="Times New Roman" w:hAnsi="Times New Roman" w:eastAsia="宋体"/>
                      <w:b/>
                      <w:bCs/>
                    </w:rPr>
                    <w:t>标志名称</w:t>
                  </w:r>
                </w:p>
              </w:tc>
              <w:tc>
                <w:tcPr>
                  <w:tcW w:w="1468" w:type="pct"/>
                  <w:tcMar>
                    <w:left w:w="0" w:type="dxa"/>
                    <w:right w:w="0" w:type="dxa"/>
                  </w:tcMar>
                  <w:vAlign w:val="center"/>
                </w:tcPr>
                <w:p>
                  <w:pPr>
                    <w:pStyle w:val="143"/>
                    <w:spacing w:before="0" w:after="0"/>
                    <w:rPr>
                      <w:rFonts w:ascii="Times New Roman" w:hAnsi="Times New Roman" w:eastAsia="宋体"/>
                      <w:b/>
                      <w:bCs/>
                    </w:rPr>
                  </w:pPr>
                  <w:r>
                    <w:rPr>
                      <w:rFonts w:ascii="Times New Roman" w:hAnsi="Times New Roman" w:eastAsia="宋体"/>
                      <w:b/>
                      <w:bCs/>
                    </w:rPr>
                    <w:t>形状</w:t>
                  </w:r>
                </w:p>
              </w:tc>
              <w:tc>
                <w:tcPr>
                  <w:tcW w:w="1181" w:type="pct"/>
                  <w:tcMar>
                    <w:left w:w="0" w:type="dxa"/>
                    <w:right w:w="0" w:type="dxa"/>
                  </w:tcMar>
                  <w:vAlign w:val="center"/>
                </w:tcPr>
                <w:p>
                  <w:pPr>
                    <w:pStyle w:val="143"/>
                    <w:spacing w:before="0" w:after="0"/>
                    <w:rPr>
                      <w:rFonts w:ascii="Times New Roman" w:hAnsi="Times New Roman" w:eastAsia="宋体"/>
                      <w:b/>
                      <w:bCs/>
                    </w:rPr>
                  </w:pPr>
                  <w:r>
                    <w:rPr>
                      <w:rFonts w:ascii="Times New Roman" w:hAnsi="Times New Roman" w:eastAsia="宋体"/>
                      <w:b/>
                      <w:bCs/>
                    </w:rPr>
                    <w:t>背景颜色</w:t>
                  </w:r>
                </w:p>
              </w:tc>
              <w:tc>
                <w:tcPr>
                  <w:tcW w:w="1175" w:type="pct"/>
                  <w:tcMar>
                    <w:left w:w="0" w:type="dxa"/>
                    <w:right w:w="0" w:type="dxa"/>
                  </w:tcMar>
                  <w:vAlign w:val="center"/>
                </w:tcPr>
                <w:p>
                  <w:pPr>
                    <w:pStyle w:val="143"/>
                    <w:spacing w:before="0" w:after="0"/>
                    <w:rPr>
                      <w:rFonts w:ascii="Times New Roman" w:hAnsi="Times New Roman" w:eastAsia="宋体"/>
                      <w:b/>
                      <w:bCs/>
                    </w:rPr>
                  </w:pPr>
                  <w:r>
                    <w:rPr>
                      <w:rFonts w:ascii="Times New Roman" w:hAnsi="Times New Roman" w:eastAsia="宋体"/>
                      <w:b/>
                      <w:bCs/>
                    </w:rPr>
                    <w:t>图形颜色</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1176" w:type="pct"/>
                  <w:tcMar>
                    <w:left w:w="0" w:type="dxa"/>
                    <w:right w:w="0" w:type="dxa"/>
                  </w:tcMar>
                  <w:vAlign w:val="center"/>
                </w:tcPr>
                <w:p>
                  <w:pPr>
                    <w:pStyle w:val="143"/>
                    <w:spacing w:before="0" w:after="0"/>
                    <w:rPr>
                      <w:rFonts w:ascii="Times New Roman" w:hAnsi="Times New Roman" w:eastAsia="宋体"/>
                    </w:rPr>
                  </w:pPr>
                  <w:r>
                    <w:rPr>
                      <w:rFonts w:ascii="Times New Roman" w:hAnsi="Times New Roman" w:eastAsia="宋体"/>
                    </w:rPr>
                    <w:t>警告标志</w:t>
                  </w:r>
                </w:p>
              </w:tc>
              <w:tc>
                <w:tcPr>
                  <w:tcW w:w="1468" w:type="pct"/>
                  <w:tcMar>
                    <w:left w:w="0" w:type="dxa"/>
                    <w:right w:w="0" w:type="dxa"/>
                  </w:tcMar>
                  <w:vAlign w:val="center"/>
                </w:tcPr>
                <w:p>
                  <w:pPr>
                    <w:pStyle w:val="143"/>
                    <w:spacing w:before="0" w:after="0"/>
                    <w:rPr>
                      <w:rFonts w:ascii="Times New Roman" w:hAnsi="Times New Roman" w:eastAsia="宋体"/>
                    </w:rPr>
                  </w:pPr>
                  <w:r>
                    <w:rPr>
                      <w:rFonts w:ascii="Times New Roman" w:hAnsi="Times New Roman" w:eastAsia="宋体"/>
                    </w:rPr>
                    <w:t>三角形边框</w:t>
                  </w:r>
                </w:p>
              </w:tc>
              <w:tc>
                <w:tcPr>
                  <w:tcW w:w="1181" w:type="pct"/>
                  <w:tcMar>
                    <w:left w:w="0" w:type="dxa"/>
                    <w:right w:w="0" w:type="dxa"/>
                  </w:tcMar>
                  <w:vAlign w:val="center"/>
                </w:tcPr>
                <w:p>
                  <w:pPr>
                    <w:pStyle w:val="143"/>
                    <w:spacing w:before="0" w:after="0"/>
                    <w:rPr>
                      <w:rFonts w:ascii="Times New Roman" w:hAnsi="Times New Roman" w:eastAsia="宋体"/>
                    </w:rPr>
                  </w:pPr>
                  <w:r>
                    <w:rPr>
                      <w:rFonts w:ascii="Times New Roman" w:hAnsi="Times New Roman" w:eastAsia="宋体"/>
                    </w:rPr>
                    <w:t>黄色</w:t>
                  </w:r>
                </w:p>
              </w:tc>
              <w:tc>
                <w:tcPr>
                  <w:tcW w:w="1175" w:type="pct"/>
                  <w:tcMar>
                    <w:left w:w="0" w:type="dxa"/>
                    <w:right w:w="0" w:type="dxa"/>
                  </w:tcMar>
                  <w:vAlign w:val="center"/>
                </w:tcPr>
                <w:p>
                  <w:pPr>
                    <w:pStyle w:val="143"/>
                    <w:spacing w:before="0" w:after="0"/>
                    <w:rPr>
                      <w:rFonts w:ascii="Times New Roman" w:hAnsi="Times New Roman" w:eastAsia="宋体"/>
                    </w:rPr>
                  </w:pPr>
                  <w:r>
                    <w:rPr>
                      <w:rFonts w:ascii="Times New Roman" w:hAnsi="Times New Roman" w:eastAsia="宋体"/>
                    </w:rPr>
                    <w:t>黑色</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1176" w:type="pct"/>
                  <w:tcMar>
                    <w:left w:w="0" w:type="dxa"/>
                    <w:right w:w="0" w:type="dxa"/>
                  </w:tcMar>
                  <w:vAlign w:val="center"/>
                </w:tcPr>
                <w:p>
                  <w:pPr>
                    <w:pStyle w:val="143"/>
                    <w:spacing w:before="0" w:after="0"/>
                    <w:rPr>
                      <w:rFonts w:ascii="Times New Roman" w:hAnsi="Times New Roman" w:eastAsia="宋体"/>
                    </w:rPr>
                  </w:pPr>
                  <w:r>
                    <w:rPr>
                      <w:rFonts w:ascii="Times New Roman" w:hAnsi="Times New Roman" w:eastAsia="宋体"/>
                    </w:rPr>
                    <w:t>提示标志</w:t>
                  </w:r>
                </w:p>
              </w:tc>
              <w:tc>
                <w:tcPr>
                  <w:tcW w:w="1468" w:type="pct"/>
                  <w:tcMar>
                    <w:left w:w="0" w:type="dxa"/>
                    <w:right w:w="0" w:type="dxa"/>
                  </w:tcMar>
                  <w:vAlign w:val="center"/>
                </w:tcPr>
                <w:p>
                  <w:pPr>
                    <w:pStyle w:val="143"/>
                    <w:spacing w:before="0" w:after="0"/>
                    <w:rPr>
                      <w:rFonts w:ascii="Times New Roman" w:hAnsi="Times New Roman" w:eastAsia="宋体"/>
                    </w:rPr>
                  </w:pPr>
                  <w:r>
                    <w:rPr>
                      <w:rFonts w:ascii="Times New Roman" w:hAnsi="Times New Roman" w:eastAsia="宋体"/>
                    </w:rPr>
                    <w:t>正方形边框</w:t>
                  </w:r>
                </w:p>
              </w:tc>
              <w:tc>
                <w:tcPr>
                  <w:tcW w:w="1181" w:type="pct"/>
                  <w:tcMar>
                    <w:left w:w="0" w:type="dxa"/>
                    <w:right w:w="0" w:type="dxa"/>
                  </w:tcMar>
                  <w:vAlign w:val="center"/>
                </w:tcPr>
                <w:p>
                  <w:pPr>
                    <w:pStyle w:val="143"/>
                    <w:spacing w:before="0" w:after="0"/>
                    <w:rPr>
                      <w:rFonts w:ascii="Times New Roman" w:hAnsi="Times New Roman" w:eastAsia="宋体"/>
                    </w:rPr>
                  </w:pPr>
                  <w:r>
                    <w:rPr>
                      <w:rFonts w:ascii="Times New Roman" w:hAnsi="Times New Roman" w:eastAsia="宋体"/>
                    </w:rPr>
                    <w:t>绿色</w:t>
                  </w:r>
                </w:p>
              </w:tc>
              <w:tc>
                <w:tcPr>
                  <w:tcW w:w="1175" w:type="pct"/>
                  <w:tcMar>
                    <w:left w:w="0" w:type="dxa"/>
                    <w:right w:w="0" w:type="dxa"/>
                  </w:tcMar>
                  <w:vAlign w:val="center"/>
                </w:tcPr>
                <w:p>
                  <w:pPr>
                    <w:pStyle w:val="143"/>
                    <w:spacing w:before="0" w:after="0"/>
                    <w:rPr>
                      <w:rFonts w:ascii="Times New Roman" w:hAnsi="Times New Roman" w:eastAsia="宋体"/>
                    </w:rPr>
                  </w:pPr>
                  <w:r>
                    <w:rPr>
                      <w:rFonts w:ascii="Times New Roman" w:hAnsi="Times New Roman" w:eastAsia="宋体"/>
                    </w:rPr>
                    <w:t>白色</w:t>
                  </w:r>
                </w:p>
              </w:tc>
            </w:tr>
          </w:tbl>
          <w:p>
            <w:pPr>
              <w:pStyle w:val="144"/>
              <w:spacing w:before="0" w:after="0"/>
              <w:ind w:firstLine="482"/>
              <w:rPr>
                <w:rFonts w:hAnsi="Times New Roman" w:eastAsia="宋体"/>
                <w:sz w:val="24"/>
                <w:szCs w:val="24"/>
              </w:rPr>
            </w:pPr>
          </w:p>
          <w:p>
            <w:pPr>
              <w:pStyle w:val="144"/>
              <w:spacing w:before="0" w:after="0"/>
              <w:ind w:firstLine="482"/>
              <w:rPr>
                <w:rFonts w:hAnsi="Times New Roman" w:eastAsia="宋体"/>
                <w:sz w:val="24"/>
                <w:szCs w:val="24"/>
              </w:rPr>
            </w:pPr>
            <w:r>
              <w:rPr>
                <w:rFonts w:hAnsi="Times New Roman" w:eastAsia="宋体"/>
                <w:sz w:val="24"/>
                <w:szCs w:val="24"/>
              </w:rPr>
              <w:t>表</w:t>
            </w:r>
            <w:r>
              <w:rPr>
                <w:rFonts w:hint="eastAsia" w:hAnsi="Times New Roman" w:eastAsia="宋体"/>
                <w:sz w:val="24"/>
                <w:szCs w:val="24"/>
              </w:rPr>
              <w:t>4-</w:t>
            </w:r>
            <w:r>
              <w:rPr>
                <w:rFonts w:hint="eastAsia" w:hAnsi="Times New Roman" w:eastAsia="宋体"/>
                <w:sz w:val="24"/>
                <w:szCs w:val="24"/>
                <w:lang w:val="en-US" w:eastAsia="zh-CN"/>
              </w:rPr>
              <w:t>29</w:t>
            </w:r>
            <w:r>
              <w:rPr>
                <w:rFonts w:hAnsi="Times New Roman" w:eastAsia="宋体"/>
                <w:sz w:val="24"/>
                <w:szCs w:val="24"/>
              </w:rPr>
              <w:t>环境保护图形符号一览表</w:t>
            </w:r>
          </w:p>
          <w:tbl>
            <w:tblPr>
              <w:tblStyle w:val="36"/>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85" w:type="dxa"/>
                <w:left w:w="85" w:type="dxa"/>
                <w:bottom w:w="85" w:type="dxa"/>
                <w:right w:w="85" w:type="dxa"/>
              </w:tblCellMar>
            </w:tblPr>
            <w:tblGrid>
              <w:gridCol w:w="627"/>
              <w:gridCol w:w="1524"/>
              <w:gridCol w:w="1524"/>
              <w:gridCol w:w="1519"/>
              <w:gridCol w:w="330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369" w:type="pct"/>
                  <w:vAlign w:val="center"/>
                </w:tcPr>
                <w:p>
                  <w:pPr>
                    <w:pStyle w:val="143"/>
                    <w:adjustRightInd/>
                    <w:spacing w:before="0" w:after="0"/>
                    <w:rPr>
                      <w:rFonts w:ascii="宋体" w:hAnsi="宋体" w:eastAsia="宋体"/>
                      <w:b/>
                      <w:bCs/>
                    </w:rPr>
                  </w:pPr>
                  <w:r>
                    <w:rPr>
                      <w:rFonts w:ascii="宋体" w:hAnsi="宋体" w:eastAsia="宋体"/>
                      <w:b/>
                      <w:bCs/>
                    </w:rPr>
                    <w:t>序号</w:t>
                  </w:r>
                </w:p>
              </w:tc>
              <w:tc>
                <w:tcPr>
                  <w:tcW w:w="897" w:type="pct"/>
                  <w:vAlign w:val="center"/>
                </w:tcPr>
                <w:p>
                  <w:pPr>
                    <w:pStyle w:val="143"/>
                    <w:adjustRightInd/>
                    <w:spacing w:before="0" w:after="0"/>
                    <w:rPr>
                      <w:rFonts w:ascii="宋体" w:hAnsi="宋体" w:eastAsia="宋体"/>
                      <w:b/>
                      <w:bCs/>
                    </w:rPr>
                  </w:pPr>
                  <w:r>
                    <w:rPr>
                      <w:rFonts w:ascii="宋体" w:hAnsi="宋体" w:eastAsia="宋体"/>
                      <w:b/>
                      <w:bCs/>
                    </w:rPr>
                    <w:t>提示图形符号</w:t>
                  </w:r>
                </w:p>
              </w:tc>
              <w:tc>
                <w:tcPr>
                  <w:tcW w:w="897" w:type="pct"/>
                  <w:vAlign w:val="center"/>
                </w:tcPr>
                <w:p>
                  <w:pPr>
                    <w:pStyle w:val="143"/>
                    <w:adjustRightInd/>
                    <w:spacing w:before="0" w:after="0"/>
                    <w:rPr>
                      <w:rFonts w:ascii="宋体" w:hAnsi="宋体" w:eastAsia="宋体"/>
                      <w:b/>
                      <w:bCs/>
                    </w:rPr>
                  </w:pPr>
                  <w:r>
                    <w:rPr>
                      <w:rFonts w:ascii="宋体" w:hAnsi="宋体" w:eastAsia="宋体"/>
                      <w:b/>
                      <w:bCs/>
                    </w:rPr>
                    <w:t>警告图形符号</w:t>
                  </w:r>
                </w:p>
              </w:tc>
              <w:tc>
                <w:tcPr>
                  <w:tcW w:w="894" w:type="pct"/>
                  <w:vAlign w:val="center"/>
                </w:tcPr>
                <w:p>
                  <w:pPr>
                    <w:pStyle w:val="143"/>
                    <w:adjustRightInd/>
                    <w:spacing w:before="0" w:after="0"/>
                    <w:rPr>
                      <w:rFonts w:ascii="宋体" w:hAnsi="宋体" w:eastAsia="宋体"/>
                      <w:b/>
                      <w:bCs/>
                    </w:rPr>
                  </w:pPr>
                  <w:r>
                    <w:rPr>
                      <w:rFonts w:ascii="宋体" w:hAnsi="宋体" w:eastAsia="宋体"/>
                      <w:b/>
                      <w:bCs/>
                    </w:rPr>
                    <w:t>名称</w:t>
                  </w:r>
                </w:p>
              </w:tc>
              <w:tc>
                <w:tcPr>
                  <w:tcW w:w="1944" w:type="pct"/>
                  <w:vAlign w:val="center"/>
                </w:tcPr>
                <w:p>
                  <w:pPr>
                    <w:pStyle w:val="143"/>
                    <w:adjustRightInd/>
                    <w:spacing w:before="0" w:after="0"/>
                    <w:rPr>
                      <w:rFonts w:ascii="宋体" w:hAnsi="宋体" w:eastAsia="宋体"/>
                      <w:b/>
                      <w:bCs/>
                    </w:rPr>
                  </w:pPr>
                  <w:r>
                    <w:rPr>
                      <w:rFonts w:ascii="宋体" w:hAnsi="宋体" w:eastAsia="宋体"/>
                      <w:b/>
                      <w:bCs/>
                    </w:rPr>
                    <w:t>功能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369" w:type="pct"/>
                  <w:vAlign w:val="center"/>
                </w:tcPr>
                <w:p>
                  <w:pPr>
                    <w:pStyle w:val="143"/>
                    <w:adjustRightInd/>
                    <w:spacing w:before="0" w:after="0"/>
                    <w:rPr>
                      <w:rFonts w:ascii="宋体" w:hAnsi="宋体" w:eastAsia="宋体"/>
                      <w:b/>
                      <w:bCs/>
                    </w:rPr>
                  </w:pPr>
                  <w:r>
                    <w:rPr>
                      <w:rFonts w:ascii="宋体" w:hAnsi="宋体" w:eastAsia="宋体"/>
                    </w:rPr>
                    <w:t>1</w:t>
                  </w:r>
                </w:p>
              </w:tc>
              <w:tc>
                <w:tcPr>
                  <w:tcW w:w="897" w:type="pct"/>
                  <w:vAlign w:val="center"/>
                </w:tcPr>
                <w:p>
                  <w:pPr>
                    <w:pStyle w:val="143"/>
                    <w:adjustRightInd/>
                    <w:spacing w:before="0" w:after="0"/>
                    <w:rPr>
                      <w:rFonts w:ascii="宋体" w:hAnsi="宋体" w:eastAsia="宋体"/>
                      <w:b/>
                      <w:bCs/>
                    </w:rPr>
                  </w:pPr>
                  <w:r>
                    <w:rPr>
                      <w:rFonts w:ascii="宋体" w:hAnsi="宋体" w:eastAsia="宋体"/>
                      <w:snapToGrid/>
                    </w:rPr>
                    <w:drawing>
                      <wp:inline distT="0" distB="0" distL="0" distR="0">
                        <wp:extent cx="685800" cy="695325"/>
                        <wp:effectExtent l="0" t="0" r="0" b="0"/>
                        <wp:docPr id="14" name="图片 13" descr="说明: 说明: 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说明: 说明: 130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85800" cy="695325"/>
                                </a:xfrm>
                                <a:prstGeom prst="rect">
                                  <a:avLst/>
                                </a:prstGeom>
                                <a:noFill/>
                                <a:ln>
                                  <a:noFill/>
                                </a:ln>
                              </pic:spPr>
                            </pic:pic>
                          </a:graphicData>
                        </a:graphic>
                      </wp:inline>
                    </w:drawing>
                  </w:r>
                </w:p>
              </w:tc>
              <w:tc>
                <w:tcPr>
                  <w:tcW w:w="897" w:type="pct"/>
                  <w:vAlign w:val="center"/>
                </w:tcPr>
                <w:p>
                  <w:pPr>
                    <w:pStyle w:val="143"/>
                    <w:adjustRightInd/>
                    <w:spacing w:before="0" w:after="0"/>
                    <w:rPr>
                      <w:rFonts w:ascii="宋体" w:hAnsi="宋体" w:eastAsia="宋体"/>
                      <w:b/>
                      <w:bCs/>
                    </w:rPr>
                  </w:pPr>
                  <w:r>
                    <w:rPr>
                      <w:rFonts w:ascii="宋体" w:hAnsi="宋体" w:eastAsia="宋体"/>
                      <w:snapToGrid/>
                    </w:rPr>
                    <w:drawing>
                      <wp:inline distT="0" distB="0" distL="0" distR="0">
                        <wp:extent cx="638175" cy="638175"/>
                        <wp:effectExtent l="0" t="0" r="0" b="0"/>
                        <wp:docPr id="16" name="图片 12" descr="说明: 说明: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descr="说明: 说明: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38175" cy="638175"/>
                                </a:xfrm>
                                <a:prstGeom prst="rect">
                                  <a:avLst/>
                                </a:prstGeom>
                                <a:noFill/>
                                <a:ln>
                                  <a:noFill/>
                                </a:ln>
                              </pic:spPr>
                            </pic:pic>
                          </a:graphicData>
                        </a:graphic>
                      </wp:inline>
                    </w:drawing>
                  </w:r>
                </w:p>
              </w:tc>
              <w:tc>
                <w:tcPr>
                  <w:tcW w:w="894" w:type="pct"/>
                  <w:vAlign w:val="center"/>
                </w:tcPr>
                <w:p>
                  <w:pPr>
                    <w:pStyle w:val="143"/>
                    <w:adjustRightInd/>
                    <w:spacing w:before="0" w:after="0"/>
                    <w:rPr>
                      <w:rFonts w:ascii="宋体" w:hAnsi="宋体" w:eastAsia="宋体"/>
                      <w:b/>
                      <w:bCs/>
                    </w:rPr>
                  </w:pPr>
                  <w:r>
                    <w:rPr>
                      <w:rFonts w:ascii="宋体" w:hAnsi="宋体" w:eastAsia="宋体"/>
                    </w:rPr>
                    <w:t>废气排放口</w:t>
                  </w:r>
                </w:p>
              </w:tc>
              <w:tc>
                <w:tcPr>
                  <w:tcW w:w="1944" w:type="pct"/>
                  <w:vAlign w:val="center"/>
                </w:tcPr>
                <w:p>
                  <w:pPr>
                    <w:pStyle w:val="143"/>
                    <w:adjustRightInd/>
                    <w:spacing w:before="0" w:after="0"/>
                    <w:rPr>
                      <w:rFonts w:ascii="宋体" w:hAnsi="宋体" w:eastAsia="宋体"/>
                      <w:b/>
                      <w:bCs/>
                    </w:rPr>
                  </w:pPr>
                  <w:r>
                    <w:rPr>
                      <w:rFonts w:ascii="宋体" w:hAnsi="宋体" w:eastAsia="宋体"/>
                    </w:rPr>
                    <w:t>表示废气向大气环境排放</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369" w:type="pct"/>
                  <w:vAlign w:val="center"/>
                </w:tcPr>
                <w:p>
                  <w:pPr>
                    <w:pStyle w:val="143"/>
                    <w:adjustRightInd/>
                    <w:spacing w:before="0" w:after="0"/>
                    <w:rPr>
                      <w:rFonts w:ascii="宋体" w:hAnsi="宋体" w:eastAsia="宋体"/>
                    </w:rPr>
                  </w:pPr>
                  <w:r>
                    <w:rPr>
                      <w:rFonts w:ascii="宋体" w:hAnsi="宋体" w:eastAsia="宋体"/>
                    </w:rPr>
                    <w:t>2</w:t>
                  </w:r>
                </w:p>
              </w:tc>
              <w:tc>
                <w:tcPr>
                  <w:tcW w:w="897" w:type="pct"/>
                  <w:vAlign w:val="center"/>
                </w:tcPr>
                <w:p>
                  <w:pPr>
                    <w:pStyle w:val="143"/>
                    <w:adjustRightInd/>
                    <w:spacing w:before="0" w:after="0"/>
                    <w:rPr>
                      <w:rFonts w:ascii="宋体" w:hAnsi="宋体" w:eastAsia="宋体"/>
                    </w:rPr>
                  </w:pPr>
                  <w:r>
                    <w:rPr>
                      <w:rFonts w:ascii="宋体" w:hAnsi="宋体" w:eastAsia="宋体"/>
                      <w:snapToGrid/>
                    </w:rPr>
                    <w:drawing>
                      <wp:inline distT="0" distB="0" distL="0" distR="0">
                        <wp:extent cx="676275" cy="685800"/>
                        <wp:effectExtent l="0" t="0" r="0" b="0"/>
                        <wp:docPr id="17" name="图片 10" descr="说明: 说明: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说明: 说明: 14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76275" cy="685800"/>
                                </a:xfrm>
                                <a:prstGeom prst="rect">
                                  <a:avLst/>
                                </a:prstGeom>
                                <a:noFill/>
                                <a:ln>
                                  <a:noFill/>
                                </a:ln>
                              </pic:spPr>
                            </pic:pic>
                          </a:graphicData>
                        </a:graphic>
                      </wp:inline>
                    </w:drawing>
                  </w:r>
                </w:p>
              </w:tc>
              <w:tc>
                <w:tcPr>
                  <w:tcW w:w="897" w:type="pct"/>
                  <w:vAlign w:val="center"/>
                </w:tcPr>
                <w:p>
                  <w:pPr>
                    <w:pStyle w:val="143"/>
                    <w:adjustRightInd/>
                    <w:spacing w:before="0" w:after="0"/>
                    <w:rPr>
                      <w:rFonts w:ascii="宋体" w:hAnsi="宋体" w:eastAsia="宋体"/>
                    </w:rPr>
                  </w:pPr>
                  <w:r>
                    <w:rPr>
                      <w:rFonts w:ascii="宋体" w:hAnsi="宋体" w:eastAsia="宋体"/>
                      <w:snapToGrid/>
                    </w:rPr>
                    <w:drawing>
                      <wp:inline distT="0" distB="0" distL="0" distR="0">
                        <wp:extent cx="647700" cy="609600"/>
                        <wp:effectExtent l="0" t="0" r="0" b="0"/>
                        <wp:docPr id="18" name="图片 9" descr="说明: 说明: 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说明: 说明: 14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47700" cy="609600"/>
                                </a:xfrm>
                                <a:prstGeom prst="rect">
                                  <a:avLst/>
                                </a:prstGeom>
                                <a:noFill/>
                                <a:ln>
                                  <a:noFill/>
                                </a:ln>
                              </pic:spPr>
                            </pic:pic>
                          </a:graphicData>
                        </a:graphic>
                      </wp:inline>
                    </w:drawing>
                  </w:r>
                </w:p>
              </w:tc>
              <w:tc>
                <w:tcPr>
                  <w:tcW w:w="894" w:type="pct"/>
                  <w:vAlign w:val="center"/>
                </w:tcPr>
                <w:p>
                  <w:pPr>
                    <w:pStyle w:val="143"/>
                    <w:adjustRightInd/>
                    <w:spacing w:before="0" w:after="0"/>
                    <w:rPr>
                      <w:rFonts w:ascii="宋体" w:hAnsi="宋体" w:eastAsia="宋体"/>
                    </w:rPr>
                  </w:pPr>
                  <w:r>
                    <w:rPr>
                      <w:rFonts w:ascii="宋体" w:hAnsi="宋体" w:eastAsia="宋体"/>
                    </w:rPr>
                    <w:t>一般固体废物</w:t>
                  </w:r>
                </w:p>
              </w:tc>
              <w:tc>
                <w:tcPr>
                  <w:tcW w:w="1944" w:type="pct"/>
                  <w:vAlign w:val="center"/>
                </w:tcPr>
                <w:p>
                  <w:pPr>
                    <w:pStyle w:val="143"/>
                    <w:adjustRightInd/>
                    <w:spacing w:before="0" w:after="0"/>
                    <w:rPr>
                      <w:rFonts w:ascii="宋体" w:hAnsi="宋体" w:eastAsia="宋体"/>
                    </w:rPr>
                  </w:pPr>
                  <w:r>
                    <w:rPr>
                      <w:rFonts w:ascii="宋体" w:hAnsi="宋体" w:eastAsia="宋体"/>
                    </w:rPr>
                    <w:t>表示一般固体废物贮存、处置场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369" w:type="pct"/>
                  <w:vAlign w:val="center"/>
                </w:tcPr>
                <w:p>
                  <w:pPr>
                    <w:pStyle w:val="143"/>
                    <w:adjustRightInd/>
                    <w:spacing w:before="0" w:after="0"/>
                    <w:rPr>
                      <w:rFonts w:ascii="宋体" w:hAnsi="宋体" w:eastAsia="宋体"/>
                    </w:rPr>
                  </w:pPr>
                  <w:r>
                    <w:rPr>
                      <w:rFonts w:ascii="宋体" w:hAnsi="宋体" w:eastAsia="宋体"/>
                    </w:rPr>
                    <w:t>3</w:t>
                  </w:r>
                </w:p>
              </w:tc>
              <w:tc>
                <w:tcPr>
                  <w:tcW w:w="897" w:type="pct"/>
                  <w:vAlign w:val="center"/>
                </w:tcPr>
                <w:p>
                  <w:pPr>
                    <w:pStyle w:val="143"/>
                    <w:adjustRightInd/>
                    <w:spacing w:before="0" w:after="0"/>
                    <w:rPr>
                      <w:rFonts w:ascii="宋体" w:hAnsi="宋体" w:eastAsia="宋体"/>
                    </w:rPr>
                  </w:pPr>
                  <w:r>
                    <w:rPr>
                      <w:rFonts w:ascii="宋体" w:hAnsi="宋体" w:eastAsia="宋体"/>
                      <w:snapToGrid/>
                    </w:rPr>
                    <w:drawing>
                      <wp:inline distT="0" distB="0" distL="0" distR="0">
                        <wp:extent cx="647700" cy="647700"/>
                        <wp:effectExtent l="0" t="0" r="0" b="0"/>
                        <wp:docPr id="19" name="图片 8" descr="说明: 说明: 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说明: 说明: 2006022015180498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a:noFill/>
                                <a:ln>
                                  <a:noFill/>
                                </a:ln>
                              </pic:spPr>
                            </pic:pic>
                          </a:graphicData>
                        </a:graphic>
                      </wp:inline>
                    </w:drawing>
                  </w:r>
                </w:p>
              </w:tc>
              <w:tc>
                <w:tcPr>
                  <w:tcW w:w="897" w:type="pct"/>
                  <w:vAlign w:val="center"/>
                </w:tcPr>
                <w:p>
                  <w:pPr>
                    <w:pStyle w:val="143"/>
                    <w:adjustRightInd/>
                    <w:spacing w:before="0" w:after="0"/>
                    <w:rPr>
                      <w:rFonts w:ascii="宋体" w:hAnsi="宋体" w:eastAsia="宋体"/>
                    </w:rPr>
                  </w:pPr>
                  <w:r>
                    <w:rPr>
                      <w:rFonts w:ascii="宋体" w:hAnsi="宋体" w:eastAsia="宋体"/>
                      <w:snapToGrid/>
                    </w:rPr>
                    <w:drawing>
                      <wp:inline distT="0" distB="0" distL="0" distR="0">
                        <wp:extent cx="609600" cy="542925"/>
                        <wp:effectExtent l="0" t="0" r="0" b="0"/>
                        <wp:docPr id="20" name="图片 6" descr="说明: 说明: 2006022015190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descr="说明: 说明: 2006022015190186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09600" cy="542925"/>
                                </a:xfrm>
                                <a:prstGeom prst="rect">
                                  <a:avLst/>
                                </a:prstGeom>
                                <a:noFill/>
                                <a:ln>
                                  <a:noFill/>
                                </a:ln>
                              </pic:spPr>
                            </pic:pic>
                          </a:graphicData>
                        </a:graphic>
                      </wp:inline>
                    </w:drawing>
                  </w:r>
                </w:p>
              </w:tc>
              <w:tc>
                <w:tcPr>
                  <w:tcW w:w="894" w:type="pct"/>
                  <w:vAlign w:val="center"/>
                </w:tcPr>
                <w:p>
                  <w:pPr>
                    <w:pStyle w:val="143"/>
                    <w:adjustRightInd/>
                    <w:spacing w:before="0" w:after="0"/>
                    <w:rPr>
                      <w:rFonts w:ascii="宋体" w:hAnsi="宋体" w:eastAsia="宋体"/>
                    </w:rPr>
                  </w:pPr>
                  <w:r>
                    <w:rPr>
                      <w:rFonts w:ascii="宋体" w:hAnsi="宋体" w:eastAsia="宋体"/>
                    </w:rPr>
                    <w:t>噪声排放源</w:t>
                  </w:r>
                </w:p>
              </w:tc>
              <w:tc>
                <w:tcPr>
                  <w:tcW w:w="1944" w:type="pct"/>
                  <w:vAlign w:val="center"/>
                </w:tcPr>
                <w:p>
                  <w:pPr>
                    <w:pStyle w:val="143"/>
                    <w:adjustRightInd/>
                    <w:spacing w:before="0" w:after="0"/>
                    <w:rPr>
                      <w:rFonts w:ascii="宋体" w:hAnsi="宋体" w:eastAsia="宋体"/>
                    </w:rPr>
                  </w:pPr>
                  <w:r>
                    <w:rPr>
                      <w:rFonts w:ascii="宋体" w:hAnsi="宋体" w:eastAsia="宋体"/>
                    </w:rPr>
                    <w:t>表示噪声向外环境排放</w:t>
                  </w:r>
                </w:p>
              </w:tc>
            </w:tr>
          </w:tbl>
          <w:p>
            <w:pPr>
              <w:pStyle w:val="144"/>
              <w:spacing w:before="0" w:after="0"/>
              <w:ind w:firstLine="482"/>
              <w:rPr>
                <w:rFonts w:hAnsi="Times New Roman" w:eastAsia="宋体"/>
                <w:sz w:val="24"/>
                <w:szCs w:val="24"/>
              </w:rPr>
            </w:pPr>
          </w:p>
          <w:p>
            <w:pPr>
              <w:pStyle w:val="144"/>
              <w:spacing w:before="0" w:after="0"/>
              <w:ind w:firstLine="482"/>
              <w:rPr>
                <w:rFonts w:hAnsi="Times New Roman" w:eastAsia="宋体"/>
                <w:sz w:val="24"/>
                <w:szCs w:val="24"/>
              </w:rPr>
            </w:pPr>
          </w:p>
          <w:p>
            <w:pPr>
              <w:pStyle w:val="107"/>
              <w:adjustRightInd/>
              <w:spacing w:line="360" w:lineRule="auto"/>
              <w:ind w:firstLine="482" w:firstLineChars="200"/>
              <w:rPr>
                <w:rFonts w:hint="eastAsia" w:ascii="Times New Roman" w:cs="Times New Roman" w:hAnsiTheme="minorEastAsia" w:eastAsiaTheme="minorEastAsia"/>
                <w:b/>
                <w:bCs/>
                <w:sz w:val="24"/>
                <w:lang w:eastAsia="zh-CN"/>
              </w:rPr>
            </w:pPr>
            <w:r>
              <w:rPr>
                <w:rFonts w:ascii="Times New Roman" w:cs="Times New Roman"/>
                <w:color w:val="auto"/>
              </w:rPr>
              <w:t>在厂区的危废暂存间应设置危险废物识别标识和危险废物贮存设施视频监控，按《危险废物贮存污染控制标准》（GB18597-2001）、《废物收集贮存运输技术规范》(HB/T2025-2012)、《环境保护图形标志固体废物贮存（处置）》（GB15562.2-1995）执行，危险废物识别标识规范化设置要求见表</w:t>
            </w:r>
            <w:r>
              <w:rPr>
                <w:rFonts w:hint="eastAsia" w:ascii="Times New Roman" w:cs="Times New Roman"/>
                <w:color w:val="auto"/>
              </w:rPr>
              <w:t>4</w:t>
            </w:r>
            <w:r>
              <w:rPr>
                <w:rFonts w:hint="eastAsia" w:ascii="Times New Roman" w:cs="Times New Roman"/>
                <w:color w:val="auto"/>
                <w:lang w:val="en-US" w:eastAsia="zh-CN"/>
              </w:rPr>
              <w:t>-30</w:t>
            </w:r>
            <w:r>
              <w:rPr>
                <w:rFonts w:ascii="Times New Roman" w:cs="Times New Roman"/>
                <w:color w:val="auto"/>
              </w:rPr>
              <w:t>，危险废物贮存设施视频监控布设要求见表</w:t>
            </w:r>
            <w:r>
              <w:rPr>
                <w:rFonts w:hint="eastAsia" w:ascii="Times New Roman" w:cs="Times New Roman"/>
                <w:color w:val="auto"/>
              </w:rPr>
              <w:t>4</w:t>
            </w:r>
            <w:r>
              <w:rPr>
                <w:rFonts w:ascii="Times New Roman" w:cs="Times New Roman"/>
                <w:color w:val="auto"/>
              </w:rPr>
              <w:t>-</w:t>
            </w:r>
            <w:r>
              <w:rPr>
                <w:rFonts w:hint="eastAsia" w:ascii="Times New Roman" w:cs="Times New Roman"/>
                <w:color w:val="auto"/>
                <w:lang w:val="en-US" w:eastAsia="zh-CN"/>
              </w:rPr>
              <w:t>31</w:t>
            </w:r>
            <w:r>
              <w:rPr>
                <w:rFonts w:ascii="Times New Roman" w:cs="Times New Roman"/>
                <w:color w:val="auto"/>
              </w:rPr>
              <w:t>。</w:t>
            </w:r>
          </w:p>
          <w:p>
            <w:pPr>
              <w:pStyle w:val="144"/>
              <w:spacing w:before="0" w:after="0"/>
              <w:ind w:firstLine="482"/>
              <w:jc w:val="both"/>
              <w:rPr>
                <w:rFonts w:hAnsi="Times New Roman" w:eastAsia="宋体"/>
                <w:sz w:val="24"/>
                <w:szCs w:val="24"/>
              </w:rPr>
            </w:pPr>
          </w:p>
          <w:p>
            <w:pPr>
              <w:pStyle w:val="144"/>
              <w:spacing w:before="0" w:after="0"/>
              <w:ind w:firstLine="482"/>
              <w:rPr>
                <w:rFonts w:hAnsi="Times New Roman" w:eastAsia="宋体"/>
                <w:sz w:val="24"/>
                <w:szCs w:val="24"/>
              </w:rPr>
            </w:pPr>
            <w:r>
              <w:rPr>
                <w:rFonts w:hAnsi="Times New Roman" w:eastAsia="宋体"/>
                <w:sz w:val="24"/>
                <w:szCs w:val="24"/>
              </w:rPr>
              <w:t>表</w:t>
            </w:r>
            <w:r>
              <w:rPr>
                <w:rFonts w:hint="eastAsia" w:hAnsi="Times New Roman" w:eastAsia="宋体"/>
                <w:sz w:val="24"/>
                <w:szCs w:val="24"/>
              </w:rPr>
              <w:t>4-3</w:t>
            </w:r>
            <w:r>
              <w:rPr>
                <w:rFonts w:hint="eastAsia" w:hAnsi="Times New Roman" w:eastAsia="宋体"/>
                <w:sz w:val="24"/>
                <w:szCs w:val="24"/>
                <w:lang w:val="en-US" w:eastAsia="zh-CN"/>
              </w:rPr>
              <w:t>0</w:t>
            </w:r>
            <w:r>
              <w:rPr>
                <w:rFonts w:hAnsi="Times New Roman" w:eastAsia="宋体"/>
                <w:sz w:val="24"/>
                <w:szCs w:val="24"/>
              </w:rPr>
              <w:t>危险废物识别标识规范化设置要求</w:t>
            </w:r>
          </w:p>
          <w:tbl>
            <w:tblPr>
              <w:tblStyle w:val="36"/>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85" w:type="dxa"/>
                <w:left w:w="85" w:type="dxa"/>
                <w:bottom w:w="85" w:type="dxa"/>
                <w:right w:w="85" w:type="dxa"/>
              </w:tblCellMar>
            </w:tblPr>
            <w:tblGrid>
              <w:gridCol w:w="559"/>
              <w:gridCol w:w="498"/>
              <w:gridCol w:w="712"/>
              <w:gridCol w:w="3035"/>
              <w:gridCol w:w="369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336" w:type="pct"/>
                  <w:vAlign w:val="center"/>
                </w:tcPr>
                <w:p>
                  <w:pPr>
                    <w:pStyle w:val="143"/>
                    <w:spacing w:before="0" w:after="0"/>
                    <w:rPr>
                      <w:rFonts w:ascii="宋体" w:hAnsi="宋体" w:eastAsia="宋体"/>
                      <w:b/>
                      <w:bCs/>
                    </w:rPr>
                  </w:pPr>
                  <w:r>
                    <w:rPr>
                      <w:rFonts w:ascii="宋体" w:hAnsi="宋体" w:eastAsia="宋体"/>
                      <w:b/>
                      <w:bCs/>
                    </w:rPr>
                    <w:t>序号</w:t>
                  </w:r>
                </w:p>
              </w:tc>
              <w:tc>
                <w:tcPr>
                  <w:tcW w:w="726" w:type="pct"/>
                  <w:gridSpan w:val="2"/>
                  <w:vAlign w:val="center"/>
                </w:tcPr>
                <w:p>
                  <w:pPr>
                    <w:pStyle w:val="143"/>
                    <w:spacing w:before="0" w:after="0"/>
                    <w:rPr>
                      <w:rFonts w:ascii="宋体" w:hAnsi="宋体" w:eastAsia="宋体"/>
                      <w:b/>
                      <w:bCs/>
                    </w:rPr>
                  </w:pPr>
                  <w:r>
                    <w:rPr>
                      <w:rFonts w:ascii="宋体" w:hAnsi="宋体" w:eastAsia="宋体"/>
                      <w:b/>
                      <w:bCs/>
                    </w:rPr>
                    <w:t>标识名称</w:t>
                  </w:r>
                </w:p>
              </w:tc>
              <w:tc>
                <w:tcPr>
                  <w:tcW w:w="1758" w:type="pct"/>
                  <w:vAlign w:val="center"/>
                </w:tcPr>
                <w:p>
                  <w:pPr>
                    <w:pStyle w:val="143"/>
                    <w:spacing w:before="0" w:after="0"/>
                    <w:rPr>
                      <w:rFonts w:ascii="宋体" w:hAnsi="宋体" w:eastAsia="宋体"/>
                      <w:b/>
                      <w:bCs/>
                    </w:rPr>
                  </w:pPr>
                  <w:r>
                    <w:rPr>
                      <w:rFonts w:ascii="宋体" w:hAnsi="宋体" w:eastAsia="宋体"/>
                      <w:b/>
                      <w:bCs/>
                    </w:rPr>
                    <w:t>图案样式</w:t>
                  </w:r>
                </w:p>
              </w:tc>
              <w:tc>
                <w:tcPr>
                  <w:tcW w:w="2180" w:type="pct"/>
                  <w:vAlign w:val="center"/>
                </w:tcPr>
                <w:p>
                  <w:pPr>
                    <w:pStyle w:val="143"/>
                    <w:spacing w:before="0" w:after="0"/>
                    <w:rPr>
                      <w:rFonts w:ascii="宋体" w:hAnsi="宋体" w:eastAsia="宋体"/>
                      <w:b/>
                      <w:bCs/>
                    </w:rPr>
                  </w:pPr>
                  <w:r>
                    <w:rPr>
                      <w:rFonts w:ascii="宋体" w:hAnsi="宋体" w:eastAsia="宋体"/>
                      <w:b/>
                      <w:bCs/>
                    </w:rPr>
                    <w:t>设置规范</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336" w:type="pct"/>
                  <w:vAlign w:val="center"/>
                </w:tcPr>
                <w:p>
                  <w:pPr>
                    <w:pStyle w:val="143"/>
                    <w:spacing w:before="0" w:after="0"/>
                    <w:rPr>
                      <w:rFonts w:ascii="Times New Roman" w:hAnsi="Times New Roman" w:eastAsia="宋体"/>
                    </w:rPr>
                  </w:pPr>
                  <w:r>
                    <w:rPr>
                      <w:rFonts w:ascii="Times New Roman" w:hAnsi="Times New Roman" w:eastAsia="宋体"/>
                    </w:rPr>
                    <w:t>1</w:t>
                  </w:r>
                </w:p>
              </w:tc>
              <w:tc>
                <w:tcPr>
                  <w:tcW w:w="726" w:type="pct"/>
                  <w:gridSpan w:val="2"/>
                  <w:vAlign w:val="center"/>
                </w:tcPr>
                <w:p>
                  <w:pPr>
                    <w:pStyle w:val="143"/>
                    <w:spacing w:before="0" w:after="0"/>
                    <w:rPr>
                      <w:rFonts w:ascii="Times New Roman" w:hAnsi="Times New Roman" w:eastAsia="宋体"/>
                    </w:rPr>
                  </w:pPr>
                  <w:r>
                    <w:rPr>
                      <w:rFonts w:ascii="Times New Roman" w:hAnsi="宋体" w:eastAsia="宋体"/>
                    </w:rPr>
                    <w:t>危险废物信息公开栏</w:t>
                  </w:r>
                </w:p>
              </w:tc>
              <w:tc>
                <w:tcPr>
                  <w:tcW w:w="1758" w:type="pct"/>
                  <w:vAlign w:val="center"/>
                </w:tcPr>
                <w:p>
                  <w:pPr>
                    <w:widowControl/>
                    <w:jc w:val="center"/>
                    <w:rPr>
                      <w:szCs w:val="21"/>
                    </w:rPr>
                  </w:pPr>
                  <w:r>
                    <w:rPr>
                      <w:kern w:val="0"/>
                      <w:szCs w:val="21"/>
                    </w:rPr>
                    <w:drawing>
                      <wp:inline distT="0" distB="0" distL="0" distR="0">
                        <wp:extent cx="1809750" cy="1219200"/>
                        <wp:effectExtent l="0" t="0" r="0" b="0"/>
                        <wp:docPr id="2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descr="IMG_2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09750" cy="1219200"/>
                                </a:xfrm>
                                <a:prstGeom prst="rect">
                                  <a:avLst/>
                                </a:prstGeom>
                                <a:noFill/>
                                <a:ln>
                                  <a:noFill/>
                                </a:ln>
                              </pic:spPr>
                            </pic:pic>
                          </a:graphicData>
                        </a:graphic>
                      </wp:inline>
                    </w:drawing>
                  </w:r>
                </w:p>
              </w:tc>
              <w:tc>
                <w:tcPr>
                  <w:tcW w:w="2180" w:type="pct"/>
                  <w:vAlign w:val="center"/>
                </w:tcPr>
                <w:p>
                  <w:pPr>
                    <w:jc w:val="center"/>
                    <w:rPr>
                      <w:szCs w:val="21"/>
                    </w:rPr>
                  </w:pPr>
                  <w:r>
                    <w:rPr>
                      <w:rFonts w:hAnsi="宋体"/>
                      <w:szCs w:val="21"/>
                    </w:rPr>
                    <w:t>采用立式固定方式固定在危险废物产生单位厂区内口醒目位置，公开栏顶端距离地面</w:t>
                  </w:r>
                  <w:r>
                    <w:rPr>
                      <w:szCs w:val="21"/>
                    </w:rPr>
                    <w:t>200cm</w:t>
                  </w:r>
                  <w:r>
                    <w:rPr>
                      <w:rFonts w:hAnsi="宋体"/>
                      <w:szCs w:val="21"/>
                    </w:rPr>
                    <w:t>处。</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336" w:type="pct"/>
                  <w:vAlign w:val="center"/>
                </w:tcPr>
                <w:p>
                  <w:pPr>
                    <w:pStyle w:val="143"/>
                    <w:spacing w:before="0" w:after="0"/>
                    <w:rPr>
                      <w:rFonts w:ascii="Times New Roman" w:hAnsi="Times New Roman" w:eastAsia="宋体"/>
                    </w:rPr>
                  </w:pPr>
                  <w:r>
                    <w:rPr>
                      <w:rFonts w:ascii="Times New Roman" w:hAnsi="Times New Roman" w:eastAsia="宋体"/>
                    </w:rPr>
                    <w:t>2</w:t>
                  </w:r>
                </w:p>
              </w:tc>
              <w:tc>
                <w:tcPr>
                  <w:tcW w:w="300" w:type="pct"/>
                  <w:vMerge w:val="restart"/>
                  <w:vAlign w:val="center"/>
                </w:tcPr>
                <w:p>
                  <w:pPr>
                    <w:pStyle w:val="143"/>
                    <w:spacing w:before="0" w:after="0"/>
                    <w:rPr>
                      <w:rFonts w:ascii="Times New Roman" w:hAnsi="Times New Roman" w:eastAsia="宋体"/>
                    </w:rPr>
                  </w:pPr>
                  <w:r>
                    <w:rPr>
                      <w:rFonts w:ascii="Times New Roman" w:hAnsi="宋体" w:eastAsia="宋体"/>
                    </w:rPr>
                    <w:t>危险废物贮存设施警示标识牌</w:t>
                  </w:r>
                </w:p>
              </w:tc>
              <w:tc>
                <w:tcPr>
                  <w:tcW w:w="426" w:type="pct"/>
                  <w:vAlign w:val="center"/>
                </w:tcPr>
                <w:p>
                  <w:pPr>
                    <w:pStyle w:val="143"/>
                    <w:spacing w:before="0" w:after="0"/>
                    <w:rPr>
                      <w:rFonts w:ascii="Times New Roman" w:hAnsi="Times New Roman" w:eastAsia="宋体"/>
                    </w:rPr>
                  </w:pPr>
                  <w:r>
                    <w:rPr>
                      <w:rFonts w:ascii="Times New Roman" w:hAnsi="宋体" w:eastAsia="宋体"/>
                    </w:rPr>
                    <w:t>平面固定式贮存设施警示标志牌</w:t>
                  </w:r>
                </w:p>
              </w:tc>
              <w:tc>
                <w:tcPr>
                  <w:tcW w:w="1758" w:type="pct"/>
                  <w:vAlign w:val="center"/>
                </w:tcPr>
                <w:p>
                  <w:pPr>
                    <w:widowControl/>
                    <w:jc w:val="center"/>
                    <w:rPr>
                      <w:szCs w:val="21"/>
                    </w:rPr>
                  </w:pPr>
                  <w:r>
                    <w:rPr>
                      <w:kern w:val="0"/>
                      <w:szCs w:val="21"/>
                    </w:rPr>
                    <w:drawing>
                      <wp:inline distT="0" distB="0" distL="0" distR="0">
                        <wp:extent cx="1200150" cy="1457325"/>
                        <wp:effectExtent l="0" t="0" r="0" b="0"/>
                        <wp:docPr id="2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200150" cy="1457325"/>
                                </a:xfrm>
                                <a:prstGeom prst="rect">
                                  <a:avLst/>
                                </a:prstGeom>
                                <a:noFill/>
                                <a:ln>
                                  <a:noFill/>
                                </a:ln>
                              </pic:spPr>
                            </pic:pic>
                          </a:graphicData>
                        </a:graphic>
                      </wp:inline>
                    </w:drawing>
                  </w:r>
                </w:p>
              </w:tc>
              <w:tc>
                <w:tcPr>
                  <w:tcW w:w="2180" w:type="pct"/>
                  <w:vAlign w:val="center"/>
                </w:tcPr>
                <w:p>
                  <w:pPr>
                    <w:pStyle w:val="143"/>
                    <w:spacing w:before="0" w:after="0"/>
                    <w:rPr>
                      <w:rFonts w:ascii="Times New Roman" w:hAnsi="Times New Roman" w:eastAsia="宋体"/>
                    </w:rPr>
                  </w:pPr>
                  <w:r>
                    <w:rPr>
                      <w:rFonts w:ascii="Times New Roman" w:hAnsi="宋体" w:eastAsia="宋体"/>
                    </w:rPr>
                    <w:t>平面固定在每一处贮存设施外的显著位置</w:t>
                  </w:r>
                  <w:r>
                    <w:rPr>
                      <w:rFonts w:ascii="Times New Roman" w:hAnsi="Times New Roman" w:eastAsia="宋体"/>
                    </w:rPr>
                    <w:t>,</w:t>
                  </w:r>
                  <w:r>
                    <w:rPr>
                      <w:rFonts w:ascii="Times New Roman" w:hAnsi="宋体" w:eastAsia="宋体"/>
                    </w:rPr>
                    <w:t>包括全封闭式仓库外墙靠门一侧</w:t>
                  </w:r>
                  <w:r>
                    <w:rPr>
                      <w:rFonts w:ascii="Times New Roman" w:hAnsi="Times New Roman" w:eastAsia="宋体"/>
                    </w:rPr>
                    <w:t>,</w:t>
                  </w:r>
                  <w:r>
                    <w:rPr>
                      <w:rFonts w:ascii="Times New Roman" w:hAnsi="宋体" w:eastAsia="宋体"/>
                    </w:rPr>
                    <w:t>围墙或防护栅栏外侧</w:t>
                  </w:r>
                  <w:r>
                    <w:rPr>
                      <w:rFonts w:ascii="Times New Roman" w:hAnsi="Times New Roman" w:eastAsia="宋体"/>
                    </w:rPr>
                    <w:t>,</w:t>
                  </w:r>
                  <w:r>
                    <w:rPr>
                      <w:rFonts w:ascii="Times New Roman" w:hAnsi="宋体" w:eastAsia="宋体"/>
                    </w:rPr>
                    <w:t>适合平面固定的储罐、贮槽等</w:t>
                  </w:r>
                  <w:r>
                    <w:rPr>
                      <w:rFonts w:ascii="Times New Roman" w:hAnsi="Times New Roman" w:eastAsia="宋体"/>
                    </w:rPr>
                    <w:t>,</w:t>
                  </w:r>
                  <w:r>
                    <w:rPr>
                      <w:rFonts w:ascii="Times New Roman" w:hAnsi="宋体" w:eastAsia="宋体"/>
                    </w:rPr>
                    <w:t>标志牌顶端距离地面</w:t>
                  </w:r>
                  <w:r>
                    <w:rPr>
                      <w:rFonts w:ascii="Times New Roman" w:hAnsi="Times New Roman" w:eastAsia="宋体"/>
                    </w:rPr>
                    <w:t>200cm</w:t>
                  </w:r>
                  <w:r>
                    <w:rPr>
                      <w:rFonts w:ascii="Times New Roman" w:hAnsi="宋体" w:eastAsia="宋体"/>
                    </w:rPr>
                    <w:t>处。除无法平面固定警示标志的储罐、贮槽需采取立式固定外</w:t>
                  </w:r>
                  <w:r>
                    <w:rPr>
                      <w:rFonts w:ascii="Times New Roman" w:hAnsi="Times New Roman" w:eastAsia="宋体"/>
                    </w:rPr>
                    <w:t>,</w:t>
                  </w:r>
                  <w:r>
                    <w:rPr>
                      <w:rFonts w:ascii="Times New Roman" w:hAnsi="宋体" w:eastAsia="宋体"/>
                    </w:rPr>
                    <w:t>其他贮存设施均采用平面固定式警示标志牌。</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336" w:type="pct"/>
                  <w:vAlign w:val="center"/>
                </w:tcPr>
                <w:p>
                  <w:pPr>
                    <w:pStyle w:val="143"/>
                    <w:spacing w:before="0" w:after="0"/>
                    <w:rPr>
                      <w:rFonts w:ascii="Times New Roman" w:hAnsi="Times New Roman" w:eastAsia="宋体"/>
                    </w:rPr>
                  </w:pPr>
                  <w:r>
                    <w:rPr>
                      <w:rFonts w:ascii="Times New Roman" w:hAnsi="Times New Roman" w:eastAsia="宋体"/>
                    </w:rPr>
                    <w:t>3</w:t>
                  </w:r>
                </w:p>
              </w:tc>
              <w:tc>
                <w:tcPr>
                  <w:tcW w:w="300" w:type="pct"/>
                  <w:vMerge w:val="continue"/>
                  <w:vAlign w:val="center"/>
                </w:tcPr>
                <w:p>
                  <w:pPr>
                    <w:pStyle w:val="143"/>
                    <w:spacing w:before="0" w:after="0"/>
                    <w:rPr>
                      <w:rFonts w:ascii="Times New Roman" w:hAnsi="Times New Roman" w:eastAsia="宋体"/>
                      <w:snapToGrid/>
                    </w:rPr>
                  </w:pPr>
                </w:p>
              </w:tc>
              <w:tc>
                <w:tcPr>
                  <w:tcW w:w="426" w:type="pct"/>
                  <w:vAlign w:val="center"/>
                </w:tcPr>
                <w:p>
                  <w:pPr>
                    <w:pStyle w:val="143"/>
                    <w:spacing w:before="0" w:after="0"/>
                    <w:rPr>
                      <w:rFonts w:ascii="Times New Roman" w:hAnsi="Times New Roman" w:eastAsia="宋体"/>
                      <w:snapToGrid/>
                    </w:rPr>
                  </w:pPr>
                  <w:r>
                    <w:rPr>
                      <w:rFonts w:ascii="Times New Roman" w:hAnsi="宋体" w:eastAsia="宋体"/>
                      <w:snapToGrid/>
                    </w:rPr>
                    <w:t>立式固定式贮存设施警示标识牌</w:t>
                  </w:r>
                </w:p>
              </w:tc>
              <w:tc>
                <w:tcPr>
                  <w:tcW w:w="1758" w:type="pct"/>
                  <w:vAlign w:val="center"/>
                </w:tcPr>
                <w:p>
                  <w:pPr>
                    <w:widowControl/>
                    <w:jc w:val="center"/>
                    <w:rPr>
                      <w:szCs w:val="21"/>
                    </w:rPr>
                  </w:pPr>
                  <w:r>
                    <w:rPr>
                      <w:kern w:val="0"/>
                      <w:szCs w:val="21"/>
                    </w:rPr>
                    <w:drawing>
                      <wp:inline distT="0" distB="0" distL="0" distR="0">
                        <wp:extent cx="1800225" cy="1200150"/>
                        <wp:effectExtent l="0" t="0" r="0" b="0"/>
                        <wp:docPr id="2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descr="IMG_2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00225" cy="1200150"/>
                                </a:xfrm>
                                <a:prstGeom prst="rect">
                                  <a:avLst/>
                                </a:prstGeom>
                                <a:noFill/>
                                <a:ln>
                                  <a:noFill/>
                                </a:ln>
                              </pic:spPr>
                            </pic:pic>
                          </a:graphicData>
                        </a:graphic>
                      </wp:inline>
                    </w:drawing>
                  </w:r>
                </w:p>
              </w:tc>
              <w:tc>
                <w:tcPr>
                  <w:tcW w:w="2180" w:type="pct"/>
                  <w:vAlign w:val="center"/>
                </w:tcPr>
                <w:p>
                  <w:pPr>
                    <w:pStyle w:val="143"/>
                    <w:spacing w:before="0" w:after="0"/>
                    <w:rPr>
                      <w:rFonts w:ascii="Times New Roman" w:hAnsi="Times New Roman" w:eastAsia="宋体"/>
                    </w:rPr>
                  </w:pPr>
                  <w:r>
                    <w:rPr>
                      <w:rFonts w:ascii="Times New Roman" w:hAnsi="宋体" w:eastAsia="宋体"/>
                    </w:rPr>
                    <w:t>立式固定在每一处储罐、贮槽等不适合平面固定的贮存设施外部紧邻区域，标识牌顶端距离地面</w:t>
                  </w:r>
                  <w:r>
                    <w:rPr>
                      <w:rFonts w:ascii="Times New Roman" w:hAnsi="Times New Roman" w:eastAsia="宋体"/>
                    </w:rPr>
                    <w:t>200cm</w:t>
                  </w:r>
                  <w:r>
                    <w:rPr>
                      <w:rFonts w:ascii="Times New Roman" w:hAnsi="宋体" w:eastAsia="宋体"/>
                    </w:rPr>
                    <w:t>处。不得破坏防渗区域。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336" w:type="pct"/>
                  <w:vAlign w:val="center"/>
                </w:tcPr>
                <w:p>
                  <w:pPr>
                    <w:pStyle w:val="143"/>
                    <w:spacing w:before="0" w:after="0"/>
                    <w:rPr>
                      <w:rFonts w:ascii="Times New Roman" w:hAnsi="Times New Roman" w:eastAsia="宋体"/>
                    </w:rPr>
                  </w:pPr>
                  <w:r>
                    <w:rPr>
                      <w:rFonts w:ascii="Times New Roman" w:hAnsi="Times New Roman" w:eastAsia="宋体"/>
                    </w:rPr>
                    <w:t>4</w:t>
                  </w:r>
                </w:p>
              </w:tc>
              <w:tc>
                <w:tcPr>
                  <w:tcW w:w="300" w:type="pct"/>
                  <w:vMerge w:val="continue"/>
                  <w:vAlign w:val="center"/>
                </w:tcPr>
                <w:p>
                  <w:pPr>
                    <w:pStyle w:val="143"/>
                    <w:spacing w:before="0" w:after="0"/>
                    <w:rPr>
                      <w:rFonts w:ascii="Times New Roman" w:hAnsi="Times New Roman" w:eastAsia="宋体"/>
                      <w:snapToGrid/>
                    </w:rPr>
                  </w:pPr>
                </w:p>
              </w:tc>
              <w:tc>
                <w:tcPr>
                  <w:tcW w:w="426" w:type="pct"/>
                  <w:vAlign w:val="center"/>
                </w:tcPr>
                <w:p>
                  <w:pPr>
                    <w:pStyle w:val="143"/>
                    <w:spacing w:before="0" w:after="0"/>
                    <w:rPr>
                      <w:rFonts w:ascii="Times New Roman" w:hAnsi="Times New Roman" w:eastAsia="宋体"/>
                      <w:snapToGrid/>
                    </w:rPr>
                  </w:pPr>
                  <w:r>
                    <w:rPr>
                      <w:rFonts w:ascii="Times New Roman" w:hAnsi="宋体" w:eastAsia="宋体"/>
                      <w:snapToGrid/>
                    </w:rPr>
                    <w:t>贮存设施内部部分区警示标识牌</w:t>
                  </w:r>
                </w:p>
              </w:tc>
              <w:tc>
                <w:tcPr>
                  <w:tcW w:w="1758" w:type="pct"/>
                  <w:vAlign w:val="center"/>
                </w:tcPr>
                <w:p>
                  <w:pPr>
                    <w:widowControl/>
                    <w:jc w:val="center"/>
                    <w:rPr>
                      <w:szCs w:val="21"/>
                    </w:rPr>
                  </w:pPr>
                  <w:r>
                    <w:rPr>
                      <w:kern w:val="0"/>
                      <w:szCs w:val="21"/>
                    </w:rPr>
                    <w:drawing>
                      <wp:inline distT="0" distB="0" distL="0" distR="0">
                        <wp:extent cx="1819275" cy="1238250"/>
                        <wp:effectExtent l="0" t="0" r="0" b="0"/>
                        <wp:docPr id="2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IMG_2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19275" cy="1238250"/>
                                </a:xfrm>
                                <a:prstGeom prst="rect">
                                  <a:avLst/>
                                </a:prstGeom>
                                <a:noFill/>
                                <a:ln>
                                  <a:noFill/>
                                </a:ln>
                              </pic:spPr>
                            </pic:pic>
                          </a:graphicData>
                        </a:graphic>
                      </wp:inline>
                    </w:drawing>
                  </w:r>
                </w:p>
              </w:tc>
              <w:tc>
                <w:tcPr>
                  <w:tcW w:w="2180" w:type="pct"/>
                  <w:vAlign w:val="center"/>
                </w:tcPr>
                <w:p>
                  <w:pPr>
                    <w:pStyle w:val="143"/>
                    <w:spacing w:before="0" w:after="0"/>
                    <w:rPr>
                      <w:rFonts w:ascii="Times New Roman" w:hAnsi="Times New Roman" w:eastAsia="宋体"/>
                    </w:rPr>
                  </w:pPr>
                  <w:r>
                    <w:rPr>
                      <w:rFonts w:ascii="Times New Roman" w:hAnsi="宋体" w:eastAsia="宋体"/>
                    </w:rPr>
                    <w:t>贮存设施内部分区，固定于每一种危险废物存放区域的墙面、栅栏内部等位置。无法或不便于平面固定、确需采用立式的，可选择立式可移动支架，不得破坏防渗区域。顶端距离地面</w:t>
                  </w:r>
                  <w:r>
                    <w:rPr>
                      <w:rFonts w:ascii="Times New Roman" w:hAnsi="Times New Roman" w:eastAsia="宋体"/>
                    </w:rPr>
                    <w:t>200cm</w:t>
                  </w:r>
                  <w:r>
                    <w:rPr>
                      <w:rFonts w:ascii="Times New Roman" w:hAnsi="宋体" w:eastAsia="宋体"/>
                    </w:rPr>
                    <w:t>处。</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336" w:type="pct"/>
                  <w:vAlign w:val="center"/>
                </w:tcPr>
                <w:p>
                  <w:pPr>
                    <w:pStyle w:val="143"/>
                    <w:spacing w:before="0" w:after="0"/>
                    <w:rPr>
                      <w:rFonts w:ascii="Times New Roman" w:hAnsi="Times New Roman" w:eastAsia="宋体"/>
                    </w:rPr>
                  </w:pPr>
                  <w:r>
                    <w:rPr>
                      <w:rFonts w:ascii="Times New Roman" w:hAnsi="Times New Roman" w:eastAsia="宋体"/>
                    </w:rPr>
                    <w:t>5</w:t>
                  </w:r>
                </w:p>
              </w:tc>
              <w:tc>
                <w:tcPr>
                  <w:tcW w:w="726" w:type="pct"/>
                  <w:gridSpan w:val="2"/>
                  <w:vAlign w:val="center"/>
                </w:tcPr>
                <w:p>
                  <w:pPr>
                    <w:pStyle w:val="143"/>
                    <w:spacing w:before="0" w:after="0"/>
                    <w:rPr>
                      <w:rFonts w:ascii="Times New Roman" w:hAnsi="Times New Roman" w:eastAsia="宋体"/>
                      <w:snapToGrid/>
                    </w:rPr>
                  </w:pPr>
                  <w:r>
                    <w:rPr>
                      <w:rFonts w:ascii="Times New Roman" w:hAnsi="宋体" w:eastAsia="宋体"/>
                      <w:snapToGrid/>
                    </w:rPr>
                    <w:t>包装识别标签</w:t>
                  </w:r>
                </w:p>
              </w:tc>
              <w:tc>
                <w:tcPr>
                  <w:tcW w:w="1758" w:type="pct"/>
                  <w:vAlign w:val="center"/>
                </w:tcPr>
                <w:p>
                  <w:pPr>
                    <w:widowControl/>
                    <w:jc w:val="center"/>
                    <w:rPr>
                      <w:szCs w:val="21"/>
                    </w:rPr>
                  </w:pPr>
                  <w:r>
                    <w:rPr>
                      <w:kern w:val="0"/>
                      <w:szCs w:val="21"/>
                    </w:rPr>
                    <w:drawing>
                      <wp:inline distT="0" distB="0" distL="0" distR="0">
                        <wp:extent cx="1619250" cy="1619250"/>
                        <wp:effectExtent l="0" t="0" r="0" b="0"/>
                        <wp:docPr id="2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descr="IMG_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619250" cy="1619250"/>
                                </a:xfrm>
                                <a:prstGeom prst="rect">
                                  <a:avLst/>
                                </a:prstGeom>
                                <a:noFill/>
                                <a:ln>
                                  <a:noFill/>
                                </a:ln>
                              </pic:spPr>
                            </pic:pic>
                          </a:graphicData>
                        </a:graphic>
                      </wp:inline>
                    </w:drawing>
                  </w:r>
                </w:p>
              </w:tc>
              <w:tc>
                <w:tcPr>
                  <w:tcW w:w="2180" w:type="pct"/>
                  <w:vAlign w:val="center"/>
                </w:tcPr>
                <w:p>
                  <w:pPr>
                    <w:pStyle w:val="143"/>
                    <w:spacing w:before="0" w:after="0"/>
                    <w:rPr>
                      <w:rFonts w:ascii="Times New Roman" w:hAnsi="Times New Roman" w:eastAsia="宋体"/>
                    </w:rPr>
                  </w:pPr>
                  <w:r>
                    <w:rPr>
                      <w:rFonts w:ascii="Times New Roman" w:hAnsi="宋体" w:eastAsia="宋体"/>
                    </w:rPr>
                    <w:t>识别标签包括粘贴式和系挂式。粘贴式危险废物标签粘贴于适合粘贴的危险废物储存容器、包装物上，系挂式危险废物标签适合系挂于不易粘贴牢固或不方便粘贴但相对方便系挂的危险废物储存容器、包装物上。</w:t>
                  </w:r>
                </w:p>
              </w:tc>
            </w:tr>
          </w:tbl>
          <w:p>
            <w:pPr>
              <w:pStyle w:val="144"/>
              <w:spacing w:before="0" w:after="0" w:line="300" w:lineRule="auto"/>
              <w:ind w:firstLine="482"/>
              <w:rPr>
                <w:rFonts w:hAnsi="Times New Roman" w:eastAsia="宋体"/>
              </w:rPr>
            </w:pPr>
          </w:p>
          <w:p>
            <w:pPr>
              <w:pStyle w:val="144"/>
              <w:spacing w:before="0" w:after="0"/>
              <w:ind w:firstLine="482"/>
              <w:rPr>
                <w:rFonts w:hAnsi="Times New Roman" w:eastAsia="宋体"/>
                <w:sz w:val="24"/>
                <w:szCs w:val="24"/>
              </w:rPr>
            </w:pPr>
            <w:r>
              <w:rPr>
                <w:rFonts w:hAnsi="Times New Roman" w:eastAsia="宋体"/>
                <w:sz w:val="24"/>
                <w:szCs w:val="24"/>
              </w:rPr>
              <w:t>表</w:t>
            </w:r>
            <w:r>
              <w:rPr>
                <w:rFonts w:hint="eastAsia" w:hAnsi="Times New Roman" w:eastAsia="宋体"/>
                <w:sz w:val="24"/>
                <w:szCs w:val="24"/>
              </w:rPr>
              <w:t>4-3</w:t>
            </w:r>
            <w:r>
              <w:rPr>
                <w:rFonts w:hint="eastAsia" w:hAnsi="Times New Roman" w:eastAsia="宋体"/>
                <w:sz w:val="24"/>
                <w:szCs w:val="24"/>
                <w:lang w:val="en-US" w:eastAsia="zh-CN"/>
              </w:rPr>
              <w:t>1</w:t>
            </w:r>
            <w:r>
              <w:rPr>
                <w:rFonts w:hAnsi="Times New Roman" w:eastAsia="宋体"/>
                <w:sz w:val="24"/>
                <w:szCs w:val="24"/>
              </w:rPr>
              <w:t>危险废物贮存设施视频监控布设要求</w:t>
            </w:r>
          </w:p>
          <w:tbl>
            <w:tblPr>
              <w:tblStyle w:val="36"/>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85" w:type="dxa"/>
                <w:left w:w="85" w:type="dxa"/>
                <w:bottom w:w="85" w:type="dxa"/>
                <w:right w:w="85" w:type="dxa"/>
              </w:tblCellMar>
            </w:tblPr>
            <w:tblGrid>
              <w:gridCol w:w="1230"/>
              <w:gridCol w:w="2022"/>
              <w:gridCol w:w="524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1914" w:type="pct"/>
                  <w:gridSpan w:val="2"/>
                  <w:vAlign w:val="center"/>
                </w:tcPr>
                <w:p>
                  <w:pPr>
                    <w:pStyle w:val="143"/>
                    <w:spacing w:before="0" w:after="0"/>
                    <w:rPr>
                      <w:rFonts w:ascii="Times New Roman" w:hAnsi="Times New Roman" w:eastAsia="宋体"/>
                      <w:b/>
                      <w:bCs/>
                    </w:rPr>
                  </w:pPr>
                  <w:r>
                    <w:rPr>
                      <w:rFonts w:ascii="Times New Roman" w:hAnsi="宋体" w:eastAsia="宋体"/>
                      <w:b/>
                      <w:bCs/>
                    </w:rPr>
                    <w:t>设置位置</w:t>
                  </w:r>
                </w:p>
              </w:tc>
              <w:tc>
                <w:tcPr>
                  <w:tcW w:w="3086" w:type="pct"/>
                  <w:vAlign w:val="center"/>
                </w:tcPr>
                <w:p>
                  <w:pPr>
                    <w:pStyle w:val="143"/>
                    <w:spacing w:before="0" w:after="0"/>
                    <w:rPr>
                      <w:rFonts w:ascii="Times New Roman" w:hAnsi="Times New Roman" w:eastAsia="宋体"/>
                      <w:b/>
                      <w:bCs/>
                    </w:rPr>
                  </w:pPr>
                  <w:r>
                    <w:rPr>
                      <w:rFonts w:ascii="Times New Roman" w:hAnsi="宋体" w:eastAsia="宋体"/>
                      <w:b/>
                      <w:bCs/>
                    </w:rPr>
                    <w:t>监控范围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724" w:type="pct"/>
                  <w:vMerge w:val="restart"/>
                  <w:vAlign w:val="center"/>
                </w:tcPr>
                <w:p>
                  <w:pPr>
                    <w:pStyle w:val="143"/>
                    <w:spacing w:before="0" w:after="0"/>
                    <w:rPr>
                      <w:rFonts w:ascii="Times New Roman" w:hAnsi="Times New Roman" w:eastAsia="宋体"/>
                    </w:rPr>
                  </w:pPr>
                  <w:r>
                    <w:rPr>
                      <w:rFonts w:ascii="Times New Roman" w:hAnsi="宋体" w:eastAsia="宋体"/>
                    </w:rPr>
                    <w:t>一、贮存设施</w:t>
                  </w:r>
                </w:p>
              </w:tc>
              <w:tc>
                <w:tcPr>
                  <w:tcW w:w="1189" w:type="pct"/>
                  <w:vAlign w:val="center"/>
                </w:tcPr>
                <w:p>
                  <w:pPr>
                    <w:pStyle w:val="143"/>
                    <w:spacing w:before="0" w:after="0"/>
                    <w:rPr>
                      <w:rFonts w:ascii="Times New Roman" w:hAnsi="Times New Roman" w:eastAsia="宋体"/>
                    </w:rPr>
                  </w:pPr>
                  <w:r>
                    <w:rPr>
                      <w:rFonts w:ascii="Times New Roman" w:hAnsi="宋体" w:eastAsia="宋体"/>
                    </w:rPr>
                    <w:t>全封闭式仓库出入口</w:t>
                  </w:r>
                </w:p>
              </w:tc>
              <w:tc>
                <w:tcPr>
                  <w:tcW w:w="3086" w:type="pct"/>
                  <w:vAlign w:val="center"/>
                </w:tcPr>
                <w:p>
                  <w:pPr>
                    <w:pStyle w:val="143"/>
                    <w:spacing w:before="0" w:after="0"/>
                    <w:jc w:val="both"/>
                    <w:rPr>
                      <w:rFonts w:ascii="Times New Roman" w:hAnsi="Times New Roman" w:eastAsia="宋体"/>
                    </w:rPr>
                  </w:pPr>
                  <w:r>
                    <w:rPr>
                      <w:rFonts w:ascii="Times New Roman" w:hAnsi="宋体" w:eastAsia="宋体"/>
                    </w:rPr>
                    <w:t>全景视频监控，清晰记录危险废物入库、出库行为。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724" w:type="pct"/>
                  <w:vMerge w:val="continue"/>
                  <w:vAlign w:val="center"/>
                </w:tcPr>
                <w:p>
                  <w:pPr>
                    <w:pStyle w:val="143"/>
                    <w:spacing w:before="0" w:after="0"/>
                    <w:rPr>
                      <w:rFonts w:ascii="Times New Roman" w:hAnsi="Times New Roman" w:eastAsia="宋体"/>
                    </w:rPr>
                  </w:pPr>
                </w:p>
              </w:tc>
              <w:tc>
                <w:tcPr>
                  <w:tcW w:w="1189" w:type="pct"/>
                  <w:vAlign w:val="center"/>
                </w:tcPr>
                <w:p>
                  <w:pPr>
                    <w:pStyle w:val="143"/>
                    <w:spacing w:before="0" w:after="0"/>
                    <w:rPr>
                      <w:rFonts w:ascii="Times New Roman" w:hAnsi="Times New Roman" w:eastAsia="宋体"/>
                    </w:rPr>
                  </w:pPr>
                  <w:r>
                    <w:rPr>
                      <w:rFonts w:ascii="Times New Roman" w:hAnsi="宋体" w:eastAsia="宋体"/>
                    </w:rPr>
                    <w:t>全封闭式仓库内部</w:t>
                  </w:r>
                </w:p>
              </w:tc>
              <w:tc>
                <w:tcPr>
                  <w:tcW w:w="3086" w:type="pct"/>
                  <w:vAlign w:val="center"/>
                </w:tcPr>
                <w:p>
                  <w:pPr>
                    <w:pStyle w:val="143"/>
                    <w:spacing w:before="0" w:after="0"/>
                    <w:jc w:val="both"/>
                    <w:rPr>
                      <w:rFonts w:ascii="Times New Roman" w:hAnsi="Times New Roman" w:eastAsia="宋体"/>
                    </w:rPr>
                  </w:pPr>
                  <w:r>
                    <w:rPr>
                      <w:rFonts w:ascii="Times New Roman" w:hAnsi="宋体" w:eastAsia="宋体"/>
                    </w:rPr>
                    <w:t>全景视频监控，清晰记录仓库内部所有位置危险废物情况。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724" w:type="pct"/>
                  <w:vMerge w:val="continue"/>
                  <w:vAlign w:val="center"/>
                </w:tcPr>
                <w:p>
                  <w:pPr>
                    <w:pStyle w:val="143"/>
                    <w:spacing w:before="0" w:after="0"/>
                    <w:rPr>
                      <w:rFonts w:ascii="Times New Roman" w:hAnsi="Times New Roman" w:eastAsia="宋体"/>
                    </w:rPr>
                  </w:pPr>
                </w:p>
              </w:tc>
              <w:tc>
                <w:tcPr>
                  <w:tcW w:w="1189" w:type="pct"/>
                  <w:vAlign w:val="center"/>
                </w:tcPr>
                <w:p>
                  <w:pPr>
                    <w:pStyle w:val="143"/>
                    <w:spacing w:before="0" w:after="0"/>
                    <w:rPr>
                      <w:rFonts w:ascii="Times New Roman" w:hAnsi="Times New Roman" w:eastAsia="宋体"/>
                    </w:rPr>
                  </w:pPr>
                  <w:r>
                    <w:rPr>
                      <w:rFonts w:ascii="Times New Roman" w:hAnsi="宋体" w:eastAsia="宋体"/>
                    </w:rPr>
                    <w:t>围墙、防护栅栏隔离区域</w:t>
                  </w:r>
                </w:p>
              </w:tc>
              <w:tc>
                <w:tcPr>
                  <w:tcW w:w="3086" w:type="pct"/>
                  <w:vAlign w:val="center"/>
                </w:tcPr>
                <w:p>
                  <w:pPr>
                    <w:pStyle w:val="143"/>
                    <w:spacing w:before="0" w:after="0"/>
                    <w:jc w:val="both"/>
                    <w:rPr>
                      <w:rFonts w:ascii="Times New Roman" w:hAnsi="Times New Roman" w:eastAsia="宋体"/>
                    </w:rPr>
                  </w:pPr>
                  <w:r>
                    <w:rPr>
                      <w:rFonts w:ascii="Times New Roman" w:hAnsi="宋体" w:eastAsia="宋体"/>
                    </w:rPr>
                    <w:t>全景视频监控，画面须完全覆盖围墙围挡区域、防护栅栏隔离区域。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724" w:type="pct"/>
                  <w:vMerge w:val="continue"/>
                  <w:vAlign w:val="center"/>
                </w:tcPr>
                <w:p>
                  <w:pPr>
                    <w:pStyle w:val="143"/>
                    <w:spacing w:before="0" w:after="0"/>
                    <w:rPr>
                      <w:rFonts w:ascii="Times New Roman" w:hAnsi="Times New Roman" w:eastAsia="宋体"/>
                    </w:rPr>
                  </w:pPr>
                </w:p>
              </w:tc>
              <w:tc>
                <w:tcPr>
                  <w:tcW w:w="1189" w:type="pct"/>
                  <w:vAlign w:val="center"/>
                </w:tcPr>
                <w:p>
                  <w:pPr>
                    <w:pStyle w:val="143"/>
                    <w:spacing w:before="0" w:after="0"/>
                    <w:rPr>
                      <w:rFonts w:ascii="Times New Roman" w:hAnsi="Times New Roman" w:eastAsia="宋体"/>
                    </w:rPr>
                  </w:pPr>
                  <w:r>
                    <w:rPr>
                      <w:rFonts w:ascii="Times New Roman" w:hAnsi="宋体" w:eastAsia="宋体"/>
                    </w:rPr>
                    <w:t>储罐、贮槽等罐区</w:t>
                  </w:r>
                </w:p>
              </w:tc>
              <w:tc>
                <w:tcPr>
                  <w:tcW w:w="3086" w:type="pct"/>
                  <w:vAlign w:val="center"/>
                </w:tcPr>
                <w:p>
                  <w:pPr>
                    <w:pStyle w:val="143"/>
                    <w:numPr>
                      <w:ilvl w:val="0"/>
                      <w:numId w:val="8"/>
                    </w:numPr>
                    <w:spacing w:before="0" w:after="0"/>
                    <w:jc w:val="both"/>
                    <w:rPr>
                      <w:rFonts w:ascii="Times New Roman" w:hAnsi="Times New Roman" w:eastAsia="宋体"/>
                    </w:rPr>
                  </w:pPr>
                  <w:r>
                    <w:rPr>
                      <w:rFonts w:ascii="Times New Roman" w:hAnsi="宋体" w:eastAsia="宋体"/>
                    </w:rPr>
                    <w:t>含数据输出功能的液位计；</w:t>
                  </w:r>
                </w:p>
                <w:p>
                  <w:pPr>
                    <w:pStyle w:val="143"/>
                    <w:numPr>
                      <w:ilvl w:val="0"/>
                      <w:numId w:val="8"/>
                    </w:numPr>
                    <w:spacing w:before="0" w:after="0"/>
                    <w:jc w:val="both"/>
                    <w:rPr>
                      <w:rFonts w:ascii="Times New Roman" w:hAnsi="Times New Roman" w:eastAsia="宋体"/>
                    </w:rPr>
                  </w:pPr>
                  <w:r>
                    <w:rPr>
                      <w:rFonts w:ascii="Times New Roman" w:hAnsi="宋体" w:eastAsia="宋体"/>
                    </w:rPr>
                    <w:t>全景视频监控，画面须完全覆盖储罐、贮槽区域。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1914" w:type="pct"/>
                  <w:gridSpan w:val="2"/>
                  <w:vAlign w:val="center"/>
                </w:tcPr>
                <w:p>
                  <w:pPr>
                    <w:pStyle w:val="143"/>
                    <w:spacing w:before="0" w:after="0"/>
                    <w:rPr>
                      <w:rFonts w:ascii="Times New Roman" w:hAnsi="Times New Roman" w:eastAsia="宋体"/>
                    </w:rPr>
                  </w:pPr>
                  <w:r>
                    <w:rPr>
                      <w:rFonts w:ascii="Times New Roman" w:hAnsi="宋体" w:eastAsia="宋体"/>
                    </w:rPr>
                    <w:t>二、装卸区域</w:t>
                  </w:r>
                </w:p>
              </w:tc>
              <w:tc>
                <w:tcPr>
                  <w:tcW w:w="3086" w:type="pct"/>
                  <w:vAlign w:val="center"/>
                </w:tcPr>
                <w:p>
                  <w:pPr>
                    <w:pStyle w:val="143"/>
                    <w:spacing w:before="0" w:after="0"/>
                    <w:jc w:val="both"/>
                    <w:rPr>
                      <w:rFonts w:ascii="Times New Roman" w:hAnsi="Times New Roman" w:eastAsia="宋体"/>
                    </w:rPr>
                  </w:pPr>
                  <w:r>
                    <w:rPr>
                      <w:rFonts w:ascii="Times New Roman" w:hAnsi="宋体" w:eastAsia="宋体"/>
                    </w:rPr>
                    <w:t>全景视频监控，能清晰记录装卸过程，抓拍驾驶员和运输车辆车牌号码等信息。</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85" w:type="dxa"/>
                  <w:left w:w="85" w:type="dxa"/>
                  <w:bottom w:w="85" w:type="dxa"/>
                  <w:right w:w="85" w:type="dxa"/>
                </w:tblCellMar>
              </w:tblPrEx>
              <w:trPr>
                <w:jc w:val="center"/>
              </w:trPr>
              <w:tc>
                <w:tcPr>
                  <w:tcW w:w="1914" w:type="pct"/>
                  <w:gridSpan w:val="2"/>
                  <w:vAlign w:val="center"/>
                </w:tcPr>
                <w:p>
                  <w:pPr>
                    <w:pStyle w:val="143"/>
                    <w:spacing w:before="0" w:after="0"/>
                    <w:rPr>
                      <w:rFonts w:ascii="Times New Roman" w:hAnsi="Times New Roman" w:eastAsia="宋体"/>
                    </w:rPr>
                  </w:pPr>
                  <w:r>
                    <w:rPr>
                      <w:rFonts w:ascii="Times New Roman" w:hAnsi="宋体" w:eastAsia="宋体"/>
                    </w:rPr>
                    <w:t>三、危废运输车辆通道（含车辆出口和入口）</w:t>
                  </w:r>
                </w:p>
              </w:tc>
              <w:tc>
                <w:tcPr>
                  <w:tcW w:w="3086" w:type="pct"/>
                  <w:vAlign w:val="center"/>
                </w:tcPr>
                <w:p>
                  <w:pPr>
                    <w:pStyle w:val="143"/>
                    <w:spacing w:before="0" w:after="0"/>
                    <w:jc w:val="both"/>
                    <w:rPr>
                      <w:rFonts w:ascii="Times New Roman" w:hAnsi="Times New Roman" w:eastAsia="宋体"/>
                    </w:rPr>
                  </w:pPr>
                  <w:r>
                    <w:rPr>
                      <w:rFonts w:ascii="Times New Roman" w:hAnsi="Times New Roman" w:eastAsia="宋体"/>
                    </w:rPr>
                    <w:t>1</w:t>
                  </w:r>
                  <w:r>
                    <w:rPr>
                      <w:rFonts w:ascii="Times New Roman" w:hAnsi="宋体" w:eastAsia="宋体"/>
                    </w:rPr>
                    <w:t>、全景视频监控，清晰记录车辆出入情况；</w:t>
                  </w:r>
                </w:p>
                <w:p>
                  <w:pPr>
                    <w:rPr>
                      <w:szCs w:val="21"/>
                    </w:rPr>
                  </w:pPr>
                  <w:r>
                    <w:rPr>
                      <w:szCs w:val="21"/>
                    </w:rPr>
                    <w:t>2</w:t>
                  </w:r>
                  <w:r>
                    <w:rPr>
                      <w:rFonts w:hAnsi="宋体"/>
                      <w:szCs w:val="21"/>
                    </w:rPr>
                    <w:t>、摄像机应具备抓拍驾驶员和车棚号码功能。</w:t>
                  </w:r>
                </w:p>
              </w:tc>
            </w:tr>
          </w:tbl>
          <w:p>
            <w:pPr>
              <w:rPr>
                <w:szCs w:val="21"/>
              </w:rPr>
            </w:pPr>
          </w:p>
          <w:p>
            <w:pPr>
              <w:spacing w:line="360" w:lineRule="auto"/>
              <w:rPr>
                <w:b/>
                <w:sz w:val="24"/>
              </w:rPr>
            </w:pPr>
            <w:r>
              <w:rPr>
                <w:rFonts w:hint="eastAsia"/>
                <w:b/>
                <w:bCs/>
                <w:sz w:val="24"/>
              </w:rPr>
              <w:t>10</w:t>
            </w:r>
            <w:r>
              <w:rPr>
                <w:rFonts w:hint="eastAsia"/>
                <w:b/>
                <w:sz w:val="24"/>
              </w:rPr>
              <w:t>环境管理与监测计划</w:t>
            </w:r>
          </w:p>
          <w:p>
            <w:pPr>
              <w:spacing w:line="360" w:lineRule="auto"/>
              <w:ind w:firstLine="482" w:firstLineChars="200"/>
              <w:rPr>
                <w:b/>
                <w:bCs/>
                <w:sz w:val="24"/>
              </w:rPr>
            </w:pPr>
            <w:r>
              <w:rPr>
                <w:rFonts w:hint="eastAsia"/>
                <w:b/>
                <w:bCs/>
                <w:sz w:val="24"/>
              </w:rPr>
              <w:t>10.1环境管理</w:t>
            </w:r>
          </w:p>
          <w:p>
            <w:pPr>
              <w:pStyle w:val="70"/>
              <w:adjustRightInd w:val="0"/>
              <w:snapToGrid w:val="0"/>
              <w:spacing w:line="360" w:lineRule="auto"/>
              <w:ind w:firstLine="480"/>
              <w:rPr>
                <w:sz w:val="24"/>
                <w:szCs w:val="24"/>
              </w:rPr>
            </w:pPr>
            <w:r>
              <w:rPr>
                <w:rFonts w:hint="eastAsia"/>
                <w:sz w:val="24"/>
                <w:szCs w:val="24"/>
              </w:rPr>
              <w:t>建设项目的环境管理包括两个方面，一方面是政府环保部门对企业的管理，另一方面是企业对自身的环境管理。本次论述的主要是企业对自身的环境管理。</w:t>
            </w:r>
          </w:p>
          <w:p>
            <w:pPr>
              <w:adjustRightInd w:val="0"/>
              <w:snapToGrid w:val="0"/>
              <w:spacing w:line="360" w:lineRule="auto"/>
              <w:ind w:firstLine="468" w:firstLineChars="195"/>
              <w:rPr>
                <w:sz w:val="24"/>
              </w:rPr>
            </w:pPr>
            <w:r>
              <w:rPr>
                <w:rFonts w:hint="eastAsia"/>
                <w:sz w:val="24"/>
              </w:rPr>
              <w:t>企业通过对自身进行良好的环境管理，对企业内部来说，可以节约企业的生产成本，提高企业的经营效率；对外部来说，可以树立企业的良好环保形象，有利于企业融资、扩大生产规模等，也有利于获得公众和管理部门的认可和支持。</w:t>
            </w:r>
          </w:p>
          <w:p>
            <w:pPr>
              <w:adjustRightInd w:val="0"/>
              <w:snapToGrid w:val="0"/>
              <w:spacing w:line="360" w:lineRule="auto"/>
              <w:ind w:firstLine="480" w:firstLineChars="200"/>
              <w:rPr>
                <w:sz w:val="24"/>
              </w:rPr>
            </w:pPr>
            <w:r>
              <w:rPr>
                <w:rFonts w:hint="eastAsia"/>
                <w:sz w:val="24"/>
              </w:rPr>
              <w:t>企业应当在内部设置专职环境管理机构</w:t>
            </w:r>
            <w:r>
              <w:rPr>
                <w:sz w:val="24"/>
              </w:rPr>
              <w:t>——</w:t>
            </w:r>
            <w:r>
              <w:rPr>
                <w:rFonts w:hint="eastAsia"/>
                <w:sz w:val="24"/>
              </w:rPr>
              <w:t>环保安全部，由厂长或总经理直接负责，内设专职环境管理人员</w:t>
            </w:r>
            <w:r>
              <w:rPr>
                <w:sz w:val="24"/>
              </w:rPr>
              <w:t>1</w:t>
            </w:r>
            <w:r>
              <w:rPr>
                <w:rFonts w:hint="eastAsia"/>
                <w:sz w:val="24"/>
              </w:rPr>
              <w:t>人。环境管理人员应具有大专以上学历，具备一定的环保相关知识。</w:t>
            </w:r>
          </w:p>
          <w:p>
            <w:pPr>
              <w:adjustRightInd w:val="0"/>
              <w:snapToGrid w:val="0"/>
              <w:spacing w:line="360" w:lineRule="auto"/>
              <w:ind w:firstLine="480" w:firstLineChars="200"/>
              <w:rPr>
                <w:sz w:val="24"/>
              </w:rPr>
            </w:pPr>
            <w:r>
              <w:rPr>
                <w:rFonts w:hint="eastAsia"/>
                <w:sz w:val="24"/>
              </w:rPr>
              <w:t>环境管理的主要任务有：</w:t>
            </w:r>
          </w:p>
          <w:p>
            <w:pPr>
              <w:adjustRightInd w:val="0"/>
              <w:snapToGrid w:val="0"/>
              <w:spacing w:line="360" w:lineRule="auto"/>
              <w:ind w:firstLine="480" w:firstLineChars="200"/>
              <w:rPr>
                <w:sz w:val="24"/>
              </w:rPr>
            </w:pPr>
            <w:r>
              <w:rPr>
                <w:rFonts w:hint="eastAsia"/>
                <w:sz w:val="24"/>
              </w:rPr>
              <w:t>①贯彻落实国家和地方有关的环保法律法规和相关标准；</w:t>
            </w:r>
          </w:p>
          <w:p>
            <w:pPr>
              <w:adjustRightInd w:val="0"/>
              <w:snapToGrid w:val="0"/>
              <w:spacing w:line="360" w:lineRule="auto"/>
              <w:ind w:firstLine="480" w:firstLineChars="200"/>
              <w:rPr>
                <w:sz w:val="24"/>
              </w:rPr>
            </w:pPr>
            <w:r>
              <w:rPr>
                <w:rFonts w:hint="eastAsia"/>
                <w:sz w:val="24"/>
              </w:rPr>
              <w:t>②组织制定公司的环境保护管理规章制度，并监督检查其执行情况；</w:t>
            </w:r>
          </w:p>
          <w:p>
            <w:pPr>
              <w:adjustRightInd w:val="0"/>
              <w:snapToGrid w:val="0"/>
              <w:spacing w:line="360" w:lineRule="auto"/>
              <w:ind w:firstLine="480" w:firstLineChars="200"/>
              <w:rPr>
                <w:sz w:val="24"/>
              </w:rPr>
            </w:pPr>
            <w:r>
              <w:rPr>
                <w:rFonts w:hint="eastAsia"/>
                <w:sz w:val="24"/>
              </w:rPr>
              <w:t>③针对公司的具体情况，制定并组织实施环境保护规划和年度工作计划；</w:t>
            </w:r>
          </w:p>
          <w:p>
            <w:pPr>
              <w:adjustRightInd w:val="0"/>
              <w:snapToGrid w:val="0"/>
              <w:spacing w:line="360" w:lineRule="auto"/>
              <w:ind w:firstLine="480" w:firstLineChars="200"/>
              <w:rPr>
                <w:sz w:val="24"/>
              </w:rPr>
            </w:pPr>
            <w:r>
              <w:rPr>
                <w:rFonts w:hint="eastAsia"/>
                <w:sz w:val="24"/>
              </w:rPr>
              <w:t>④负责开展定期的环境监测工作，建立健全原始记录，分析掌握污染动态以及</w:t>
            </w:r>
            <w:r>
              <w:rPr>
                <w:sz w:val="24"/>
              </w:rPr>
              <w:t>“</w:t>
            </w:r>
            <w:r>
              <w:rPr>
                <w:rFonts w:hint="eastAsia"/>
                <w:sz w:val="24"/>
              </w:rPr>
              <w:t>三废</w:t>
            </w:r>
            <w:r>
              <w:rPr>
                <w:sz w:val="24"/>
              </w:rPr>
              <w:t>”</w:t>
            </w:r>
            <w:r>
              <w:rPr>
                <w:rFonts w:hint="eastAsia"/>
                <w:sz w:val="24"/>
              </w:rPr>
              <w:t>的综合处置情况；</w:t>
            </w:r>
          </w:p>
          <w:p>
            <w:pPr>
              <w:adjustRightInd w:val="0"/>
              <w:snapToGrid w:val="0"/>
              <w:spacing w:line="360" w:lineRule="auto"/>
              <w:ind w:firstLine="480" w:firstLineChars="200"/>
              <w:rPr>
                <w:sz w:val="24"/>
              </w:rPr>
            </w:pPr>
            <w:r>
              <w:rPr>
                <w:rFonts w:hint="eastAsia" w:ascii="宋体" w:hAnsi="宋体"/>
                <w:sz w:val="24"/>
              </w:rPr>
              <w:t>⑤</w:t>
            </w:r>
            <w:r>
              <w:rPr>
                <w:rFonts w:hint="eastAsia"/>
                <w:sz w:val="24"/>
              </w:rPr>
              <w:t>建立环保档案，做好环保资料的统计整理工作，及时向当地环保部门上报环保工作报表以及提供相关的技术数据，及时做好公司的排污申报工作；</w:t>
            </w:r>
          </w:p>
          <w:p>
            <w:pPr>
              <w:adjustRightInd w:val="0"/>
              <w:snapToGrid w:val="0"/>
              <w:spacing w:line="360" w:lineRule="auto"/>
              <w:ind w:firstLine="480" w:firstLineChars="200"/>
              <w:rPr>
                <w:sz w:val="24"/>
              </w:rPr>
            </w:pPr>
            <w:r>
              <w:rPr>
                <w:rFonts w:hint="eastAsia" w:ascii="宋体" w:hAnsi="宋体"/>
                <w:sz w:val="24"/>
              </w:rPr>
              <w:t>⑥</w:t>
            </w:r>
            <w:r>
              <w:rPr>
                <w:rFonts w:hint="eastAsia"/>
                <w:sz w:val="24"/>
              </w:rPr>
              <w:t>监督检查环保设施运行、维护和管理工作；</w:t>
            </w:r>
          </w:p>
          <w:p>
            <w:pPr>
              <w:adjustRightInd w:val="0"/>
              <w:snapToGrid w:val="0"/>
              <w:spacing w:line="360" w:lineRule="auto"/>
              <w:ind w:firstLine="480" w:firstLineChars="200"/>
              <w:rPr>
                <w:b/>
                <w:bCs/>
                <w:sz w:val="24"/>
              </w:rPr>
            </w:pPr>
            <w:r>
              <w:rPr>
                <w:rFonts w:hint="eastAsia" w:ascii="宋体" w:hAnsi="宋体"/>
                <w:sz w:val="24"/>
              </w:rPr>
              <w:t>⑦</w:t>
            </w:r>
            <w:r>
              <w:rPr>
                <w:rFonts w:hint="eastAsia"/>
                <w:sz w:val="24"/>
              </w:rPr>
              <w:t>检查落实安全消防措施，开展环保、安全知识教育，对从事与环保工作有关的特殊岗位（如承担环保设施运行与维护）的员工的技能进行定期培训和考核。</w:t>
            </w:r>
          </w:p>
          <w:p>
            <w:pPr>
              <w:spacing w:line="360" w:lineRule="auto"/>
              <w:ind w:firstLine="482" w:firstLineChars="200"/>
              <w:rPr>
                <w:b/>
                <w:bCs/>
                <w:sz w:val="24"/>
              </w:rPr>
            </w:pPr>
            <w:r>
              <w:rPr>
                <w:rFonts w:hint="eastAsia"/>
                <w:b/>
                <w:bCs/>
                <w:sz w:val="24"/>
              </w:rPr>
              <w:t>10.2环境监测计划</w:t>
            </w:r>
          </w:p>
          <w:p>
            <w:pPr>
              <w:pStyle w:val="123"/>
              <w:ind w:firstLine="480"/>
              <w:rPr>
                <w:rFonts w:hint="eastAsia" w:ascii="Times New Roman" w:hAnsi="Times New Roman" w:cs="Times New Roman"/>
                <w:b w:val="0"/>
                <w:bCs w:val="0"/>
                <w:color w:val="auto"/>
              </w:rPr>
            </w:pPr>
            <w:r>
              <w:rPr>
                <w:rFonts w:hint="eastAsia" w:ascii="Times New Roman" w:hAnsi="Times New Roman" w:cs="Times New Roman"/>
                <w:b w:val="0"/>
                <w:bCs w:val="0"/>
                <w:color w:val="auto"/>
              </w:rPr>
              <w:t>根据《排污许可证申请与核发技术规范总则》（HJ 942-2018）、《排污单位自行监测技术指南 总则》（HJ 819-2017），本项目的环境监测制度内容如表4-3</w:t>
            </w:r>
            <w:r>
              <w:rPr>
                <w:rFonts w:hint="eastAsia" w:ascii="Times New Roman" w:hAnsi="Times New Roman" w:cs="Times New Roman"/>
                <w:b w:val="0"/>
                <w:bCs w:val="0"/>
                <w:color w:val="auto"/>
                <w:lang w:val="en-US" w:eastAsia="zh-CN"/>
              </w:rPr>
              <w:t>2</w:t>
            </w:r>
            <w:r>
              <w:rPr>
                <w:rFonts w:hint="eastAsia" w:ascii="Times New Roman" w:hAnsi="Times New Roman" w:cs="Times New Roman"/>
                <w:b w:val="0"/>
                <w:bCs w:val="0"/>
                <w:color w:val="auto"/>
              </w:rPr>
              <w:t>所示。</w:t>
            </w:r>
          </w:p>
          <w:p>
            <w:pPr>
              <w:pStyle w:val="123"/>
              <w:widowControl w:val="0"/>
              <w:spacing w:line="240" w:lineRule="auto"/>
              <w:ind w:firstLine="0" w:firstLineChars="0"/>
              <w:jc w:val="center"/>
              <w:rPr>
                <w:color w:val="auto"/>
              </w:rPr>
            </w:pPr>
            <w:r>
              <w:rPr>
                <w:rFonts w:hint="eastAsia"/>
                <w:color w:val="auto"/>
              </w:rPr>
              <w:t>表4</w:t>
            </w:r>
            <w:r>
              <w:rPr>
                <w:color w:val="auto"/>
              </w:rPr>
              <w:t>-</w:t>
            </w:r>
            <w:r>
              <w:rPr>
                <w:rFonts w:hint="eastAsia"/>
                <w:color w:val="auto"/>
              </w:rPr>
              <w:t>3</w:t>
            </w:r>
            <w:r>
              <w:rPr>
                <w:rFonts w:hint="eastAsia"/>
                <w:color w:val="auto"/>
                <w:lang w:val="en-US" w:eastAsia="zh-CN"/>
              </w:rPr>
              <w:t>2</w:t>
            </w:r>
            <w:r>
              <w:rPr>
                <w:rFonts w:hint="eastAsia"/>
                <w:color w:val="auto"/>
              </w:rPr>
              <w:t>环境监测计划一览表</w:t>
            </w:r>
          </w:p>
          <w:tbl>
            <w:tblPr>
              <w:tblStyle w:val="36"/>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054"/>
              <w:gridCol w:w="1337"/>
              <w:gridCol w:w="1605"/>
              <w:gridCol w:w="1325"/>
              <w:gridCol w:w="317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620" w:type="pct"/>
                  <w:vAlign w:val="center"/>
                </w:tcPr>
                <w:p>
                  <w:pPr>
                    <w:pStyle w:val="123"/>
                    <w:widowControl w:val="0"/>
                    <w:wordWrap w:val="0"/>
                    <w:topLinePunct/>
                    <w:adjustRightInd/>
                    <w:snapToGrid/>
                    <w:spacing w:line="240" w:lineRule="auto"/>
                    <w:ind w:firstLine="0" w:firstLineChars="0"/>
                    <w:contextualSpacing/>
                    <w:jc w:val="center"/>
                    <w:rPr>
                      <w:color w:val="auto"/>
                      <w:kern w:val="0"/>
                      <w:sz w:val="21"/>
                      <w:szCs w:val="21"/>
                    </w:rPr>
                  </w:pPr>
                  <w:r>
                    <w:rPr>
                      <w:rFonts w:hint="eastAsia"/>
                      <w:color w:val="auto"/>
                      <w:kern w:val="0"/>
                      <w:sz w:val="21"/>
                      <w:szCs w:val="21"/>
                    </w:rPr>
                    <w:t>项目</w:t>
                  </w:r>
                </w:p>
              </w:tc>
              <w:tc>
                <w:tcPr>
                  <w:tcW w:w="786" w:type="pct"/>
                  <w:vAlign w:val="center"/>
                </w:tcPr>
                <w:p>
                  <w:pPr>
                    <w:pStyle w:val="123"/>
                    <w:widowControl w:val="0"/>
                    <w:wordWrap w:val="0"/>
                    <w:topLinePunct/>
                    <w:adjustRightInd/>
                    <w:snapToGrid/>
                    <w:spacing w:line="240" w:lineRule="auto"/>
                    <w:ind w:firstLine="0" w:firstLineChars="0"/>
                    <w:contextualSpacing/>
                    <w:jc w:val="center"/>
                    <w:rPr>
                      <w:color w:val="auto"/>
                      <w:kern w:val="0"/>
                      <w:sz w:val="21"/>
                      <w:szCs w:val="21"/>
                    </w:rPr>
                  </w:pPr>
                  <w:r>
                    <w:rPr>
                      <w:rFonts w:hint="eastAsia"/>
                      <w:color w:val="auto"/>
                      <w:kern w:val="0"/>
                      <w:sz w:val="21"/>
                      <w:szCs w:val="21"/>
                    </w:rPr>
                    <w:t>监测点位</w:t>
                  </w:r>
                </w:p>
              </w:tc>
              <w:tc>
                <w:tcPr>
                  <w:tcW w:w="944" w:type="pct"/>
                  <w:vAlign w:val="center"/>
                </w:tcPr>
                <w:p>
                  <w:pPr>
                    <w:pStyle w:val="123"/>
                    <w:widowControl w:val="0"/>
                    <w:wordWrap w:val="0"/>
                    <w:topLinePunct/>
                    <w:adjustRightInd/>
                    <w:snapToGrid/>
                    <w:spacing w:line="240" w:lineRule="auto"/>
                    <w:ind w:firstLine="0" w:firstLineChars="0"/>
                    <w:contextualSpacing/>
                    <w:jc w:val="center"/>
                    <w:rPr>
                      <w:color w:val="auto"/>
                      <w:kern w:val="0"/>
                      <w:sz w:val="21"/>
                      <w:szCs w:val="21"/>
                    </w:rPr>
                  </w:pPr>
                  <w:r>
                    <w:rPr>
                      <w:rFonts w:hint="eastAsia"/>
                      <w:color w:val="auto"/>
                      <w:kern w:val="0"/>
                      <w:sz w:val="21"/>
                      <w:szCs w:val="21"/>
                    </w:rPr>
                    <w:t>监测因子</w:t>
                  </w:r>
                </w:p>
              </w:tc>
              <w:tc>
                <w:tcPr>
                  <w:tcW w:w="779" w:type="pct"/>
                  <w:vAlign w:val="center"/>
                </w:tcPr>
                <w:p>
                  <w:pPr>
                    <w:pStyle w:val="123"/>
                    <w:widowControl w:val="0"/>
                    <w:wordWrap w:val="0"/>
                    <w:topLinePunct/>
                    <w:adjustRightInd/>
                    <w:snapToGrid/>
                    <w:spacing w:line="240" w:lineRule="auto"/>
                    <w:ind w:firstLine="0" w:firstLineChars="0"/>
                    <w:contextualSpacing/>
                    <w:jc w:val="center"/>
                    <w:rPr>
                      <w:color w:val="auto"/>
                      <w:kern w:val="0"/>
                      <w:sz w:val="21"/>
                      <w:szCs w:val="21"/>
                    </w:rPr>
                  </w:pPr>
                  <w:r>
                    <w:rPr>
                      <w:rFonts w:hint="eastAsia"/>
                      <w:color w:val="auto"/>
                      <w:kern w:val="0"/>
                      <w:sz w:val="21"/>
                      <w:szCs w:val="21"/>
                    </w:rPr>
                    <w:t>监测要求</w:t>
                  </w:r>
                </w:p>
              </w:tc>
              <w:tc>
                <w:tcPr>
                  <w:tcW w:w="1868" w:type="pct"/>
                  <w:vAlign w:val="center"/>
                </w:tcPr>
                <w:p>
                  <w:pPr>
                    <w:pStyle w:val="123"/>
                    <w:widowControl w:val="0"/>
                    <w:wordWrap w:val="0"/>
                    <w:topLinePunct/>
                    <w:adjustRightInd/>
                    <w:snapToGrid/>
                    <w:spacing w:line="240" w:lineRule="auto"/>
                    <w:ind w:firstLine="0" w:firstLineChars="0"/>
                    <w:contextualSpacing/>
                    <w:jc w:val="center"/>
                    <w:rPr>
                      <w:color w:val="auto"/>
                      <w:kern w:val="0"/>
                      <w:sz w:val="21"/>
                      <w:szCs w:val="21"/>
                    </w:rPr>
                  </w:pPr>
                  <w:r>
                    <w:rPr>
                      <w:rFonts w:hint="eastAsia"/>
                      <w:color w:val="auto"/>
                      <w:kern w:val="0"/>
                      <w:sz w:val="21"/>
                      <w:szCs w:val="21"/>
                    </w:rPr>
                    <w:t>执行标准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6" w:hRule="atLeast"/>
              </w:trPr>
              <w:tc>
                <w:tcPr>
                  <w:tcW w:w="620" w:type="pct"/>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噪声</w:t>
                  </w:r>
                </w:p>
              </w:tc>
              <w:tc>
                <w:tcPr>
                  <w:tcW w:w="786" w:type="pct"/>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厂区边界外</w:t>
                  </w:r>
                  <w:r>
                    <w:rPr>
                      <w:b w:val="0"/>
                      <w:bCs w:val="0"/>
                      <w:color w:val="auto"/>
                      <w:kern w:val="0"/>
                      <w:sz w:val="21"/>
                      <w:szCs w:val="21"/>
                    </w:rPr>
                    <w:t>1m</w:t>
                  </w:r>
                  <w:r>
                    <w:rPr>
                      <w:rFonts w:hint="eastAsia"/>
                      <w:b w:val="0"/>
                      <w:bCs w:val="0"/>
                      <w:color w:val="auto"/>
                      <w:kern w:val="0"/>
                      <w:sz w:val="21"/>
                      <w:szCs w:val="21"/>
                    </w:rPr>
                    <w:t>处</w:t>
                  </w:r>
                </w:p>
              </w:tc>
              <w:tc>
                <w:tcPr>
                  <w:tcW w:w="944" w:type="pct"/>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等效声级</w:t>
                  </w:r>
                  <w:r>
                    <w:rPr>
                      <w:b w:val="0"/>
                      <w:bCs w:val="0"/>
                      <w:color w:val="auto"/>
                      <w:kern w:val="0"/>
                      <w:sz w:val="21"/>
                      <w:szCs w:val="21"/>
                    </w:rPr>
                    <w:t>L</w:t>
                  </w:r>
                  <w:r>
                    <w:rPr>
                      <w:b w:val="0"/>
                      <w:bCs w:val="0"/>
                      <w:color w:val="auto"/>
                      <w:kern w:val="0"/>
                      <w:sz w:val="21"/>
                      <w:szCs w:val="21"/>
                      <w:vertAlign w:val="subscript"/>
                    </w:rPr>
                    <w:t>Aeq</w:t>
                  </w:r>
                </w:p>
              </w:tc>
              <w:tc>
                <w:tcPr>
                  <w:tcW w:w="779" w:type="pct"/>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每</w:t>
                  </w:r>
                  <w:r>
                    <w:rPr>
                      <w:rFonts w:hint="eastAsia"/>
                      <w:b w:val="0"/>
                      <w:bCs w:val="0"/>
                      <w:color w:val="auto"/>
                      <w:kern w:val="0"/>
                      <w:sz w:val="21"/>
                      <w:szCs w:val="21"/>
                      <w:lang w:eastAsia="zh-CN"/>
                    </w:rPr>
                    <w:t>季度</w:t>
                  </w:r>
                  <w:r>
                    <w:rPr>
                      <w:b w:val="0"/>
                      <w:bCs w:val="0"/>
                      <w:color w:val="auto"/>
                      <w:kern w:val="0"/>
                      <w:sz w:val="21"/>
                      <w:szCs w:val="21"/>
                    </w:rPr>
                    <w:t>1</w:t>
                  </w:r>
                  <w:r>
                    <w:rPr>
                      <w:rFonts w:hint="eastAsia"/>
                      <w:b w:val="0"/>
                      <w:bCs w:val="0"/>
                      <w:color w:val="auto"/>
                      <w:kern w:val="0"/>
                      <w:sz w:val="21"/>
                      <w:szCs w:val="21"/>
                    </w:rPr>
                    <w:t>次，委托有资质部门监测</w:t>
                  </w:r>
                </w:p>
              </w:tc>
              <w:tc>
                <w:tcPr>
                  <w:tcW w:w="1868" w:type="pct"/>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《工业企业厂界环境噪声排放标准》</w:t>
                  </w:r>
                  <w:r>
                    <w:rPr>
                      <w:b w:val="0"/>
                      <w:bCs w:val="0"/>
                      <w:color w:val="auto"/>
                      <w:kern w:val="0"/>
                      <w:sz w:val="21"/>
                      <w:szCs w:val="21"/>
                    </w:rPr>
                    <w:t>(GB12348-2008)</w:t>
                  </w:r>
                  <w:r>
                    <w:rPr>
                      <w:rFonts w:hint="eastAsia"/>
                      <w:b w:val="0"/>
                      <w:bCs w:val="0"/>
                      <w:color w:val="auto"/>
                      <w:kern w:val="0"/>
                      <w:sz w:val="21"/>
                      <w:szCs w:val="21"/>
                      <w:lang w:val="en-US" w:eastAsia="zh-CN"/>
                    </w:rPr>
                    <w:t>2</w:t>
                  </w:r>
                  <w:r>
                    <w:rPr>
                      <w:rFonts w:hint="eastAsia"/>
                      <w:b w:val="0"/>
                      <w:bCs w:val="0"/>
                      <w:color w:val="auto"/>
                      <w:kern w:val="0"/>
                      <w:sz w:val="21"/>
                      <w:szCs w:val="21"/>
                    </w:rPr>
                    <w:t>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49" w:hRule="atLeast"/>
              </w:trPr>
              <w:tc>
                <w:tcPr>
                  <w:tcW w:w="620" w:type="pct"/>
                  <w:vMerge w:val="restart"/>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废气</w:t>
                  </w:r>
                </w:p>
              </w:tc>
              <w:tc>
                <w:tcPr>
                  <w:tcW w:w="786" w:type="pct"/>
                  <w:vAlign w:val="center"/>
                </w:tcPr>
                <w:p>
                  <w:pPr>
                    <w:pStyle w:val="123"/>
                    <w:widowControl w:val="0"/>
                    <w:topLinePunct/>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FQ1进口一个、出口一个</w:t>
                  </w:r>
                </w:p>
              </w:tc>
              <w:tc>
                <w:tcPr>
                  <w:tcW w:w="944" w:type="pct"/>
                  <w:vAlign w:val="center"/>
                </w:tcPr>
                <w:p>
                  <w:pPr>
                    <w:pStyle w:val="123"/>
                    <w:widowControl w:val="0"/>
                    <w:wordWrap w:val="0"/>
                    <w:topLinePunct/>
                    <w:adjustRightInd/>
                    <w:snapToGrid/>
                    <w:spacing w:line="240" w:lineRule="auto"/>
                    <w:ind w:firstLine="0" w:firstLineChars="0"/>
                    <w:contextualSpacing/>
                    <w:jc w:val="center"/>
                    <w:rPr>
                      <w:rFonts w:hint="default" w:eastAsia="宋体"/>
                      <w:b w:val="0"/>
                      <w:bCs w:val="0"/>
                      <w:color w:val="auto"/>
                      <w:kern w:val="0"/>
                      <w:sz w:val="21"/>
                      <w:szCs w:val="21"/>
                      <w:lang w:val="en-US" w:eastAsia="zh-CN"/>
                    </w:rPr>
                  </w:pPr>
                  <w:r>
                    <w:rPr>
                      <w:rFonts w:hint="eastAsia"/>
                      <w:b w:val="0"/>
                      <w:bCs w:val="0"/>
                      <w:color w:val="auto"/>
                      <w:kern w:val="0"/>
                      <w:sz w:val="21"/>
                      <w:szCs w:val="21"/>
                      <w:lang w:val="en-US" w:eastAsia="zh-CN"/>
                    </w:rPr>
                    <w:t>VOCs</w:t>
                  </w:r>
                </w:p>
              </w:tc>
              <w:tc>
                <w:tcPr>
                  <w:tcW w:w="779" w:type="pct"/>
                  <w:vMerge w:val="restart"/>
                  <w:vAlign w:val="center"/>
                </w:tcPr>
                <w:p>
                  <w:pPr>
                    <w:pStyle w:val="123"/>
                    <w:widowControl w:val="0"/>
                    <w:topLinePunct/>
                    <w:adjustRightInd/>
                    <w:snapToGrid/>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每</w:t>
                  </w:r>
                  <w:r>
                    <w:rPr>
                      <w:rFonts w:hint="eastAsia"/>
                      <w:b w:val="0"/>
                      <w:bCs w:val="0"/>
                      <w:color w:val="auto"/>
                      <w:kern w:val="0"/>
                      <w:sz w:val="21"/>
                      <w:szCs w:val="21"/>
                      <w:lang w:eastAsia="zh-CN"/>
                    </w:rPr>
                    <w:t>年</w:t>
                  </w:r>
                  <w:r>
                    <w:rPr>
                      <w:b w:val="0"/>
                      <w:bCs w:val="0"/>
                      <w:color w:val="auto"/>
                      <w:kern w:val="0"/>
                      <w:sz w:val="21"/>
                      <w:szCs w:val="21"/>
                    </w:rPr>
                    <w:t>1</w:t>
                  </w:r>
                  <w:r>
                    <w:rPr>
                      <w:rFonts w:hint="eastAsia"/>
                      <w:b w:val="0"/>
                      <w:bCs w:val="0"/>
                      <w:color w:val="auto"/>
                      <w:kern w:val="0"/>
                      <w:sz w:val="21"/>
                      <w:szCs w:val="21"/>
                    </w:rPr>
                    <w:t>次，委托有资质部门监测</w:t>
                  </w:r>
                </w:p>
              </w:tc>
              <w:tc>
                <w:tcPr>
                  <w:tcW w:w="1868" w:type="pct"/>
                  <w:vMerge w:val="restart"/>
                  <w:vAlign w:val="center"/>
                </w:tcPr>
                <w:p>
                  <w:pPr>
                    <w:jc w:val="center"/>
                    <w:rPr>
                      <w:kern w:val="0"/>
                      <w:szCs w:val="21"/>
                    </w:rPr>
                  </w:pPr>
                  <w:r>
                    <w:rPr>
                      <w:rFonts w:hint="eastAsia"/>
                      <w:szCs w:val="21"/>
                      <w:lang w:val="en-US" w:eastAsia="zh-CN"/>
                    </w:rPr>
                    <w:t>江苏省《大气污染物综 合排放标准》 （DB32/4041-2021）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6" w:hRule="atLeast"/>
              </w:trPr>
              <w:tc>
                <w:tcPr>
                  <w:tcW w:w="620" w:type="pct"/>
                  <w:vMerge w:val="continue"/>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p>
              </w:tc>
              <w:tc>
                <w:tcPr>
                  <w:tcW w:w="786" w:type="pct"/>
                  <w:vAlign w:val="center"/>
                </w:tcPr>
                <w:p>
                  <w:pPr>
                    <w:pStyle w:val="123"/>
                    <w:widowControl w:val="0"/>
                    <w:topLinePunct/>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厂界上风向一个、下风向三个</w:t>
                  </w:r>
                </w:p>
              </w:tc>
              <w:tc>
                <w:tcPr>
                  <w:tcW w:w="944" w:type="pct"/>
                  <w:vAlign w:val="center"/>
                </w:tcPr>
                <w:p>
                  <w:pPr>
                    <w:pStyle w:val="123"/>
                    <w:widowControl w:val="0"/>
                    <w:wordWrap w:val="0"/>
                    <w:topLinePunct/>
                    <w:adjustRightInd/>
                    <w:snapToGrid/>
                    <w:spacing w:line="240" w:lineRule="auto"/>
                    <w:ind w:firstLine="0" w:firstLineChars="0"/>
                    <w:contextualSpacing/>
                    <w:jc w:val="center"/>
                    <w:rPr>
                      <w:rFonts w:hint="default" w:eastAsia="宋体"/>
                      <w:b w:val="0"/>
                      <w:bCs w:val="0"/>
                      <w:color w:val="auto"/>
                      <w:kern w:val="0"/>
                      <w:sz w:val="21"/>
                      <w:szCs w:val="21"/>
                      <w:lang w:val="en-US" w:eastAsia="zh-CN"/>
                    </w:rPr>
                  </w:pPr>
                  <w:r>
                    <w:rPr>
                      <w:rFonts w:hint="eastAsia"/>
                      <w:b w:val="0"/>
                      <w:bCs w:val="0"/>
                      <w:color w:val="auto"/>
                      <w:kern w:val="0"/>
                      <w:sz w:val="21"/>
                      <w:szCs w:val="21"/>
                      <w:lang w:val="en-US" w:eastAsia="zh-CN"/>
                    </w:rPr>
                    <w:t>VOCs、粉尘（颗粒物）</w:t>
                  </w:r>
                </w:p>
              </w:tc>
              <w:tc>
                <w:tcPr>
                  <w:tcW w:w="779" w:type="pct"/>
                  <w:vMerge w:val="continue"/>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p>
              </w:tc>
              <w:tc>
                <w:tcPr>
                  <w:tcW w:w="1868" w:type="pct"/>
                  <w:vMerge w:val="continue"/>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6" w:hRule="atLeast"/>
              </w:trPr>
              <w:tc>
                <w:tcPr>
                  <w:tcW w:w="620" w:type="pct"/>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废水</w:t>
                  </w:r>
                </w:p>
              </w:tc>
              <w:tc>
                <w:tcPr>
                  <w:tcW w:w="786" w:type="pct"/>
                  <w:vAlign w:val="center"/>
                </w:tcPr>
                <w:p>
                  <w:pPr>
                    <w:pStyle w:val="123"/>
                    <w:widowControl w:val="0"/>
                    <w:topLinePunct/>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废水总排口</w:t>
                  </w:r>
                </w:p>
              </w:tc>
              <w:tc>
                <w:tcPr>
                  <w:tcW w:w="944" w:type="pct"/>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COD、SS、氨氮、总氮、总磷</w:t>
                  </w:r>
                </w:p>
              </w:tc>
              <w:tc>
                <w:tcPr>
                  <w:tcW w:w="779" w:type="pct"/>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rFonts w:hint="eastAsia"/>
                      <w:b w:val="0"/>
                      <w:bCs w:val="0"/>
                      <w:color w:val="auto"/>
                      <w:kern w:val="0"/>
                      <w:sz w:val="21"/>
                      <w:szCs w:val="21"/>
                    </w:rPr>
                    <w:t>每</w:t>
                  </w:r>
                  <w:r>
                    <w:rPr>
                      <w:rFonts w:hint="eastAsia"/>
                      <w:b w:val="0"/>
                      <w:bCs w:val="0"/>
                      <w:color w:val="auto"/>
                      <w:kern w:val="0"/>
                      <w:sz w:val="21"/>
                      <w:szCs w:val="21"/>
                      <w:lang w:eastAsia="zh-CN"/>
                    </w:rPr>
                    <w:t>年</w:t>
                  </w:r>
                  <w:r>
                    <w:rPr>
                      <w:b w:val="0"/>
                      <w:bCs w:val="0"/>
                      <w:color w:val="auto"/>
                      <w:kern w:val="0"/>
                      <w:sz w:val="21"/>
                      <w:szCs w:val="21"/>
                    </w:rPr>
                    <w:t>1</w:t>
                  </w:r>
                  <w:r>
                    <w:rPr>
                      <w:rFonts w:hint="eastAsia"/>
                      <w:b w:val="0"/>
                      <w:bCs w:val="0"/>
                      <w:color w:val="auto"/>
                      <w:kern w:val="0"/>
                      <w:sz w:val="21"/>
                      <w:szCs w:val="21"/>
                    </w:rPr>
                    <w:t>次，委托有资质部门监测</w:t>
                  </w:r>
                </w:p>
              </w:tc>
              <w:tc>
                <w:tcPr>
                  <w:tcW w:w="1868" w:type="pct"/>
                  <w:vAlign w:val="center"/>
                </w:tcPr>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b w:val="0"/>
                      <w:bCs w:val="0"/>
                      <w:color w:val="auto"/>
                      <w:kern w:val="0"/>
                      <w:sz w:val="21"/>
                      <w:szCs w:val="21"/>
                    </w:rPr>
                    <w:t>《污水综合排放标准》</w:t>
                  </w:r>
                </w:p>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b w:val="0"/>
                      <w:bCs w:val="0"/>
                      <w:color w:val="auto"/>
                      <w:kern w:val="0"/>
                      <w:sz w:val="21"/>
                      <w:szCs w:val="21"/>
                    </w:rPr>
                    <w:t>（GB 8978-1996）表4中三级标准</w:t>
                  </w:r>
                  <w:r>
                    <w:rPr>
                      <w:rFonts w:hint="eastAsia"/>
                      <w:b w:val="0"/>
                      <w:bCs w:val="0"/>
                      <w:color w:val="auto"/>
                      <w:kern w:val="0"/>
                      <w:sz w:val="21"/>
                      <w:szCs w:val="21"/>
                    </w:rPr>
                    <w:t>及</w:t>
                  </w:r>
                  <w:r>
                    <w:rPr>
                      <w:b w:val="0"/>
                      <w:bCs w:val="0"/>
                      <w:color w:val="auto"/>
                      <w:kern w:val="0"/>
                      <w:sz w:val="21"/>
                      <w:szCs w:val="21"/>
                    </w:rPr>
                    <w:t>《污水排入城镇下水道水质标准》（GB/T31962-2015）</w:t>
                  </w:r>
                </w:p>
                <w:p>
                  <w:pPr>
                    <w:pStyle w:val="123"/>
                    <w:widowControl w:val="0"/>
                    <w:wordWrap w:val="0"/>
                    <w:topLinePunct/>
                    <w:adjustRightInd/>
                    <w:snapToGrid/>
                    <w:spacing w:line="240" w:lineRule="auto"/>
                    <w:ind w:firstLine="0" w:firstLineChars="0"/>
                    <w:contextualSpacing/>
                    <w:jc w:val="center"/>
                    <w:rPr>
                      <w:b w:val="0"/>
                      <w:bCs w:val="0"/>
                      <w:color w:val="auto"/>
                      <w:kern w:val="0"/>
                      <w:sz w:val="21"/>
                      <w:szCs w:val="21"/>
                    </w:rPr>
                  </w:pPr>
                  <w:r>
                    <w:rPr>
                      <w:b w:val="0"/>
                      <w:bCs w:val="0"/>
                      <w:color w:val="auto"/>
                      <w:kern w:val="0"/>
                      <w:sz w:val="21"/>
                      <w:szCs w:val="21"/>
                    </w:rPr>
                    <w:t>表1中B等级标准要求</w:t>
                  </w:r>
                </w:p>
              </w:tc>
            </w:tr>
          </w:tbl>
          <w:p>
            <w:pPr>
              <w:adjustRightInd w:val="0"/>
              <w:snapToGrid w:val="0"/>
              <w:spacing w:line="360" w:lineRule="auto"/>
              <w:ind w:firstLine="480" w:firstLineChars="200"/>
              <w:rPr>
                <w:bCs/>
                <w:sz w:val="24"/>
              </w:rPr>
            </w:pPr>
            <w:r>
              <w:rPr>
                <w:rFonts w:hint="eastAsia"/>
                <w:bCs/>
                <w:sz w:val="24"/>
              </w:rPr>
              <w:t>在监测单位出具环境监测报告之后，企业应当将监测数据归类、归档，妥善保存。对于监测结果所反映的环保问题应及时采取措施，确保污染物排放达标。</w:t>
            </w: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32"/>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5" w:name="_Hlk54167917"/>
      <w:r>
        <w:rPr>
          <w:rFonts w:hint="eastAsia" w:ascii="黑体" w:hAnsi="黑体" w:eastAsia="黑体"/>
          <w:snapToGrid w:val="0"/>
          <w:sz w:val="30"/>
          <w:szCs w:val="30"/>
        </w:rPr>
        <w:t>环境保护措施监督检查清单</w:t>
      </w:r>
      <w:bookmarkEnd w:id="5"/>
    </w:p>
    <w:tbl>
      <w:tblPr>
        <w:tblStyle w:val="36"/>
        <w:tblW w:w="89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538"/>
        <w:gridCol w:w="850"/>
        <w:gridCol w:w="709"/>
        <w:gridCol w:w="1276"/>
        <w:gridCol w:w="1559"/>
        <w:gridCol w:w="2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tcBorders>
              <w:tl2br w:val="single" w:color="auto" w:sz="4" w:space="0"/>
            </w:tcBorders>
          </w:tcPr>
          <w:p>
            <w:pPr>
              <w:adjustRightInd w:val="0"/>
              <w:snapToGrid w:val="0"/>
              <w:ind w:firstLine="840"/>
              <w:rPr>
                <w:rFonts w:ascii="宋体" w:hAnsi="宋体" w:cs="宋体"/>
                <w:szCs w:val="21"/>
              </w:rPr>
            </w:pPr>
            <w:r>
              <w:rPr>
                <w:rFonts w:hint="eastAsia" w:ascii="宋体" w:hAnsi="宋体" w:cs="宋体"/>
                <w:szCs w:val="21"/>
              </w:rPr>
              <w:t>内容</w:t>
            </w:r>
          </w:p>
          <w:p>
            <w:pPr>
              <w:adjustRightInd w:val="0"/>
              <w:snapToGrid w:val="0"/>
              <w:rPr>
                <w:rFonts w:ascii="宋体" w:hAnsi="宋体" w:cs="宋体"/>
                <w:szCs w:val="21"/>
              </w:rPr>
            </w:pPr>
            <w:r>
              <w:rPr>
                <w:rFonts w:hint="eastAsia" w:ascii="宋体" w:hAnsi="宋体" w:cs="宋体"/>
                <w:szCs w:val="21"/>
              </w:rPr>
              <w:t>要素</w:t>
            </w:r>
          </w:p>
        </w:tc>
        <w:tc>
          <w:tcPr>
            <w:tcW w:w="1559" w:type="dxa"/>
            <w:gridSpan w:val="2"/>
            <w:vAlign w:val="center"/>
          </w:tcPr>
          <w:p>
            <w:pPr>
              <w:adjustRightInd w:val="0"/>
              <w:snapToGrid w:val="0"/>
              <w:jc w:val="center"/>
              <w:rPr>
                <w:rFonts w:ascii="宋体" w:hAnsi="宋体" w:cs="宋体"/>
                <w:szCs w:val="21"/>
              </w:rPr>
            </w:pPr>
            <w:r>
              <w:rPr>
                <w:rFonts w:hint="eastAsia" w:ascii="宋体" w:hAnsi="宋体" w:cs="宋体"/>
                <w:szCs w:val="21"/>
              </w:rPr>
              <w:t>排放口(编号、</w:t>
            </w:r>
          </w:p>
          <w:p>
            <w:pPr>
              <w:adjustRightInd w:val="0"/>
              <w:snapToGrid w:val="0"/>
              <w:jc w:val="center"/>
              <w:rPr>
                <w:rFonts w:ascii="宋体" w:hAnsi="宋体" w:cs="宋体"/>
                <w:szCs w:val="21"/>
              </w:rPr>
            </w:pPr>
            <w:r>
              <w:rPr>
                <w:rFonts w:hint="eastAsia" w:ascii="宋体" w:hAnsi="宋体" w:cs="宋体"/>
                <w:szCs w:val="21"/>
              </w:rPr>
              <w:t>名称)/污染源</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污染物项目</w:t>
            </w:r>
          </w:p>
        </w:tc>
        <w:tc>
          <w:tcPr>
            <w:tcW w:w="1559" w:type="dxa"/>
            <w:vAlign w:val="center"/>
          </w:tcPr>
          <w:p>
            <w:pPr>
              <w:adjustRightInd w:val="0"/>
              <w:snapToGrid w:val="0"/>
              <w:jc w:val="center"/>
              <w:rPr>
                <w:rFonts w:ascii="宋体" w:hAnsi="宋体" w:cs="宋体"/>
                <w:szCs w:val="21"/>
              </w:rPr>
            </w:pPr>
            <w:r>
              <w:rPr>
                <w:rFonts w:hint="eastAsia" w:ascii="宋体" w:hAnsi="宋体" w:cs="宋体"/>
                <w:szCs w:val="21"/>
              </w:rPr>
              <w:t>环境保护措施</w:t>
            </w:r>
          </w:p>
        </w:tc>
        <w:tc>
          <w:tcPr>
            <w:tcW w:w="2977" w:type="dxa"/>
            <w:vAlign w:val="center"/>
          </w:tcPr>
          <w:p>
            <w:pPr>
              <w:adjustRightInd w:val="0"/>
              <w:snapToGrid w:val="0"/>
              <w:jc w:val="center"/>
              <w:rPr>
                <w:rFonts w:ascii="宋体" w:hAnsi="宋体" w:cs="宋体"/>
                <w:szCs w:val="21"/>
              </w:rPr>
            </w:pPr>
            <w:r>
              <w:rPr>
                <w:rFonts w:hint="eastAsia" w:ascii="宋体" w:hAnsi="宋体" w:cs="宋体"/>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Merge w:val="restart"/>
            <w:vAlign w:val="center"/>
          </w:tcPr>
          <w:p>
            <w:pPr>
              <w:adjustRightInd w:val="0"/>
              <w:snapToGrid w:val="0"/>
              <w:jc w:val="center"/>
              <w:rPr>
                <w:rFonts w:ascii="宋体" w:hAnsi="宋体" w:cs="宋体"/>
                <w:szCs w:val="21"/>
              </w:rPr>
            </w:pPr>
            <w:r>
              <w:rPr>
                <w:rFonts w:hint="eastAsia" w:ascii="宋体" w:hAnsi="宋体" w:cs="宋体"/>
                <w:szCs w:val="21"/>
              </w:rPr>
              <w:t>大气环境</w:t>
            </w:r>
          </w:p>
        </w:tc>
        <w:tc>
          <w:tcPr>
            <w:tcW w:w="850" w:type="dxa"/>
            <w:vAlign w:val="center"/>
          </w:tcPr>
          <w:p>
            <w:pPr>
              <w:autoSpaceDE w:val="0"/>
              <w:autoSpaceDN w:val="0"/>
              <w:adjustRightInd w:val="0"/>
              <w:ind w:left="-57" w:right="-57"/>
              <w:jc w:val="center"/>
              <w:rPr>
                <w:szCs w:val="21"/>
              </w:rPr>
            </w:pPr>
            <w:r>
              <w:rPr>
                <w:szCs w:val="21"/>
              </w:rPr>
              <w:t>有组织</w:t>
            </w:r>
          </w:p>
        </w:tc>
        <w:tc>
          <w:tcPr>
            <w:tcW w:w="709" w:type="dxa"/>
            <w:vAlign w:val="center"/>
          </w:tcPr>
          <w:p>
            <w:pPr>
              <w:autoSpaceDE w:val="0"/>
              <w:autoSpaceDN w:val="0"/>
              <w:adjustRightInd w:val="0"/>
              <w:ind w:left="-57" w:right="-57"/>
              <w:jc w:val="center"/>
              <w:rPr>
                <w:rFonts w:hint="default" w:eastAsia="宋体"/>
                <w:szCs w:val="21"/>
                <w:lang w:val="en-US" w:eastAsia="zh-CN"/>
              </w:rPr>
            </w:pPr>
            <w:r>
              <w:rPr>
                <w:rFonts w:hint="eastAsia"/>
                <w:szCs w:val="21"/>
                <w:lang w:val="en-US" w:eastAsia="zh-CN"/>
              </w:rPr>
              <w:t>丝网印刷、烘干工序</w:t>
            </w:r>
          </w:p>
        </w:tc>
        <w:tc>
          <w:tcPr>
            <w:tcW w:w="1276" w:type="dxa"/>
            <w:vAlign w:val="center"/>
          </w:tcPr>
          <w:p>
            <w:pPr>
              <w:snapToGrid w:val="0"/>
              <w:spacing w:line="320" w:lineRule="exact"/>
              <w:jc w:val="center"/>
              <w:rPr>
                <w:rFonts w:hint="default" w:eastAsia="宋体"/>
                <w:bCs/>
                <w:szCs w:val="21"/>
                <w:lang w:val="en-US" w:eastAsia="zh-CN"/>
              </w:rPr>
            </w:pPr>
            <w:r>
              <w:rPr>
                <w:rFonts w:hint="eastAsia"/>
                <w:bCs/>
                <w:szCs w:val="21"/>
                <w:lang w:val="en-US" w:eastAsia="zh-CN"/>
              </w:rPr>
              <w:t>VOCs</w:t>
            </w:r>
          </w:p>
        </w:tc>
        <w:tc>
          <w:tcPr>
            <w:tcW w:w="1559" w:type="dxa"/>
            <w:vAlign w:val="center"/>
          </w:tcPr>
          <w:p>
            <w:pPr>
              <w:snapToGrid w:val="0"/>
              <w:spacing w:line="320" w:lineRule="exact"/>
              <w:jc w:val="center"/>
              <w:rPr>
                <w:rFonts w:hint="default" w:eastAsia="宋体"/>
                <w:bCs/>
                <w:szCs w:val="21"/>
                <w:lang w:val="en-US" w:eastAsia="zh-CN"/>
              </w:rPr>
            </w:pPr>
            <w:r>
              <w:rPr>
                <w:rFonts w:hint="eastAsia"/>
                <w:bCs/>
                <w:szCs w:val="21"/>
                <w:lang w:eastAsia="zh-CN"/>
              </w:rPr>
              <w:t>集气罩</w:t>
            </w:r>
            <w:r>
              <w:rPr>
                <w:rFonts w:hint="eastAsia"/>
                <w:bCs/>
                <w:szCs w:val="21"/>
                <w:lang w:val="en-US" w:eastAsia="zh-CN"/>
              </w:rPr>
              <w:t>+</w:t>
            </w:r>
            <w:r>
              <w:rPr>
                <w:rFonts w:hint="eastAsia"/>
                <w:bCs/>
                <w:szCs w:val="21"/>
                <w:lang w:eastAsia="zh-CN"/>
              </w:rPr>
              <w:t>二级活性炭吸附装置</w:t>
            </w:r>
            <w:r>
              <w:rPr>
                <w:rFonts w:hint="eastAsia"/>
                <w:bCs/>
                <w:szCs w:val="21"/>
                <w:lang w:val="en-US" w:eastAsia="zh-CN"/>
              </w:rPr>
              <w:t>+15m排气筒</w:t>
            </w:r>
          </w:p>
        </w:tc>
        <w:tc>
          <w:tcPr>
            <w:tcW w:w="2977" w:type="dxa"/>
            <w:vAlign w:val="center"/>
          </w:tcPr>
          <w:p>
            <w:pPr>
              <w:snapToGrid w:val="0"/>
              <w:spacing w:line="320" w:lineRule="exact"/>
              <w:jc w:val="center"/>
              <w:rPr>
                <w:rFonts w:hint="default"/>
                <w:bCs/>
                <w:szCs w:val="21"/>
                <w:lang w:val="en-US"/>
              </w:rPr>
            </w:pPr>
            <w:r>
              <w:rPr>
                <w:rFonts w:hint="eastAsia"/>
                <w:szCs w:val="21"/>
                <w:lang w:val="en-US" w:eastAsia="zh-CN"/>
              </w:rPr>
              <w:t>江苏省《大气污染物综 合排放标准》 （DB32/4041-2021）表1中限值标准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Merge w:val="continue"/>
            <w:vAlign w:val="center"/>
          </w:tcPr>
          <w:p>
            <w:pPr>
              <w:adjustRightInd w:val="0"/>
              <w:snapToGrid w:val="0"/>
              <w:jc w:val="center"/>
              <w:rPr>
                <w:rFonts w:ascii="宋体" w:hAnsi="宋体" w:cs="宋体"/>
                <w:szCs w:val="21"/>
              </w:rPr>
            </w:pPr>
          </w:p>
        </w:tc>
        <w:tc>
          <w:tcPr>
            <w:tcW w:w="850" w:type="dxa"/>
            <w:vMerge w:val="restart"/>
            <w:vAlign w:val="center"/>
          </w:tcPr>
          <w:p>
            <w:pPr>
              <w:autoSpaceDE w:val="0"/>
              <w:autoSpaceDN w:val="0"/>
              <w:adjustRightInd w:val="0"/>
              <w:ind w:left="-57" w:right="-57"/>
              <w:jc w:val="center"/>
              <w:rPr>
                <w:szCs w:val="21"/>
              </w:rPr>
            </w:pPr>
            <w:r>
              <w:rPr>
                <w:rFonts w:hint="eastAsia"/>
                <w:szCs w:val="21"/>
              </w:rPr>
              <w:t>无组织</w:t>
            </w:r>
          </w:p>
        </w:tc>
        <w:tc>
          <w:tcPr>
            <w:tcW w:w="709" w:type="dxa"/>
            <w:vAlign w:val="center"/>
          </w:tcPr>
          <w:p>
            <w:pPr>
              <w:autoSpaceDE w:val="0"/>
              <w:autoSpaceDN w:val="0"/>
              <w:adjustRightInd w:val="0"/>
              <w:ind w:left="-57" w:right="-57"/>
              <w:jc w:val="center"/>
              <w:rPr>
                <w:rFonts w:hint="eastAsia" w:eastAsia="宋体"/>
                <w:szCs w:val="21"/>
                <w:lang w:eastAsia="zh-CN"/>
              </w:rPr>
            </w:pPr>
            <w:r>
              <w:rPr>
                <w:rFonts w:hint="eastAsia"/>
                <w:szCs w:val="21"/>
                <w:lang w:eastAsia="zh-CN"/>
              </w:rPr>
              <w:t>钢化工序</w:t>
            </w:r>
          </w:p>
        </w:tc>
        <w:tc>
          <w:tcPr>
            <w:tcW w:w="1276" w:type="dxa"/>
            <w:vAlign w:val="center"/>
          </w:tcPr>
          <w:p>
            <w:pPr>
              <w:adjustRightInd w:val="0"/>
              <w:snapToGrid w:val="0"/>
              <w:spacing w:line="300" w:lineRule="exact"/>
              <w:jc w:val="center"/>
              <w:rPr>
                <w:smallCaps/>
                <w:szCs w:val="21"/>
              </w:rPr>
            </w:pPr>
            <w:r>
              <w:rPr>
                <w:rFonts w:hint="eastAsia"/>
                <w:bCs/>
                <w:szCs w:val="21"/>
                <w:lang w:val="en-US" w:eastAsia="zh-CN"/>
              </w:rPr>
              <w:t>VOCs</w:t>
            </w:r>
          </w:p>
        </w:tc>
        <w:tc>
          <w:tcPr>
            <w:tcW w:w="1559" w:type="dxa"/>
            <w:vAlign w:val="center"/>
          </w:tcPr>
          <w:p>
            <w:pPr>
              <w:snapToGrid w:val="0"/>
              <w:spacing w:line="320" w:lineRule="exact"/>
              <w:jc w:val="center"/>
              <w:rPr>
                <w:bCs/>
                <w:szCs w:val="21"/>
              </w:rPr>
            </w:pPr>
            <w:r>
              <w:rPr>
                <w:rFonts w:hint="eastAsia"/>
                <w:bCs/>
                <w:szCs w:val="21"/>
              </w:rPr>
              <w:t>加强车间通风</w:t>
            </w:r>
          </w:p>
        </w:tc>
        <w:tc>
          <w:tcPr>
            <w:tcW w:w="2977" w:type="dxa"/>
            <w:vMerge w:val="restart"/>
            <w:vAlign w:val="center"/>
          </w:tcPr>
          <w:p>
            <w:pPr>
              <w:snapToGrid w:val="0"/>
              <w:spacing w:line="320" w:lineRule="exact"/>
              <w:jc w:val="center"/>
              <w:rPr>
                <w:bCs/>
                <w:szCs w:val="21"/>
              </w:rPr>
            </w:pPr>
            <w:r>
              <w:rPr>
                <w:rFonts w:hint="eastAsia"/>
                <w:szCs w:val="21"/>
                <w:lang w:val="en-US" w:eastAsia="zh-CN"/>
              </w:rPr>
              <w:t>江苏省《大气污染物综 合排放标准》 （DB32/4041-2021）表3</w:t>
            </w:r>
            <w:r>
              <w:rPr>
                <w:rFonts w:hint="eastAsia"/>
                <w:szCs w:val="21"/>
              </w:rPr>
              <w:t>中无组织监控浓度限值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Merge w:val="continue"/>
            <w:vAlign w:val="center"/>
          </w:tcPr>
          <w:p>
            <w:pPr>
              <w:adjustRightInd w:val="0"/>
              <w:snapToGrid w:val="0"/>
              <w:jc w:val="center"/>
              <w:rPr>
                <w:rFonts w:ascii="宋体" w:hAnsi="宋体" w:cs="宋体"/>
                <w:szCs w:val="21"/>
              </w:rPr>
            </w:pPr>
          </w:p>
        </w:tc>
        <w:tc>
          <w:tcPr>
            <w:tcW w:w="850" w:type="dxa"/>
            <w:vMerge w:val="continue"/>
            <w:vAlign w:val="center"/>
          </w:tcPr>
          <w:p>
            <w:pPr>
              <w:autoSpaceDE w:val="0"/>
              <w:autoSpaceDN w:val="0"/>
              <w:adjustRightInd w:val="0"/>
              <w:ind w:left="-57" w:right="-57"/>
              <w:jc w:val="center"/>
              <w:rPr>
                <w:rFonts w:hint="eastAsia"/>
                <w:szCs w:val="21"/>
              </w:rPr>
            </w:pPr>
          </w:p>
        </w:tc>
        <w:tc>
          <w:tcPr>
            <w:tcW w:w="709" w:type="dxa"/>
            <w:vAlign w:val="center"/>
          </w:tcPr>
          <w:p>
            <w:pPr>
              <w:autoSpaceDE w:val="0"/>
              <w:autoSpaceDN w:val="0"/>
              <w:adjustRightInd w:val="0"/>
              <w:ind w:left="-57" w:right="-57"/>
              <w:jc w:val="center"/>
              <w:rPr>
                <w:rFonts w:hint="eastAsia" w:eastAsia="宋体"/>
                <w:szCs w:val="21"/>
                <w:lang w:eastAsia="zh-CN"/>
              </w:rPr>
            </w:pPr>
            <w:r>
              <w:rPr>
                <w:rFonts w:hint="eastAsia"/>
                <w:szCs w:val="21"/>
                <w:lang w:eastAsia="zh-CN"/>
              </w:rPr>
              <w:t>激光打孔工序</w:t>
            </w:r>
          </w:p>
        </w:tc>
        <w:tc>
          <w:tcPr>
            <w:tcW w:w="1276" w:type="dxa"/>
            <w:vAlign w:val="center"/>
          </w:tcPr>
          <w:p>
            <w:pPr>
              <w:snapToGrid w:val="0"/>
              <w:spacing w:line="320" w:lineRule="exact"/>
              <w:jc w:val="center"/>
              <w:rPr>
                <w:bCs/>
                <w:szCs w:val="21"/>
              </w:rPr>
            </w:pPr>
            <w:r>
              <w:rPr>
                <w:rFonts w:hint="eastAsia"/>
                <w:bCs/>
                <w:szCs w:val="21"/>
              </w:rPr>
              <w:t>粉尘</w:t>
            </w:r>
          </w:p>
          <w:p>
            <w:pPr>
              <w:adjustRightInd w:val="0"/>
              <w:snapToGrid w:val="0"/>
              <w:spacing w:line="300" w:lineRule="exact"/>
              <w:jc w:val="center"/>
              <w:rPr>
                <w:rFonts w:hint="eastAsia"/>
                <w:bCs/>
                <w:szCs w:val="21"/>
              </w:rPr>
            </w:pPr>
            <w:r>
              <w:rPr>
                <w:rFonts w:hint="eastAsia"/>
                <w:bCs/>
                <w:szCs w:val="21"/>
              </w:rPr>
              <w:t>（颗粒物）</w:t>
            </w:r>
          </w:p>
        </w:tc>
        <w:tc>
          <w:tcPr>
            <w:tcW w:w="1559" w:type="dxa"/>
            <w:vAlign w:val="center"/>
          </w:tcPr>
          <w:p>
            <w:pPr>
              <w:snapToGrid w:val="0"/>
              <w:spacing w:line="320" w:lineRule="exact"/>
              <w:jc w:val="center"/>
              <w:rPr>
                <w:rFonts w:hint="eastAsia" w:eastAsia="宋体"/>
                <w:bCs/>
                <w:szCs w:val="21"/>
                <w:lang w:eastAsia="zh-CN"/>
              </w:rPr>
            </w:pPr>
            <w:r>
              <w:rPr>
                <w:rFonts w:hint="eastAsia"/>
                <w:bCs/>
                <w:szCs w:val="21"/>
                <w:lang w:eastAsia="zh-CN"/>
              </w:rPr>
              <w:t>配套烟尘净化器（</w:t>
            </w:r>
            <w:r>
              <w:rPr>
                <w:rFonts w:hint="eastAsia"/>
                <w:bCs/>
                <w:szCs w:val="21"/>
                <w:lang w:val="en-US" w:eastAsia="zh-CN"/>
              </w:rPr>
              <w:t>2台</w:t>
            </w:r>
            <w:r>
              <w:rPr>
                <w:rFonts w:hint="eastAsia"/>
                <w:bCs/>
                <w:szCs w:val="21"/>
                <w:lang w:eastAsia="zh-CN"/>
              </w:rPr>
              <w:t>）收尘处理</w:t>
            </w:r>
          </w:p>
        </w:tc>
        <w:tc>
          <w:tcPr>
            <w:tcW w:w="2977" w:type="dxa"/>
            <w:vMerge w:val="continue"/>
            <w:vAlign w:val="center"/>
          </w:tcPr>
          <w:p>
            <w:pPr>
              <w:snapToGrid w:val="0"/>
              <w:spacing w:line="320" w:lineRule="exact"/>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Merge w:val="restart"/>
            <w:vAlign w:val="center"/>
          </w:tcPr>
          <w:p>
            <w:pPr>
              <w:adjustRightInd w:val="0"/>
              <w:snapToGrid w:val="0"/>
              <w:jc w:val="center"/>
              <w:rPr>
                <w:rFonts w:ascii="宋体" w:hAnsi="宋体" w:cs="宋体"/>
                <w:szCs w:val="21"/>
              </w:rPr>
            </w:pPr>
            <w:r>
              <w:rPr>
                <w:rFonts w:hint="eastAsia" w:ascii="宋体" w:hAnsi="宋体" w:cs="宋体"/>
                <w:szCs w:val="21"/>
              </w:rPr>
              <w:t>水环境</w:t>
            </w:r>
          </w:p>
        </w:tc>
        <w:tc>
          <w:tcPr>
            <w:tcW w:w="1559" w:type="dxa"/>
            <w:gridSpan w:val="2"/>
            <w:vAlign w:val="center"/>
          </w:tcPr>
          <w:p>
            <w:pPr>
              <w:spacing w:line="320" w:lineRule="atLeast"/>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生活污水</w:t>
            </w:r>
          </w:p>
        </w:tc>
        <w:tc>
          <w:tcPr>
            <w:tcW w:w="1276" w:type="dxa"/>
            <w:vAlign w:val="center"/>
          </w:tcPr>
          <w:p>
            <w:pPr>
              <w:spacing w:line="320" w:lineRule="atLeas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COD</w:t>
            </w:r>
          </w:p>
          <w:p>
            <w:pPr>
              <w:spacing w:line="320" w:lineRule="atLeas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SS</w:t>
            </w:r>
          </w:p>
          <w:p>
            <w:pPr>
              <w:spacing w:line="320" w:lineRule="atLeas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NH3-N</w:t>
            </w:r>
          </w:p>
          <w:p>
            <w:pPr>
              <w:spacing w:line="320" w:lineRule="atLeast"/>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TP</w:t>
            </w:r>
          </w:p>
          <w:p>
            <w:pPr>
              <w:spacing w:line="320" w:lineRule="atLeast"/>
              <w:jc w:val="center"/>
              <w:rPr>
                <w:rFonts w:hint="eastAsia" w:ascii="Times New Roman" w:hAnsi="Times New Roman" w:cs="Times New Roman"/>
                <w:szCs w:val="21"/>
                <w:lang w:eastAsia="zh-CN"/>
              </w:rPr>
            </w:pPr>
            <w:r>
              <w:rPr>
                <w:rFonts w:hint="eastAsia" w:ascii="Times New Roman" w:hAnsi="Times New Roman" w:cs="Times New Roman"/>
                <w:szCs w:val="21"/>
                <w:lang w:val="en-US" w:eastAsia="zh-CN"/>
              </w:rPr>
              <w:t>TN</w:t>
            </w:r>
          </w:p>
        </w:tc>
        <w:tc>
          <w:tcPr>
            <w:tcW w:w="1559" w:type="dxa"/>
            <w:vAlign w:val="center"/>
          </w:tcPr>
          <w:p>
            <w:pPr>
              <w:spacing w:line="320" w:lineRule="atLeast"/>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接入宜兴市城市污水处理厂集中处理</w:t>
            </w:r>
          </w:p>
        </w:tc>
        <w:tc>
          <w:tcPr>
            <w:tcW w:w="2977" w:type="dxa"/>
            <w:vAlign w:val="center"/>
          </w:tcPr>
          <w:p>
            <w:pPr>
              <w:spacing w:line="320" w:lineRule="atLeast"/>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《污水综合排放标准》（GB8978-1996）中的三级标准、《污水排入城镇下水道水质标准》（GB/T 31962-2015）表1标准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Merge w:val="continue"/>
            <w:vAlign w:val="center"/>
          </w:tcPr>
          <w:p>
            <w:pPr>
              <w:adjustRightInd w:val="0"/>
              <w:snapToGrid w:val="0"/>
              <w:jc w:val="center"/>
              <w:rPr>
                <w:rFonts w:hint="eastAsia" w:ascii="宋体" w:hAnsi="宋体" w:cs="宋体"/>
                <w:szCs w:val="21"/>
              </w:rPr>
            </w:pPr>
          </w:p>
        </w:tc>
        <w:tc>
          <w:tcPr>
            <w:tcW w:w="1559" w:type="dxa"/>
            <w:gridSpan w:val="2"/>
            <w:vAlign w:val="center"/>
          </w:tcPr>
          <w:p>
            <w:pPr>
              <w:spacing w:line="320" w:lineRule="atLeast"/>
              <w:jc w:val="center"/>
              <w:rPr>
                <w:rFonts w:hint="eastAsia" w:eastAsia="宋体"/>
                <w:smallCaps/>
                <w:szCs w:val="21"/>
                <w:lang w:eastAsia="zh-CN"/>
              </w:rPr>
            </w:pPr>
            <w:r>
              <w:rPr>
                <w:rFonts w:hint="eastAsia"/>
                <w:smallCaps/>
                <w:szCs w:val="21"/>
                <w:lang w:eastAsia="zh-CN"/>
              </w:rPr>
              <w:t>清洗废水</w:t>
            </w:r>
          </w:p>
        </w:tc>
        <w:tc>
          <w:tcPr>
            <w:tcW w:w="1276" w:type="dxa"/>
            <w:vAlign w:val="center"/>
          </w:tcPr>
          <w:p>
            <w:pPr>
              <w:snapToGrid w:val="0"/>
              <w:spacing w:line="320" w:lineRule="exact"/>
              <w:jc w:val="center"/>
              <w:rPr>
                <w:rFonts w:hint="eastAsia"/>
                <w:lang w:val="en-US" w:eastAsia="zh-CN"/>
              </w:rPr>
            </w:pPr>
            <w:r>
              <w:rPr>
                <w:rFonts w:hint="eastAsia"/>
                <w:lang w:val="en-US" w:eastAsia="zh-CN"/>
              </w:rPr>
              <w:t>COD</w:t>
            </w:r>
          </w:p>
          <w:p>
            <w:pPr>
              <w:pStyle w:val="2"/>
              <w:jc w:val="center"/>
              <w:rPr>
                <w:rFonts w:hint="default"/>
                <w:lang w:val="en-US" w:eastAsia="zh-CN"/>
              </w:rPr>
            </w:pPr>
            <w:r>
              <w:rPr>
                <w:rFonts w:hint="eastAsia" w:ascii="Times New Roman" w:hAnsi="Times New Roman" w:eastAsia="宋体" w:cs="Times New Roman"/>
                <w:bCs/>
                <w:kern w:val="2"/>
                <w:sz w:val="21"/>
                <w:szCs w:val="21"/>
                <w:lang w:val="en-US" w:eastAsia="zh-CN" w:bidi="ar-SA"/>
              </w:rPr>
              <w:t>SS</w:t>
            </w:r>
          </w:p>
        </w:tc>
        <w:tc>
          <w:tcPr>
            <w:tcW w:w="1559" w:type="dxa"/>
            <w:vAlign w:val="center"/>
          </w:tcPr>
          <w:p>
            <w:pPr>
              <w:spacing w:line="320" w:lineRule="atLeast"/>
              <w:jc w:val="center"/>
              <w:rPr>
                <w:rFonts w:hint="default" w:eastAsia="宋体"/>
                <w:smallCaps/>
                <w:szCs w:val="21"/>
                <w:lang w:val="en-US" w:eastAsia="zh-CN"/>
              </w:rPr>
            </w:pPr>
            <w:r>
              <w:rPr>
                <w:rFonts w:hint="eastAsia"/>
                <w:smallCaps/>
                <w:szCs w:val="21"/>
                <w:lang w:val="en-US" w:eastAsia="zh-CN"/>
              </w:rPr>
              <w:t>进入厂区水处理系统混凝沉淀后循环使用</w:t>
            </w:r>
          </w:p>
        </w:tc>
        <w:tc>
          <w:tcPr>
            <w:tcW w:w="2977" w:type="dxa"/>
            <w:vAlign w:val="center"/>
          </w:tcPr>
          <w:p>
            <w:pPr>
              <w:snapToGrid w:val="0"/>
              <w:spacing w:line="320" w:lineRule="exact"/>
              <w:jc w:val="center"/>
              <w:rPr>
                <w:rFonts w:hint="eastAsia" w:eastAsia="宋体"/>
                <w:smallCaps/>
                <w:szCs w:val="21"/>
                <w:lang w:val="en-US" w:eastAsia="zh-CN"/>
              </w:rPr>
            </w:pPr>
            <w:r>
              <w:rPr>
                <w:rFonts w:hint="eastAsia"/>
                <w:smallCaps/>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声环境</w:t>
            </w:r>
          </w:p>
        </w:tc>
        <w:tc>
          <w:tcPr>
            <w:tcW w:w="1559" w:type="dxa"/>
            <w:gridSpan w:val="2"/>
            <w:vAlign w:val="center"/>
          </w:tcPr>
          <w:p>
            <w:pPr>
              <w:spacing w:line="320" w:lineRule="atLeast"/>
              <w:jc w:val="center"/>
              <w:rPr>
                <w:rFonts w:hint="eastAsia" w:ascii="Times New Roman" w:hAnsi="Times New Roman" w:cs="Times New Roman"/>
                <w:smallCaps/>
                <w:szCs w:val="21"/>
                <w:lang w:eastAsia="zh-CN"/>
              </w:rPr>
            </w:pPr>
            <w:r>
              <w:rPr>
                <w:rFonts w:hint="eastAsia" w:ascii="Times New Roman" w:hAnsi="Times New Roman" w:cs="Times New Roman"/>
                <w:smallCaps/>
                <w:szCs w:val="21"/>
                <w:lang w:eastAsia="zh-CN"/>
              </w:rPr>
              <w:t>设备运行噪声</w:t>
            </w:r>
          </w:p>
        </w:tc>
        <w:tc>
          <w:tcPr>
            <w:tcW w:w="1276" w:type="dxa"/>
            <w:vAlign w:val="center"/>
          </w:tcPr>
          <w:p>
            <w:pPr>
              <w:spacing w:line="320" w:lineRule="atLeast"/>
              <w:jc w:val="center"/>
              <w:rPr>
                <w:rFonts w:hint="eastAsia" w:ascii="Times New Roman" w:hAnsi="Times New Roman" w:cs="Times New Roman"/>
                <w:smallCaps/>
                <w:szCs w:val="21"/>
                <w:lang w:eastAsia="zh-CN"/>
              </w:rPr>
            </w:pPr>
            <w:r>
              <w:rPr>
                <w:rFonts w:hint="eastAsia" w:ascii="Times New Roman" w:hAnsi="Times New Roman" w:cs="Times New Roman"/>
                <w:smallCaps/>
                <w:szCs w:val="21"/>
                <w:lang w:eastAsia="zh-CN"/>
              </w:rPr>
              <w:t>噪声</w:t>
            </w:r>
          </w:p>
        </w:tc>
        <w:tc>
          <w:tcPr>
            <w:tcW w:w="1559" w:type="dxa"/>
            <w:vAlign w:val="center"/>
          </w:tcPr>
          <w:p>
            <w:pPr>
              <w:spacing w:line="320" w:lineRule="atLeast"/>
              <w:jc w:val="center"/>
              <w:rPr>
                <w:rFonts w:hint="eastAsia" w:ascii="Times New Roman" w:hAnsi="Times New Roman" w:cs="Times New Roman"/>
                <w:smallCaps/>
                <w:szCs w:val="21"/>
                <w:lang w:eastAsia="zh-CN"/>
              </w:rPr>
            </w:pPr>
            <w:r>
              <w:rPr>
                <w:rFonts w:hint="eastAsia" w:ascii="Times New Roman" w:hAnsi="Times New Roman" w:cs="Times New Roman"/>
                <w:smallCaps/>
                <w:szCs w:val="21"/>
                <w:lang w:eastAsia="zh-CN"/>
              </w:rPr>
              <w:t>尽可能选择低噪声设备；合理布局车间内生产设备；对高噪声设备采取适当减振降噪措施。</w:t>
            </w:r>
          </w:p>
        </w:tc>
        <w:tc>
          <w:tcPr>
            <w:tcW w:w="2977" w:type="dxa"/>
            <w:vAlign w:val="center"/>
          </w:tcPr>
          <w:p>
            <w:pPr>
              <w:spacing w:line="320" w:lineRule="atLeast"/>
              <w:jc w:val="center"/>
              <w:rPr>
                <w:rFonts w:hint="eastAsia" w:ascii="Times New Roman" w:hAnsi="Times New Roman" w:cs="Times New Roman"/>
                <w:smallCaps/>
                <w:szCs w:val="21"/>
                <w:lang w:eastAsia="zh-CN"/>
              </w:rPr>
            </w:pPr>
            <w:bookmarkStart w:id="6" w:name="_GoBack"/>
            <w:r>
              <w:rPr>
                <w:rFonts w:hint="eastAsia" w:ascii="Times New Roman" w:hAnsi="Times New Roman" w:cs="Times New Roman"/>
                <w:smallCaps/>
                <w:szCs w:val="21"/>
                <w:lang w:eastAsia="zh-CN"/>
              </w:rPr>
              <w:t>《工业企业厂界环境噪声排放标准》（GB12348-2008）中的</w:t>
            </w:r>
            <w:r>
              <w:rPr>
                <w:rFonts w:hint="eastAsia" w:ascii="Times New Roman" w:hAnsi="Times New Roman" w:cs="Times New Roman"/>
                <w:smallCaps/>
                <w:szCs w:val="21"/>
                <w:lang w:val="en-US" w:eastAsia="zh-CN"/>
              </w:rPr>
              <w:t>2</w:t>
            </w:r>
            <w:r>
              <w:rPr>
                <w:rFonts w:hint="eastAsia" w:ascii="Times New Roman" w:hAnsi="Times New Roman" w:cs="Times New Roman"/>
                <w:smallCaps/>
                <w:szCs w:val="21"/>
                <w:lang w:eastAsia="zh-CN"/>
              </w:rPr>
              <w:t>类标准</w:t>
            </w:r>
            <w:bookmarkEnd w:id="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电磁辐射</w:t>
            </w:r>
          </w:p>
        </w:tc>
        <w:tc>
          <w:tcPr>
            <w:tcW w:w="1559" w:type="dxa"/>
            <w:gridSpan w:val="2"/>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w:t>
            </w:r>
          </w:p>
        </w:tc>
        <w:tc>
          <w:tcPr>
            <w:tcW w:w="1276"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w:t>
            </w:r>
          </w:p>
        </w:tc>
        <w:tc>
          <w:tcPr>
            <w:tcW w:w="1559"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w:t>
            </w:r>
          </w:p>
        </w:tc>
        <w:tc>
          <w:tcPr>
            <w:tcW w:w="2977"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8"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固体废物</w:t>
            </w:r>
          </w:p>
        </w:tc>
        <w:tc>
          <w:tcPr>
            <w:tcW w:w="7371" w:type="dxa"/>
            <w:gridSpan w:val="5"/>
            <w:vAlign w:val="center"/>
          </w:tcPr>
          <w:p>
            <w:pPr>
              <w:pStyle w:val="141"/>
              <w:snapToGrid w:val="0"/>
              <w:spacing w:line="340" w:lineRule="exact"/>
              <w:ind w:firstLine="0" w:firstLineChars="0"/>
              <w:jc w:val="left"/>
              <w:rPr>
                <w:rFonts w:hint="eastAsia" w:ascii="Times New Roman" w:hAnsi="Times New Roman" w:eastAsia="宋体" w:cs="Times New Roman"/>
                <w:bCs w:val="0"/>
                <w:smallCaps/>
                <w:kern w:val="2"/>
                <w:sz w:val="21"/>
                <w:szCs w:val="21"/>
                <w:lang w:val="en-US" w:eastAsia="zh-CN" w:bidi="ar-SA"/>
              </w:rPr>
            </w:pPr>
            <w:r>
              <w:rPr>
                <w:rFonts w:hint="eastAsia" w:ascii="Times New Roman" w:hAnsi="Times New Roman" w:eastAsia="宋体" w:cs="Times New Roman"/>
                <w:bCs w:val="0"/>
                <w:smallCaps/>
                <w:kern w:val="2"/>
                <w:sz w:val="21"/>
                <w:szCs w:val="21"/>
                <w:lang w:val="en-US" w:eastAsia="zh-CN" w:bidi="ar-SA"/>
              </w:rPr>
              <w:t>1. 各类固废分类收集、暂存及处置。</w:t>
            </w:r>
          </w:p>
          <w:p>
            <w:pPr>
              <w:pStyle w:val="141"/>
              <w:snapToGrid w:val="0"/>
              <w:spacing w:line="340" w:lineRule="exact"/>
              <w:ind w:firstLine="0" w:firstLineChars="0"/>
              <w:jc w:val="left"/>
              <w:rPr>
                <w:rFonts w:hint="eastAsia" w:ascii="Times New Roman" w:hAnsi="Times New Roman" w:eastAsia="宋体" w:cs="Times New Roman"/>
                <w:bCs w:val="0"/>
                <w:smallCaps/>
                <w:kern w:val="2"/>
                <w:sz w:val="21"/>
                <w:szCs w:val="21"/>
                <w:lang w:val="en-US" w:eastAsia="zh-CN" w:bidi="ar-SA"/>
              </w:rPr>
            </w:pPr>
            <w:r>
              <w:rPr>
                <w:rFonts w:hint="eastAsia" w:ascii="Times New Roman" w:hAnsi="Times New Roman" w:eastAsia="宋体" w:cs="Times New Roman"/>
                <w:bCs w:val="0"/>
                <w:smallCaps/>
                <w:kern w:val="2"/>
                <w:sz w:val="21"/>
                <w:szCs w:val="21"/>
                <w:lang w:val="en-US" w:eastAsia="zh-CN" w:bidi="ar-SA"/>
              </w:rPr>
              <w:t xml:space="preserve">2. </w:t>
            </w:r>
            <w:r>
              <w:rPr>
                <w:rFonts w:hint="default" w:ascii="Times New Roman" w:hAnsi="Times New Roman" w:eastAsia="宋体" w:cs="Times New Roman"/>
                <w:bCs w:val="0"/>
                <w:smallCaps/>
                <w:kern w:val="2"/>
                <w:sz w:val="21"/>
                <w:szCs w:val="21"/>
                <w:lang w:val="en-US" w:eastAsia="zh-CN" w:bidi="ar-SA"/>
              </w:rPr>
              <w:t>激光切割工序产生的玻璃碎屑、检测工序产生不合格品、收集的粉尘、废水处理沉淀池污泥</w:t>
            </w:r>
            <w:r>
              <w:rPr>
                <w:rFonts w:hint="eastAsia" w:ascii="Times New Roman" w:hAnsi="Times New Roman" w:eastAsia="宋体" w:cs="Times New Roman"/>
                <w:bCs w:val="0"/>
                <w:smallCaps/>
                <w:kern w:val="2"/>
                <w:sz w:val="21"/>
                <w:szCs w:val="21"/>
                <w:lang w:val="en-US" w:eastAsia="zh-CN" w:bidi="ar-SA"/>
              </w:rPr>
              <w:t>外售相关单位回收利用。</w:t>
            </w:r>
          </w:p>
          <w:p>
            <w:pPr>
              <w:pStyle w:val="141"/>
              <w:snapToGrid w:val="0"/>
              <w:spacing w:line="340" w:lineRule="exact"/>
              <w:ind w:firstLine="0" w:firstLineChars="0"/>
              <w:jc w:val="left"/>
              <w:rPr>
                <w:rFonts w:hint="eastAsia" w:ascii="Times New Roman" w:hAnsi="Times New Roman" w:eastAsia="宋体" w:cs="Times New Roman"/>
                <w:bCs w:val="0"/>
                <w:smallCaps/>
                <w:kern w:val="2"/>
                <w:sz w:val="21"/>
                <w:szCs w:val="21"/>
                <w:lang w:val="en-US" w:eastAsia="zh-CN" w:bidi="ar-SA"/>
              </w:rPr>
            </w:pPr>
            <w:r>
              <w:rPr>
                <w:rFonts w:hint="eastAsia" w:ascii="Times New Roman" w:hAnsi="Times New Roman" w:eastAsia="宋体" w:cs="Times New Roman"/>
                <w:bCs w:val="0"/>
                <w:smallCaps/>
                <w:kern w:val="2"/>
                <w:sz w:val="21"/>
                <w:szCs w:val="21"/>
                <w:lang w:val="en-US" w:eastAsia="zh-CN" w:bidi="ar-SA"/>
              </w:rPr>
              <w:t>3废活性炭委托有资质单位处理。</w:t>
            </w:r>
          </w:p>
          <w:p>
            <w:pPr>
              <w:pStyle w:val="141"/>
              <w:snapToGrid w:val="0"/>
              <w:spacing w:line="340" w:lineRule="exact"/>
              <w:ind w:firstLine="0" w:firstLineChars="0"/>
              <w:jc w:val="left"/>
              <w:rPr>
                <w:rFonts w:hint="eastAsia" w:ascii="Times New Roman" w:hAnsi="Times New Roman" w:eastAsia="宋体" w:cs="Times New Roman"/>
                <w:bCs w:val="0"/>
                <w:smallCaps/>
                <w:kern w:val="2"/>
                <w:sz w:val="21"/>
                <w:szCs w:val="21"/>
                <w:lang w:val="en-US" w:eastAsia="zh-CN" w:bidi="ar-SA"/>
              </w:rPr>
            </w:pPr>
            <w:r>
              <w:rPr>
                <w:rFonts w:hint="eastAsia" w:ascii="Times New Roman" w:hAnsi="Times New Roman" w:eastAsia="宋体" w:cs="Times New Roman"/>
                <w:bCs w:val="0"/>
                <w:smallCaps/>
                <w:kern w:val="2"/>
                <w:sz w:val="21"/>
                <w:szCs w:val="21"/>
                <w:lang w:val="en-US" w:eastAsia="zh-CN" w:bidi="ar-SA"/>
              </w:rPr>
              <w:t>4. 生活垃圾由当地环卫部门统一清运。</w:t>
            </w:r>
          </w:p>
          <w:p>
            <w:pPr>
              <w:autoSpaceDE w:val="0"/>
              <w:autoSpaceDN w:val="0"/>
              <w:adjustRightInd w:val="0"/>
              <w:ind w:right="-57"/>
              <w:jc w:val="left"/>
              <w:rPr>
                <w:szCs w:val="21"/>
              </w:rPr>
            </w:pPr>
            <w:r>
              <w:rPr>
                <w:rFonts w:hint="eastAsia" w:ascii="Times New Roman" w:hAnsi="Times New Roman" w:eastAsia="宋体" w:cs="Times New Roman"/>
                <w:bCs w:val="0"/>
                <w:smallCaps/>
                <w:kern w:val="2"/>
                <w:sz w:val="21"/>
                <w:szCs w:val="21"/>
                <w:lang w:val="en-US" w:eastAsia="zh-CN" w:bidi="ar-SA"/>
              </w:rPr>
              <w:t>5. 设置符合规范的一般固废暂存场所及危险废物暂存场所，落实相关环境管理要求。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1"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土壤及地下水</w:t>
            </w:r>
          </w:p>
          <w:p>
            <w:pPr>
              <w:adjustRightInd w:val="0"/>
              <w:snapToGrid w:val="0"/>
              <w:jc w:val="center"/>
              <w:rPr>
                <w:rFonts w:ascii="宋体" w:hAnsi="宋体" w:cs="宋体"/>
                <w:szCs w:val="21"/>
              </w:rPr>
            </w:pPr>
            <w:r>
              <w:rPr>
                <w:rFonts w:hint="eastAsia" w:ascii="宋体" w:hAnsi="宋体" w:cs="宋体"/>
                <w:szCs w:val="21"/>
              </w:rPr>
              <w:t>污染防治措施</w:t>
            </w:r>
          </w:p>
        </w:tc>
        <w:tc>
          <w:tcPr>
            <w:tcW w:w="7371" w:type="dxa"/>
            <w:gridSpan w:val="5"/>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1"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生态保护措施</w:t>
            </w:r>
          </w:p>
        </w:tc>
        <w:tc>
          <w:tcPr>
            <w:tcW w:w="7371" w:type="dxa"/>
            <w:gridSpan w:val="5"/>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76" w:hRule="atLeast"/>
          <w:jc w:val="center"/>
        </w:trPr>
        <w:tc>
          <w:tcPr>
            <w:tcW w:w="1538" w:type="dxa"/>
            <w:vAlign w:val="center"/>
          </w:tcPr>
          <w:p>
            <w:pPr>
              <w:adjustRightInd w:val="0"/>
              <w:snapToGrid w:val="0"/>
              <w:jc w:val="center"/>
              <w:rPr>
                <w:rFonts w:ascii="宋体" w:hAnsi="宋体" w:cs="宋体"/>
                <w:spacing w:val="-8"/>
                <w:szCs w:val="21"/>
              </w:rPr>
            </w:pPr>
            <w:r>
              <w:rPr>
                <w:rFonts w:hint="eastAsia" w:ascii="宋体" w:hAnsi="宋体" w:cs="宋体"/>
                <w:spacing w:val="-8"/>
                <w:szCs w:val="21"/>
              </w:rPr>
              <w:t>环境风险</w:t>
            </w:r>
          </w:p>
          <w:p>
            <w:pPr>
              <w:adjustRightInd w:val="0"/>
              <w:snapToGrid w:val="0"/>
              <w:jc w:val="center"/>
              <w:rPr>
                <w:rFonts w:ascii="宋体" w:hAnsi="宋体" w:cs="宋体"/>
                <w:spacing w:val="-8"/>
                <w:szCs w:val="21"/>
              </w:rPr>
            </w:pPr>
            <w:r>
              <w:rPr>
                <w:rFonts w:hint="eastAsia" w:ascii="宋体" w:hAnsi="宋体" w:cs="宋体"/>
                <w:spacing w:val="-8"/>
                <w:szCs w:val="21"/>
              </w:rPr>
              <w:t>防范措施</w:t>
            </w:r>
          </w:p>
        </w:tc>
        <w:tc>
          <w:tcPr>
            <w:tcW w:w="7371" w:type="dxa"/>
            <w:gridSpan w:val="5"/>
            <w:vAlign w:val="center"/>
          </w:tcPr>
          <w:p>
            <w:pPr>
              <w:jc w:val="left"/>
              <w:rPr>
                <w:szCs w:val="21"/>
              </w:rPr>
            </w:pPr>
            <w:r>
              <w:rPr>
                <w:rFonts w:hint="eastAsia"/>
                <w:szCs w:val="21"/>
              </w:rPr>
              <w:t>a</w:t>
            </w:r>
            <w:r>
              <w:rPr>
                <w:szCs w:val="21"/>
              </w:rPr>
              <w:t>.完善危险物质贮存设施，加强对物料储存、使用的安全管理和检查，避免物料出现泄漏。b.落实安全检查制度，定期检查，排除火灾隐患；加强厂区消防检查和管理，在厂区按照消防要求设置灭火器材。c.要加强对各岗位员工进行风险意识、风险知识、安全技能、规章制度、应变能力等素质等各方面的培训和教育。d.企业应当按照安全监督管理部门和消防部门要求，严格执行相关风险控制措施。e.企业编制突发环境事件应急预案，配备应急器材，在发生泄漏、火灾和爆炸等事故时控制泄漏物和消防废水进入下水道。企业应完善突发环境事故应急措施。f.做好总图布置和建筑物安全防范措施。g.准备各项应急救援物资。h.仓库区禁止吸烟，远离火源、热源、电源，无产生火花的条件，禁止明火作业；设置醒目易燃品标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538" w:type="dxa"/>
            <w:vAlign w:val="center"/>
          </w:tcPr>
          <w:p>
            <w:pPr>
              <w:adjustRightInd w:val="0"/>
              <w:snapToGrid w:val="0"/>
              <w:jc w:val="center"/>
              <w:rPr>
                <w:rFonts w:ascii="宋体" w:hAnsi="宋体" w:cs="宋体"/>
                <w:spacing w:val="-8"/>
                <w:szCs w:val="21"/>
              </w:rPr>
            </w:pPr>
            <w:r>
              <w:rPr>
                <w:rFonts w:hint="eastAsia" w:ascii="宋体" w:hAnsi="宋体" w:cs="宋体"/>
                <w:spacing w:val="-8"/>
                <w:szCs w:val="21"/>
              </w:rPr>
              <w:t>其他环境</w:t>
            </w:r>
          </w:p>
          <w:p>
            <w:pPr>
              <w:adjustRightInd w:val="0"/>
              <w:snapToGrid w:val="0"/>
              <w:jc w:val="center"/>
              <w:rPr>
                <w:rFonts w:ascii="宋体" w:hAnsi="宋体" w:cs="宋体"/>
                <w:spacing w:val="-8"/>
                <w:szCs w:val="21"/>
              </w:rPr>
            </w:pPr>
            <w:r>
              <w:rPr>
                <w:rFonts w:hint="eastAsia" w:ascii="宋体" w:hAnsi="宋体" w:cs="宋体"/>
                <w:spacing w:val="-8"/>
                <w:szCs w:val="21"/>
              </w:rPr>
              <w:t>管理要求</w:t>
            </w:r>
          </w:p>
        </w:tc>
        <w:tc>
          <w:tcPr>
            <w:tcW w:w="7371" w:type="dxa"/>
            <w:gridSpan w:val="5"/>
            <w:vAlign w:val="center"/>
          </w:tcPr>
          <w:p>
            <w:pPr>
              <w:pStyle w:val="172"/>
              <w:keepNext w:val="0"/>
              <w:keepLines w:val="0"/>
              <w:pageBreakBefore w:val="0"/>
              <w:kinsoku/>
              <w:wordWrap/>
              <w:overflowPunct/>
              <w:topLinePunct w:val="0"/>
              <w:autoSpaceDE/>
              <w:autoSpaceDN/>
              <w:bidi w:val="0"/>
              <w:snapToGri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1、建设单位如产品方案、工艺、设备、原辅材料消耗（或组分）、厂区平面布置等情况或建设地块发生变化时，应向环保部门及时申报重新进行环境影响评价。</w:t>
            </w:r>
          </w:p>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2、建设单位严格按照《排污许可管理办法(试行)》的要求，在规定的时限内申领排污许可证，并按照排污许可证的规定排放污染物，加强环保管理。</w:t>
            </w:r>
          </w:p>
          <w:p>
            <w:pPr>
              <w:jc w:val="center"/>
              <w:rPr>
                <w:szCs w:val="21"/>
              </w:rPr>
            </w:pPr>
          </w:p>
        </w:tc>
      </w:tr>
    </w:tbl>
    <w:p>
      <w:pPr>
        <w:pStyle w:val="32"/>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rPr>
                <w:sz w:val="24"/>
              </w:rPr>
            </w:pPr>
            <w:r>
              <w:rPr>
                <w:rFonts w:hint="eastAsia"/>
                <w:b/>
                <w:bCs/>
                <w:sz w:val="24"/>
              </w:rPr>
              <w:t>（一）</w:t>
            </w:r>
            <w:r>
              <w:rPr>
                <w:b/>
                <w:bCs/>
                <w:sz w:val="24"/>
              </w:rPr>
              <w:t>结论</w:t>
            </w:r>
          </w:p>
          <w:p>
            <w:pPr>
              <w:pStyle w:val="172"/>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eastAsia="宋体"/>
                <w:lang w:val="en-US" w:eastAsia="zh-CN"/>
              </w:rPr>
            </w:pPr>
            <w:r>
              <w:rPr>
                <w:rFonts w:hint="eastAsia" w:eastAsia="宋体"/>
                <w:lang w:val="en-US" w:eastAsia="zh-CN"/>
              </w:rPr>
              <w:t>本项目符合国家和地方产业政策，与区域规划相符，符合《太湖流域管理条例》、《江苏省太湖水污染防治条例》等要求；在切实落实相关区域环境整治计划的基础上，区域环境质量可以得到改善，满足相关环境功能区的要求；符合“三线一单”相关要求；符合《“十三五”挥发性有机物污染防治工作方案》、“两减六治三提升”专项行动方案、《江苏省打赢蓝天保卫战三年行动计划实施方案》、《重点行业挥发性有机物综合治理方案》（环大气</w:t>
            </w:r>
            <w:r>
              <w:rPr>
                <w:rFonts w:eastAsia="宋体"/>
                <w:lang w:val="en-US" w:eastAsia="zh-CN"/>
              </w:rPr>
              <w:t>[2019]53</w:t>
            </w:r>
            <w:r>
              <w:rPr>
                <w:rFonts w:hint="eastAsia" w:eastAsia="宋体"/>
                <w:lang w:val="en-US" w:eastAsia="zh-CN"/>
              </w:rPr>
              <w:t>号）、《无锡市</w:t>
            </w:r>
            <w:r>
              <w:rPr>
                <w:rFonts w:eastAsia="宋体"/>
                <w:lang w:val="en-US" w:eastAsia="zh-CN"/>
              </w:rPr>
              <w:t>2020</w:t>
            </w:r>
            <w:r>
              <w:rPr>
                <w:rFonts w:hint="eastAsia" w:eastAsia="宋体"/>
                <w:lang w:val="en-US" w:eastAsia="zh-CN"/>
              </w:rPr>
              <w:t>年挥发性有机物专项治理工作方案》（锡大气办</w:t>
            </w:r>
            <w:r>
              <w:rPr>
                <w:rFonts w:eastAsia="宋体"/>
                <w:lang w:val="en-US" w:eastAsia="zh-CN"/>
              </w:rPr>
              <w:t>[2020]3</w:t>
            </w:r>
            <w:r>
              <w:rPr>
                <w:rFonts w:hint="eastAsia" w:eastAsia="宋体"/>
                <w:lang w:val="en-US" w:eastAsia="zh-CN"/>
              </w:rPr>
              <w:t>号）的要求；平面布置基本合理，采取的污染防治措施可行可靠，能有效实现污染物长期稳定达标排放，对环境影响较小；制定了完善的环境管理制度和监测计划。因此，从环保角度出发，本项目具有环境可行性。</w:t>
            </w:r>
          </w:p>
          <w:p>
            <w:pPr>
              <w:adjustRightInd w:val="0"/>
              <w:snapToGrid w:val="0"/>
              <w:spacing w:line="360" w:lineRule="auto"/>
              <w:ind w:firstLine="480" w:firstLineChars="200"/>
              <w:rPr>
                <w:rFonts w:hint="eastAsia"/>
                <w:b/>
                <w:bCs/>
                <w:sz w:val="24"/>
              </w:rPr>
            </w:pPr>
            <w:r>
              <w:rPr>
                <w:rFonts w:hint="eastAsia" w:eastAsia="宋体"/>
                <w:sz w:val="24"/>
                <w:szCs w:val="24"/>
              </w:rPr>
              <w:t>综上所述，限于所申报的产品及生产工艺，厂界环境噪声达标，并落实各项污染治理措施到位的前提下，本项目在该地建设在环保上可行。</w:t>
            </w: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rFonts w:hint="eastAsia"/>
                <w:b/>
                <w:bCs/>
                <w:sz w:val="24"/>
              </w:rPr>
            </w:pPr>
          </w:p>
          <w:p>
            <w:pPr>
              <w:adjustRightInd w:val="0"/>
              <w:snapToGrid w:val="0"/>
              <w:spacing w:line="360" w:lineRule="auto"/>
              <w:rPr>
                <w:b/>
                <w:bCs/>
                <w:sz w:val="24"/>
              </w:rPr>
            </w:pPr>
            <w:r>
              <w:rPr>
                <w:rFonts w:hint="eastAsia"/>
                <w:b/>
                <w:bCs/>
                <w:sz w:val="24"/>
              </w:rPr>
              <w:t>（二）附图、附件</w:t>
            </w:r>
          </w:p>
          <w:p>
            <w:pPr>
              <w:adjustRightInd w:val="0"/>
              <w:snapToGrid w:val="0"/>
              <w:spacing w:line="360" w:lineRule="auto"/>
              <w:rPr>
                <w:b/>
                <w:sz w:val="24"/>
              </w:rPr>
            </w:pPr>
            <w:r>
              <w:rPr>
                <w:rFonts w:hAnsi="宋体"/>
                <w:b/>
                <w:sz w:val="24"/>
              </w:rPr>
              <w:t>附图：</w:t>
            </w:r>
            <w:r>
              <w:rPr>
                <w:b/>
                <w:sz w:val="24"/>
              </w:rPr>
              <w:t xml:space="preserve"> </w:t>
            </w:r>
          </w:p>
          <w:p>
            <w:pPr>
              <w:tabs>
                <w:tab w:val="right" w:leader="dot" w:pos="8610"/>
                <w:tab w:val="right" w:leader="dot" w:pos="8820"/>
                <w:tab w:val="right" w:leader="dot" w:pos="8925"/>
              </w:tabs>
              <w:adjustRightInd w:val="0"/>
              <w:snapToGrid w:val="0"/>
              <w:spacing w:line="360" w:lineRule="auto"/>
              <w:rPr>
                <w:sz w:val="24"/>
              </w:rPr>
            </w:pPr>
            <w:r>
              <w:rPr>
                <w:rFonts w:hAnsi="宋体"/>
                <w:sz w:val="24"/>
              </w:rPr>
              <w:t>附图</w:t>
            </w:r>
            <w:r>
              <w:rPr>
                <w:rFonts w:ascii="Times New Roman" w:hAnsi="Times New Roman"/>
                <w:sz w:val="24"/>
              </w:rPr>
              <w:t>1</w:t>
            </w:r>
            <w:r>
              <w:rPr>
                <w:rFonts w:hAnsi="宋体"/>
                <w:sz w:val="24"/>
              </w:rPr>
              <w:t>：建设项目地理位置图</w:t>
            </w:r>
          </w:p>
          <w:p>
            <w:pPr>
              <w:adjustRightInd w:val="0"/>
              <w:snapToGrid w:val="0"/>
              <w:spacing w:line="360" w:lineRule="auto"/>
              <w:rPr>
                <w:rFonts w:hint="eastAsia" w:hAnsi="宋体"/>
                <w:sz w:val="24"/>
              </w:rPr>
            </w:pPr>
            <w:r>
              <w:rPr>
                <w:rFonts w:hAnsi="宋体"/>
                <w:sz w:val="24"/>
                <w:szCs w:val="24"/>
              </w:rPr>
              <w:t>附图</w:t>
            </w:r>
            <w:r>
              <w:rPr>
                <w:rFonts w:ascii="Times New Roman" w:hAnsi="Times New Roman"/>
                <w:sz w:val="24"/>
                <w:szCs w:val="24"/>
              </w:rPr>
              <w:t>2</w:t>
            </w:r>
            <w:r>
              <w:rPr>
                <w:rFonts w:hint="eastAsia"/>
                <w:sz w:val="24"/>
                <w:szCs w:val="24"/>
              </w:rPr>
              <w:t>：</w:t>
            </w:r>
            <w:r>
              <w:rPr>
                <w:rFonts w:hAnsi="宋体"/>
                <w:sz w:val="24"/>
              </w:rPr>
              <w:t>建设项目周围</w:t>
            </w:r>
            <w:r>
              <w:rPr>
                <w:rFonts w:hint="eastAsia" w:ascii="Times New Roman" w:hAnsi="Times New Roman"/>
                <w:sz w:val="24"/>
              </w:rPr>
              <w:t>500</w:t>
            </w:r>
            <w:r>
              <w:rPr>
                <w:rFonts w:hint="eastAsia" w:ascii="Times New Roman" w:hAnsi="Times New Roman"/>
                <w:caps w:val="0"/>
                <w:smallCaps w:val="0"/>
                <w:strike w:val="0"/>
                <w:dstrike w:val="0"/>
                <w:vanish w:val="0"/>
                <w:sz w:val="24"/>
              </w:rPr>
              <w:t>m</w:t>
            </w:r>
            <w:r>
              <w:rPr>
                <w:rFonts w:hAnsi="宋体"/>
                <w:sz w:val="24"/>
              </w:rPr>
              <w:t>环</w:t>
            </w:r>
            <w:r>
              <w:rPr>
                <w:rFonts w:hint="eastAsia" w:hAnsi="宋体"/>
                <w:sz w:val="24"/>
              </w:rPr>
              <w:t>境示意图</w:t>
            </w:r>
          </w:p>
          <w:p>
            <w:pPr>
              <w:adjustRightInd w:val="0"/>
              <w:snapToGrid w:val="0"/>
              <w:spacing w:line="360" w:lineRule="auto"/>
              <w:rPr>
                <w:rFonts w:hint="eastAsia" w:hAnsi="宋体"/>
                <w:sz w:val="24"/>
              </w:rPr>
            </w:pPr>
            <w:r>
              <w:rPr>
                <w:rFonts w:hint="eastAsia" w:hAnsi="宋体"/>
                <w:sz w:val="24"/>
              </w:rPr>
              <w:t>附图</w:t>
            </w:r>
            <w:r>
              <w:rPr>
                <w:rFonts w:hint="eastAsia" w:ascii="Times New Roman" w:hAnsi="Times New Roman"/>
                <w:sz w:val="24"/>
              </w:rPr>
              <w:t>3</w:t>
            </w:r>
            <w:r>
              <w:rPr>
                <w:rFonts w:hint="eastAsia" w:hAnsi="宋体"/>
                <w:sz w:val="24"/>
              </w:rPr>
              <w:t>：厂区平面布置图</w:t>
            </w:r>
          </w:p>
          <w:p>
            <w:pPr>
              <w:adjustRightInd w:val="0"/>
              <w:snapToGrid w:val="0"/>
              <w:spacing w:line="360" w:lineRule="auto"/>
              <w:rPr>
                <w:rFonts w:hint="eastAsia" w:hAnsi="宋体"/>
                <w:sz w:val="24"/>
              </w:rPr>
            </w:pPr>
            <w:r>
              <w:rPr>
                <w:rFonts w:hint="eastAsia" w:hAnsi="宋体"/>
                <w:sz w:val="24"/>
              </w:rPr>
              <w:t>附图</w:t>
            </w:r>
            <w:r>
              <w:rPr>
                <w:rFonts w:hint="eastAsia" w:ascii="Times New Roman" w:hAnsi="Times New Roman"/>
                <w:sz w:val="24"/>
              </w:rPr>
              <w:t>4</w:t>
            </w:r>
            <w:r>
              <w:rPr>
                <w:rFonts w:hint="eastAsia" w:hAnsi="宋体"/>
                <w:sz w:val="24"/>
              </w:rPr>
              <w:t>：企业周边生态红线图</w:t>
            </w:r>
          </w:p>
          <w:p>
            <w:pPr>
              <w:adjustRightInd w:val="0"/>
              <w:snapToGrid w:val="0"/>
              <w:spacing w:line="360" w:lineRule="auto"/>
              <w:rPr>
                <w:rFonts w:hint="eastAsia" w:hAnsi="宋体" w:eastAsia="宋体"/>
                <w:sz w:val="24"/>
                <w:lang w:eastAsia="zh-CN"/>
              </w:rPr>
            </w:pPr>
            <w:r>
              <w:rPr>
                <w:rFonts w:hint="eastAsia" w:hAnsi="宋体"/>
                <w:sz w:val="24"/>
              </w:rPr>
              <w:t>附图</w:t>
            </w:r>
            <w:r>
              <w:rPr>
                <w:rFonts w:hint="eastAsia" w:ascii="Times New Roman" w:hAnsi="Times New Roman"/>
                <w:sz w:val="24"/>
              </w:rPr>
              <w:t>5</w:t>
            </w:r>
            <w:r>
              <w:rPr>
                <w:rFonts w:hint="eastAsia" w:hAnsi="宋体"/>
                <w:sz w:val="24"/>
              </w:rPr>
              <w:t>：</w:t>
            </w:r>
            <w:r>
              <w:rPr>
                <w:rFonts w:hint="eastAsia" w:hAnsi="宋体"/>
                <w:sz w:val="24"/>
                <w:lang w:eastAsia="zh-CN"/>
              </w:rPr>
              <w:t>宜兴市桃园工业区规划图</w:t>
            </w:r>
          </w:p>
          <w:p>
            <w:pPr>
              <w:adjustRightInd w:val="0"/>
              <w:snapToGrid w:val="0"/>
              <w:spacing w:line="360" w:lineRule="auto"/>
              <w:rPr>
                <w:rFonts w:hAnsi="宋体"/>
                <w:b/>
                <w:sz w:val="24"/>
              </w:rPr>
            </w:pPr>
            <w:r>
              <w:rPr>
                <w:rFonts w:hAnsi="宋体"/>
                <w:b/>
                <w:sz w:val="24"/>
              </w:rPr>
              <w:t>附件：</w:t>
            </w:r>
          </w:p>
          <w:p>
            <w:pPr>
              <w:adjustRightInd w:val="0"/>
              <w:snapToGrid w:val="0"/>
              <w:spacing w:line="360" w:lineRule="auto"/>
              <w:rPr>
                <w:rFonts w:hint="eastAsia" w:eastAsia="宋体"/>
                <w:lang w:eastAsia="zh-CN"/>
              </w:rPr>
            </w:pPr>
            <w:r>
              <w:rPr>
                <w:rFonts w:hAnsi="宋体"/>
                <w:sz w:val="24"/>
              </w:rPr>
              <w:t>附件</w:t>
            </w:r>
            <w:r>
              <w:rPr>
                <w:rFonts w:ascii="Times New Roman" w:hAnsi="Times New Roman"/>
                <w:sz w:val="24"/>
              </w:rPr>
              <w:t>1</w:t>
            </w:r>
            <w:r>
              <w:rPr>
                <w:rFonts w:hAnsi="宋体"/>
                <w:sz w:val="24"/>
              </w:rPr>
              <w:t>：</w:t>
            </w:r>
            <w:r>
              <w:rPr>
                <w:rFonts w:hint="eastAsia" w:hAnsi="宋体"/>
                <w:sz w:val="24"/>
                <w:lang w:eastAsia="zh-CN"/>
              </w:rPr>
              <w:t>营业执照</w:t>
            </w:r>
          </w:p>
          <w:p>
            <w:pPr>
              <w:adjustRightInd w:val="0"/>
              <w:snapToGrid w:val="0"/>
              <w:spacing w:line="360" w:lineRule="auto"/>
              <w:rPr>
                <w:sz w:val="24"/>
              </w:rPr>
            </w:pPr>
            <w:r>
              <w:rPr>
                <w:rFonts w:hAnsi="宋体"/>
                <w:sz w:val="24"/>
              </w:rPr>
              <w:t>附件</w:t>
            </w:r>
            <w:r>
              <w:rPr>
                <w:rFonts w:ascii="Times New Roman" w:hAnsi="Times New Roman"/>
                <w:sz w:val="24"/>
              </w:rPr>
              <w:t>1</w:t>
            </w:r>
            <w:r>
              <w:rPr>
                <w:rFonts w:hAnsi="宋体"/>
                <w:sz w:val="24"/>
              </w:rPr>
              <w:t>：</w:t>
            </w:r>
            <w:r>
              <w:rPr>
                <w:rFonts w:hint="eastAsia" w:hAnsi="宋体"/>
                <w:sz w:val="24"/>
              </w:rPr>
              <w:t>立项文件</w:t>
            </w:r>
          </w:p>
          <w:p>
            <w:pPr>
              <w:adjustRightInd w:val="0"/>
              <w:snapToGrid w:val="0"/>
              <w:spacing w:line="360" w:lineRule="auto"/>
              <w:rPr>
                <w:rFonts w:hint="eastAsia" w:hAnsi="宋体"/>
                <w:sz w:val="24"/>
              </w:rPr>
            </w:pPr>
            <w:r>
              <w:rPr>
                <w:rFonts w:hint="eastAsia" w:hAnsi="宋体"/>
                <w:sz w:val="24"/>
              </w:rPr>
              <w:t>附件</w:t>
            </w:r>
            <w:r>
              <w:rPr>
                <w:rFonts w:hint="eastAsia" w:ascii="Times New Roman" w:hAnsi="Times New Roman"/>
                <w:sz w:val="24"/>
              </w:rPr>
              <w:t>2</w:t>
            </w:r>
            <w:r>
              <w:rPr>
                <w:rFonts w:hint="eastAsia" w:hAnsi="宋体"/>
                <w:sz w:val="24"/>
              </w:rPr>
              <w:t>：排水许可证</w:t>
            </w:r>
          </w:p>
          <w:p>
            <w:pPr>
              <w:pStyle w:val="2"/>
              <w:rPr>
                <w:rFonts w:hint="eastAsia"/>
              </w:rPr>
            </w:pPr>
            <w:r>
              <w:rPr>
                <w:rFonts w:hint="eastAsia" w:hAnsi="宋体"/>
                <w:sz w:val="24"/>
              </w:rPr>
              <w:t>附件</w:t>
            </w:r>
            <w:r>
              <w:rPr>
                <w:rFonts w:hint="eastAsia" w:ascii="Times New Roman" w:hAnsi="Times New Roman"/>
                <w:sz w:val="24"/>
              </w:rPr>
              <w:t>3</w:t>
            </w:r>
            <w:r>
              <w:rPr>
                <w:rFonts w:hint="eastAsia" w:hAnsi="宋体"/>
                <w:sz w:val="24"/>
              </w:rPr>
              <w:t>：厂房租赁协议及土地证</w:t>
            </w:r>
          </w:p>
          <w:p>
            <w:pPr>
              <w:adjustRightInd w:val="0"/>
              <w:snapToGrid w:val="0"/>
              <w:spacing w:line="360" w:lineRule="auto"/>
              <w:rPr>
                <w:rFonts w:hint="eastAsia" w:hAnsi="宋体"/>
                <w:sz w:val="24"/>
              </w:rPr>
            </w:pPr>
            <w:r>
              <w:rPr>
                <w:rFonts w:hint="eastAsia" w:hAnsi="宋体"/>
                <w:sz w:val="24"/>
              </w:rPr>
              <w:t>附件</w:t>
            </w:r>
            <w:r>
              <w:rPr>
                <w:rFonts w:hint="eastAsia" w:ascii="Times New Roman" w:hAnsi="Times New Roman"/>
                <w:sz w:val="24"/>
              </w:rPr>
              <w:t>4</w:t>
            </w:r>
            <w:r>
              <w:rPr>
                <w:rFonts w:hint="eastAsia" w:hAnsi="宋体"/>
                <w:sz w:val="24"/>
              </w:rPr>
              <w:t>：</w:t>
            </w:r>
            <w:r>
              <w:rPr>
                <w:rFonts w:hAnsi="宋体"/>
                <w:sz w:val="24"/>
              </w:rPr>
              <w:t>建设项目环境影响申报（登记）表（</w:t>
            </w:r>
            <w:r>
              <w:rPr>
                <w:rFonts w:hint="eastAsia" w:hAnsi="宋体"/>
                <w:sz w:val="24"/>
              </w:rPr>
              <w:t>工业</w:t>
            </w:r>
            <w:r>
              <w:rPr>
                <w:rFonts w:hAnsi="宋体"/>
                <w:sz w:val="24"/>
              </w:rPr>
              <w:t>类）</w:t>
            </w:r>
          </w:p>
          <w:p>
            <w:pPr>
              <w:adjustRightInd w:val="0"/>
              <w:snapToGrid w:val="0"/>
              <w:spacing w:line="360" w:lineRule="auto"/>
              <w:rPr>
                <w:rFonts w:hint="eastAsia" w:hAnsi="宋体"/>
                <w:sz w:val="24"/>
              </w:rPr>
            </w:pPr>
            <w:r>
              <w:rPr>
                <w:rFonts w:hint="eastAsia" w:hAnsi="宋体"/>
                <w:sz w:val="24"/>
              </w:rPr>
              <w:t>附件</w:t>
            </w:r>
            <w:r>
              <w:rPr>
                <w:rFonts w:hint="eastAsia" w:ascii="Times New Roman" w:hAnsi="Times New Roman"/>
                <w:sz w:val="24"/>
              </w:rPr>
              <w:t>5</w:t>
            </w:r>
            <w:r>
              <w:rPr>
                <w:rFonts w:hint="eastAsia" w:hAnsi="宋体"/>
                <w:sz w:val="24"/>
              </w:rPr>
              <w:t>：</w:t>
            </w:r>
            <w:r>
              <w:rPr>
                <w:rFonts w:hint="eastAsia"/>
                <w:sz w:val="24"/>
              </w:rPr>
              <w:t>建设项目环境影响审批现场勘察表</w:t>
            </w:r>
          </w:p>
          <w:p>
            <w:pPr>
              <w:adjustRightInd w:val="0"/>
              <w:snapToGrid w:val="0"/>
              <w:spacing w:line="360" w:lineRule="auto"/>
              <w:rPr>
                <w:rFonts w:hAnsi="宋体"/>
                <w:sz w:val="24"/>
              </w:rPr>
            </w:pPr>
            <w:r>
              <w:rPr>
                <w:rFonts w:hint="eastAsia" w:hAnsi="宋体"/>
                <w:sz w:val="24"/>
              </w:rPr>
              <w:t>附件</w:t>
            </w:r>
            <w:r>
              <w:rPr>
                <w:rFonts w:hint="eastAsia" w:ascii="Times New Roman" w:hAnsi="Times New Roman"/>
                <w:sz w:val="24"/>
              </w:rPr>
              <w:t>6</w:t>
            </w:r>
            <w:r>
              <w:rPr>
                <w:rFonts w:hint="eastAsia" w:hAnsi="宋体"/>
                <w:sz w:val="24"/>
              </w:rPr>
              <w:t>：检</w:t>
            </w:r>
            <w:r>
              <w:rPr>
                <w:rFonts w:hAnsi="宋体"/>
                <w:sz w:val="24"/>
              </w:rPr>
              <w:t>测报告</w:t>
            </w:r>
          </w:p>
          <w:p>
            <w:pPr>
              <w:adjustRightInd w:val="0"/>
              <w:snapToGrid w:val="0"/>
              <w:spacing w:line="360" w:lineRule="auto"/>
              <w:rPr>
                <w:rFonts w:hint="eastAsia" w:hAnsi="宋体"/>
                <w:sz w:val="24"/>
              </w:rPr>
            </w:pPr>
            <w:r>
              <w:rPr>
                <w:rFonts w:hAnsi="宋体"/>
                <w:sz w:val="24"/>
              </w:rPr>
              <w:t>附件</w:t>
            </w:r>
            <w:r>
              <w:rPr>
                <w:rFonts w:hint="eastAsia" w:ascii="Times New Roman" w:hAnsi="Times New Roman"/>
                <w:sz w:val="24"/>
              </w:rPr>
              <w:t>7</w:t>
            </w:r>
            <w:r>
              <w:rPr>
                <w:rFonts w:hAnsi="宋体"/>
                <w:sz w:val="24"/>
              </w:rPr>
              <w:t>：报批申请</w:t>
            </w:r>
          </w:p>
          <w:p>
            <w:pPr>
              <w:adjustRightInd w:val="0"/>
              <w:snapToGrid w:val="0"/>
              <w:spacing w:line="360" w:lineRule="auto"/>
              <w:rPr>
                <w:sz w:val="24"/>
              </w:rPr>
            </w:pPr>
            <w:r>
              <w:rPr>
                <w:rFonts w:hAnsi="宋体"/>
                <w:sz w:val="24"/>
              </w:rPr>
              <w:t>附件</w:t>
            </w:r>
            <w:r>
              <w:rPr>
                <w:rFonts w:hint="eastAsia" w:ascii="Times New Roman" w:hAnsi="Times New Roman"/>
                <w:sz w:val="24"/>
              </w:rPr>
              <w:t>8</w:t>
            </w:r>
            <w:r>
              <w:rPr>
                <w:rFonts w:hAnsi="宋体"/>
                <w:sz w:val="24"/>
              </w:rPr>
              <w:t>：环境影响评价单位承接环评业务承诺书</w:t>
            </w:r>
          </w:p>
          <w:p>
            <w:pPr>
              <w:adjustRightInd w:val="0"/>
              <w:snapToGrid w:val="0"/>
              <w:spacing w:line="360" w:lineRule="auto"/>
              <w:rPr>
                <w:sz w:val="24"/>
              </w:rPr>
            </w:pPr>
            <w:r>
              <w:rPr>
                <w:rFonts w:hAnsi="宋体"/>
                <w:sz w:val="24"/>
              </w:rPr>
              <w:t>附件</w:t>
            </w:r>
            <w:r>
              <w:rPr>
                <w:rFonts w:hint="eastAsia" w:ascii="Times New Roman" w:hAnsi="Times New Roman"/>
                <w:sz w:val="24"/>
              </w:rPr>
              <w:t>9</w:t>
            </w:r>
            <w:r>
              <w:rPr>
                <w:rFonts w:hAnsi="宋体"/>
                <w:sz w:val="24"/>
              </w:rPr>
              <w:t>：公示截图</w:t>
            </w:r>
          </w:p>
          <w:p>
            <w:pPr>
              <w:adjustRightInd w:val="0"/>
              <w:snapToGrid w:val="0"/>
              <w:spacing w:line="360" w:lineRule="auto"/>
              <w:rPr>
                <w:sz w:val="24"/>
              </w:rPr>
            </w:pPr>
            <w:r>
              <w:rPr>
                <w:rFonts w:hAnsi="宋体"/>
                <w:sz w:val="24"/>
              </w:rPr>
              <w:t>附件</w:t>
            </w:r>
            <w:r>
              <w:rPr>
                <w:rFonts w:hint="eastAsia" w:ascii="Times New Roman" w:hAnsi="Times New Roman"/>
                <w:sz w:val="24"/>
              </w:rPr>
              <w:t>10</w:t>
            </w:r>
            <w:r>
              <w:rPr>
                <w:rFonts w:hAnsi="宋体"/>
                <w:sz w:val="24"/>
              </w:rPr>
              <w:t>：环保措施承诺书</w:t>
            </w:r>
          </w:p>
          <w:p>
            <w:pPr>
              <w:adjustRightInd w:val="0"/>
              <w:snapToGrid w:val="0"/>
              <w:spacing w:line="360" w:lineRule="auto"/>
              <w:rPr>
                <w:rFonts w:hAnsi="宋体"/>
                <w:sz w:val="24"/>
              </w:rPr>
            </w:pPr>
            <w:r>
              <w:rPr>
                <w:rFonts w:hAnsi="宋体"/>
                <w:sz w:val="24"/>
              </w:rPr>
              <w:t>附件</w:t>
            </w:r>
            <w:r>
              <w:rPr>
                <w:rFonts w:ascii="Times New Roman" w:hAnsi="Times New Roman"/>
                <w:sz w:val="24"/>
              </w:rPr>
              <w:t>1</w:t>
            </w:r>
            <w:r>
              <w:rPr>
                <w:rFonts w:hint="eastAsia" w:ascii="Times New Roman" w:hAnsi="Times New Roman"/>
                <w:sz w:val="24"/>
              </w:rPr>
              <w:t>1</w:t>
            </w:r>
            <w:r>
              <w:rPr>
                <w:rFonts w:hAnsi="宋体"/>
                <w:sz w:val="24"/>
              </w:rPr>
              <w:t>：主要环境影响及环境保护对策与措施</w:t>
            </w:r>
          </w:p>
          <w:p>
            <w:pPr>
              <w:adjustRightInd w:val="0"/>
              <w:snapToGrid w:val="0"/>
              <w:spacing w:line="360" w:lineRule="auto"/>
              <w:rPr>
                <w:rFonts w:hint="eastAsia"/>
                <w:color w:val="000000"/>
                <w:sz w:val="24"/>
                <w:szCs w:val="24"/>
              </w:rPr>
            </w:pPr>
            <w:r>
              <w:rPr>
                <w:rFonts w:hAnsi="宋体"/>
                <w:sz w:val="24"/>
              </w:rPr>
              <w:t>附件</w:t>
            </w:r>
            <w:r>
              <w:rPr>
                <w:rFonts w:ascii="Times New Roman" w:hAnsi="Times New Roman"/>
                <w:sz w:val="24"/>
              </w:rPr>
              <w:t>1</w:t>
            </w:r>
            <w:r>
              <w:rPr>
                <w:rFonts w:hint="eastAsia" w:ascii="Times New Roman" w:hAnsi="Times New Roman"/>
                <w:sz w:val="24"/>
              </w:rPr>
              <w:t>2</w:t>
            </w:r>
            <w:r>
              <w:rPr>
                <w:rFonts w:hAnsi="宋体"/>
                <w:sz w:val="24"/>
              </w:rPr>
              <w:t>：</w:t>
            </w:r>
            <w:r>
              <w:rPr>
                <w:rFonts w:hint="eastAsia" w:hAnsi="宋体"/>
                <w:sz w:val="24"/>
                <w:lang w:eastAsia="zh-CN"/>
              </w:rPr>
              <w:t>高塍镇工业集中区</w:t>
            </w:r>
            <w:r>
              <w:rPr>
                <w:rFonts w:hint="eastAsia"/>
                <w:color w:val="000000"/>
                <w:sz w:val="24"/>
                <w:szCs w:val="24"/>
              </w:rPr>
              <w:t>环境影响报告书批复</w:t>
            </w:r>
          </w:p>
          <w:p>
            <w:pPr>
              <w:adjustRightInd w:val="0"/>
              <w:snapToGrid w:val="0"/>
              <w:spacing w:line="360" w:lineRule="auto"/>
              <w:rPr>
                <w:b/>
                <w:sz w:val="24"/>
              </w:rPr>
            </w:pPr>
            <w:r>
              <w:rPr>
                <w:rFonts w:hAnsi="宋体"/>
                <w:b/>
                <w:sz w:val="24"/>
              </w:rPr>
              <w:t>附表：</w:t>
            </w:r>
          </w:p>
          <w:p>
            <w:pPr>
              <w:adjustRightInd w:val="0"/>
              <w:snapToGrid w:val="0"/>
              <w:spacing w:line="360" w:lineRule="auto"/>
              <w:rPr>
                <w:sz w:val="24"/>
              </w:rPr>
            </w:pPr>
            <w:r>
              <w:rPr>
                <w:rFonts w:hAnsi="宋体"/>
                <w:sz w:val="24"/>
              </w:rPr>
              <w:t>建设项目环境保护审批登记表</w:t>
            </w: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p>
        </w:tc>
      </w:tr>
    </w:tbl>
    <w:p>
      <w:pPr>
        <w:rPr>
          <w:rFonts w:ascii="宋体"/>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32"/>
        <w:adjustRightInd w:val="0"/>
        <w:snapToGrid w:val="0"/>
        <w:spacing w:before="0" w:beforeAutospacing="0" w:after="0" w:afterAutospacing="0" w:line="648" w:lineRule="auto"/>
        <w:outlineLvl w:val="0"/>
        <w:rPr>
          <w:rFonts w:ascii="黑体" w:hAnsi="黑体" w:eastAsia="黑体"/>
          <w:snapToGrid w:val="0"/>
          <w:sz w:val="32"/>
          <w:szCs w:val="32"/>
        </w:rPr>
      </w:pPr>
      <w:r>
        <w:rPr>
          <w:rFonts w:hint="eastAsia" w:ascii="黑体" w:hAnsi="黑体" w:eastAsia="黑体"/>
          <w:snapToGrid w:val="0"/>
          <w:sz w:val="32"/>
          <w:szCs w:val="32"/>
        </w:rPr>
        <w:t>附表</w:t>
      </w:r>
    </w:p>
    <w:p>
      <w:pPr>
        <w:pStyle w:val="32"/>
        <w:adjustRightInd w:val="0"/>
        <w:snapToGrid w:val="0"/>
        <w:spacing w:before="0" w:beforeAutospacing="0" w:after="0" w:afterAutospacing="0" w:line="552" w:lineRule="auto"/>
        <w:jc w:val="center"/>
        <w:outlineLvl w:val="0"/>
        <w:rPr>
          <w:rFonts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建设项目污染物排放量汇总表（吨/年）</w:t>
      </w:r>
    </w:p>
    <w:tbl>
      <w:tblPr>
        <w:tblStyle w:val="36"/>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6"/>
        <w:gridCol w:w="902"/>
        <w:gridCol w:w="1417"/>
        <w:gridCol w:w="1701"/>
        <w:gridCol w:w="1276"/>
        <w:gridCol w:w="1701"/>
        <w:gridCol w:w="1559"/>
        <w:gridCol w:w="1761"/>
        <w:gridCol w:w="1959"/>
        <w:gridCol w:w="8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gridSpan w:val="2"/>
            <w:tcBorders>
              <w:tl2br w:val="single" w:color="auto" w:sz="4" w:space="0"/>
            </w:tcBorders>
            <w:tcMar>
              <w:left w:w="28" w:type="dxa"/>
              <w:right w:w="28" w:type="dxa"/>
            </w:tcMar>
            <w:vAlign w:val="center"/>
          </w:tcPr>
          <w:p>
            <w:pPr>
              <w:pStyle w:val="61"/>
              <w:spacing w:beforeLines="0" w:afterLines="0" w:line="240" w:lineRule="auto"/>
              <w:jc w:val="right"/>
              <w:rPr>
                <w:rFonts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项目</w:t>
            </w:r>
          </w:p>
          <w:p>
            <w:pPr>
              <w:pStyle w:val="61"/>
              <w:spacing w:beforeLines="0" w:afterLines="0" w:line="240" w:lineRule="auto"/>
              <w:jc w:val="left"/>
              <w:rPr>
                <w:rFonts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分类</w:t>
            </w:r>
          </w:p>
        </w:tc>
        <w:tc>
          <w:tcPr>
            <w:tcW w:w="1417" w:type="dxa"/>
            <w:tcMar>
              <w:left w:w="28" w:type="dxa"/>
              <w:right w:w="28" w:type="dxa"/>
            </w:tcMar>
            <w:vAlign w:val="center"/>
          </w:tcPr>
          <w:p>
            <w:pPr>
              <w:pStyle w:val="61"/>
              <w:spacing w:beforeLines="0" w:afterLines="0" w:line="240" w:lineRule="auto"/>
              <w:rPr>
                <w:rFonts w:ascii="黑体" w:hAnsi="黑体" w:eastAsia="黑体" w:cs="宋体"/>
                <w:snapToGrid w:val="0"/>
                <w:color w:val="000000"/>
                <w:spacing w:val="-6"/>
                <w:kern w:val="21"/>
                <w:szCs w:val="21"/>
              </w:rPr>
            </w:pPr>
            <w:r>
              <w:rPr>
                <w:rFonts w:hint="eastAsia" w:ascii="黑体" w:hAnsi="黑体" w:eastAsia="黑体" w:cs="宋体"/>
                <w:snapToGrid w:val="0"/>
                <w:color w:val="000000"/>
                <w:spacing w:val="-6"/>
                <w:kern w:val="21"/>
                <w:szCs w:val="21"/>
              </w:rPr>
              <w:t>污染物名称</w:t>
            </w:r>
          </w:p>
        </w:tc>
        <w:tc>
          <w:tcPr>
            <w:tcW w:w="1701" w:type="dxa"/>
            <w:tcMar>
              <w:left w:w="28" w:type="dxa"/>
              <w:right w:w="28" w:type="dxa"/>
            </w:tcMar>
            <w:vAlign w:val="center"/>
          </w:tcPr>
          <w:p>
            <w:pPr>
              <w:pStyle w:val="61"/>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现有工程</w:t>
            </w:r>
          </w:p>
          <w:p>
            <w:pPr>
              <w:pStyle w:val="61"/>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1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①</w:t>
            </w:r>
            <w:r>
              <w:rPr>
                <w:rFonts w:ascii="黑体" w:hAnsi="黑体" w:eastAsia="黑体"/>
                <w:snapToGrid w:val="0"/>
                <w:color w:val="000000"/>
                <w:spacing w:val="-6"/>
                <w:kern w:val="21"/>
                <w:szCs w:val="21"/>
              </w:rPr>
              <w:fldChar w:fldCharType="end"/>
            </w:r>
          </w:p>
        </w:tc>
        <w:tc>
          <w:tcPr>
            <w:tcW w:w="1276" w:type="dxa"/>
            <w:tcMar>
              <w:left w:w="28" w:type="dxa"/>
              <w:right w:w="28" w:type="dxa"/>
            </w:tcMar>
            <w:vAlign w:val="center"/>
          </w:tcPr>
          <w:p>
            <w:pPr>
              <w:pStyle w:val="61"/>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现有工程</w:t>
            </w:r>
          </w:p>
          <w:p>
            <w:pPr>
              <w:pStyle w:val="61"/>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许可排放量</w:t>
            </w:r>
          </w:p>
          <w:p>
            <w:pPr>
              <w:pStyle w:val="61"/>
              <w:spacing w:beforeLines="0" w:afterLines="0"/>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2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snapToGrid w:val="0"/>
                <w:color w:val="000000"/>
                <w:spacing w:val="-6"/>
                <w:kern w:val="21"/>
                <w:szCs w:val="21"/>
              </w:rPr>
              <w:t>②</w:t>
            </w:r>
            <w:r>
              <w:rPr>
                <w:rFonts w:ascii="黑体" w:hAnsi="黑体" w:eastAsia="黑体"/>
                <w:snapToGrid w:val="0"/>
                <w:color w:val="000000"/>
                <w:spacing w:val="-6"/>
                <w:kern w:val="21"/>
                <w:szCs w:val="21"/>
              </w:rPr>
              <w:fldChar w:fldCharType="end"/>
            </w:r>
          </w:p>
        </w:tc>
        <w:tc>
          <w:tcPr>
            <w:tcW w:w="1701" w:type="dxa"/>
            <w:tcMar>
              <w:left w:w="28" w:type="dxa"/>
              <w:right w:w="28" w:type="dxa"/>
            </w:tcMar>
            <w:vAlign w:val="center"/>
          </w:tcPr>
          <w:p>
            <w:pPr>
              <w:pStyle w:val="61"/>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在建工程</w:t>
            </w:r>
          </w:p>
          <w:p>
            <w:pPr>
              <w:pStyle w:val="61"/>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3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③</w:t>
            </w:r>
            <w:r>
              <w:rPr>
                <w:rFonts w:ascii="黑体" w:hAnsi="黑体" w:eastAsia="黑体"/>
                <w:snapToGrid w:val="0"/>
                <w:color w:val="000000"/>
                <w:spacing w:val="-6"/>
                <w:kern w:val="21"/>
                <w:szCs w:val="21"/>
              </w:rPr>
              <w:fldChar w:fldCharType="end"/>
            </w:r>
          </w:p>
        </w:tc>
        <w:tc>
          <w:tcPr>
            <w:tcW w:w="1559" w:type="dxa"/>
            <w:tcMar>
              <w:left w:w="28" w:type="dxa"/>
              <w:right w:w="28" w:type="dxa"/>
            </w:tcMar>
            <w:vAlign w:val="center"/>
          </w:tcPr>
          <w:p>
            <w:pPr>
              <w:pStyle w:val="61"/>
              <w:spacing w:beforeLines="0" w:afterLines="0" w:line="240" w:lineRule="auto"/>
              <w:rPr>
                <w:rFonts w:ascii="黑体" w:hAnsi="黑体" w:eastAsia="黑体"/>
                <w:snapToGrid w:val="0"/>
                <w:color w:val="000000"/>
                <w:spacing w:val="-6"/>
                <w:kern w:val="21"/>
                <w:szCs w:val="21"/>
              </w:rPr>
            </w:pPr>
            <w:r>
              <w:rPr>
                <w:rFonts w:hint="eastAsia" w:ascii="黑体" w:hAnsi="黑体" w:eastAsia="黑体"/>
                <w:snapToGrid w:val="0"/>
                <w:color w:val="000000"/>
                <w:spacing w:val="-6"/>
                <w:kern w:val="21"/>
                <w:szCs w:val="21"/>
              </w:rPr>
              <w:t>本</w:t>
            </w:r>
            <w:r>
              <w:rPr>
                <w:rFonts w:ascii="黑体" w:hAnsi="黑体" w:eastAsia="黑体"/>
                <w:snapToGrid w:val="0"/>
                <w:color w:val="000000"/>
                <w:spacing w:val="-6"/>
                <w:kern w:val="21"/>
                <w:szCs w:val="21"/>
              </w:rPr>
              <w:t>项目</w:t>
            </w:r>
          </w:p>
          <w:p>
            <w:pPr>
              <w:pStyle w:val="61"/>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排放量（固</w:t>
            </w:r>
            <w:r>
              <w:rPr>
                <w:rFonts w:hint="eastAsia" w:ascii="黑体" w:hAnsi="黑体" w:eastAsia="黑体"/>
                <w:snapToGrid w:val="0"/>
                <w:color w:val="000000"/>
                <w:spacing w:val="-6"/>
                <w:kern w:val="21"/>
                <w:szCs w:val="21"/>
              </w:rPr>
              <w:t>体</w:t>
            </w:r>
            <w:r>
              <w:rPr>
                <w:rFonts w:ascii="黑体" w:hAnsi="黑体" w:eastAsia="黑体"/>
                <w:snapToGrid w:val="0"/>
                <w:color w:val="000000"/>
                <w:spacing w:val="-6"/>
                <w:kern w:val="21"/>
                <w:szCs w:val="21"/>
              </w:rPr>
              <w:t>废</w:t>
            </w:r>
            <w:r>
              <w:rPr>
                <w:rFonts w:hint="eastAsia" w:ascii="黑体" w:hAnsi="黑体" w:eastAsia="黑体"/>
                <w:snapToGrid w:val="0"/>
                <w:color w:val="000000"/>
                <w:spacing w:val="-6"/>
                <w:kern w:val="21"/>
                <w:szCs w:val="21"/>
              </w:rPr>
              <w:t>物</w:t>
            </w:r>
            <w:r>
              <w:rPr>
                <w:rFonts w:ascii="黑体" w:hAnsi="黑体" w:eastAsia="黑体"/>
                <w:snapToGrid w:val="0"/>
                <w:color w:val="000000"/>
                <w:spacing w:val="-6"/>
                <w:kern w:val="21"/>
                <w:szCs w:val="21"/>
              </w:rPr>
              <w:t>产生量）</w:t>
            </w: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4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④</w:t>
            </w:r>
            <w:r>
              <w:rPr>
                <w:rFonts w:ascii="黑体" w:hAnsi="黑体" w:eastAsia="黑体"/>
                <w:snapToGrid w:val="0"/>
                <w:color w:val="000000"/>
                <w:spacing w:val="-6"/>
                <w:kern w:val="21"/>
                <w:szCs w:val="21"/>
              </w:rPr>
              <w:fldChar w:fldCharType="end"/>
            </w:r>
          </w:p>
        </w:tc>
        <w:tc>
          <w:tcPr>
            <w:tcW w:w="1761" w:type="dxa"/>
            <w:tcMar>
              <w:left w:w="28" w:type="dxa"/>
              <w:right w:w="28" w:type="dxa"/>
            </w:tcMar>
            <w:vAlign w:val="center"/>
          </w:tcPr>
          <w:p>
            <w:pPr>
              <w:pStyle w:val="61"/>
              <w:spacing w:beforeLines="0" w:afterLines="0" w:line="240" w:lineRule="auto"/>
              <w:rPr>
                <w:rFonts w:ascii="黑体" w:hAnsi="黑体" w:eastAsia="黑体"/>
                <w:snapToGrid w:val="0"/>
                <w:color w:val="000000"/>
                <w:spacing w:val="-16"/>
                <w:kern w:val="21"/>
                <w:szCs w:val="21"/>
              </w:rPr>
            </w:pPr>
            <w:r>
              <w:rPr>
                <w:rFonts w:ascii="黑体" w:hAnsi="黑体" w:eastAsia="黑体"/>
                <w:snapToGrid w:val="0"/>
                <w:color w:val="000000"/>
                <w:spacing w:val="-16"/>
                <w:kern w:val="21"/>
                <w:szCs w:val="21"/>
              </w:rPr>
              <w:t>以新带老削减量</w:t>
            </w:r>
          </w:p>
          <w:p>
            <w:pPr>
              <w:pStyle w:val="61"/>
              <w:spacing w:beforeLines="0" w:afterLines="0" w:line="240" w:lineRule="auto"/>
              <w:rPr>
                <w:rFonts w:ascii="黑体" w:hAnsi="黑体" w:eastAsia="黑体"/>
                <w:snapToGrid w:val="0"/>
                <w:color w:val="000000"/>
                <w:spacing w:val="-16"/>
                <w:kern w:val="21"/>
                <w:szCs w:val="21"/>
              </w:rPr>
            </w:pPr>
            <w:r>
              <w:rPr>
                <w:rFonts w:ascii="黑体" w:hAnsi="黑体" w:eastAsia="黑体"/>
                <w:snapToGrid w:val="0"/>
                <w:color w:val="000000"/>
                <w:spacing w:val="-16"/>
                <w:kern w:val="21"/>
                <w:szCs w:val="21"/>
              </w:rPr>
              <w:t>（新建项目不填）</w:t>
            </w:r>
            <w:r>
              <w:rPr>
                <w:rFonts w:ascii="黑体" w:hAnsi="黑体" w:eastAsia="黑体"/>
                <w:snapToGrid w:val="0"/>
                <w:color w:val="000000"/>
                <w:spacing w:val="-16"/>
                <w:kern w:val="21"/>
                <w:szCs w:val="21"/>
              </w:rPr>
              <w:fldChar w:fldCharType="begin"/>
            </w:r>
            <w:r>
              <w:rPr>
                <w:rFonts w:ascii="黑体" w:hAnsi="黑体" w:eastAsia="黑体"/>
                <w:snapToGrid w:val="0"/>
                <w:color w:val="000000"/>
                <w:spacing w:val="-16"/>
                <w:kern w:val="21"/>
                <w:szCs w:val="21"/>
              </w:rPr>
              <w:instrText xml:space="preserve"> = 5 \* GB3 \* MERGEFORMAT </w:instrText>
            </w:r>
            <w:r>
              <w:rPr>
                <w:rFonts w:ascii="黑体" w:hAnsi="黑体" w:eastAsia="黑体"/>
                <w:snapToGrid w:val="0"/>
                <w:color w:val="000000"/>
                <w:spacing w:val="-16"/>
                <w:kern w:val="21"/>
                <w:szCs w:val="21"/>
              </w:rPr>
              <w:fldChar w:fldCharType="separate"/>
            </w:r>
            <w:r>
              <w:rPr>
                <w:rFonts w:hint="eastAsia" w:ascii="黑体" w:hAnsi="黑体" w:eastAsia="黑体" w:cs="宋体"/>
                <w:kern w:val="2"/>
                <w:szCs w:val="21"/>
              </w:rPr>
              <w:t>⑤</w:t>
            </w:r>
            <w:r>
              <w:rPr>
                <w:rFonts w:ascii="黑体" w:hAnsi="黑体" w:eastAsia="黑体"/>
                <w:snapToGrid w:val="0"/>
                <w:color w:val="000000"/>
                <w:spacing w:val="-16"/>
                <w:kern w:val="21"/>
                <w:szCs w:val="21"/>
              </w:rPr>
              <w:fldChar w:fldCharType="end"/>
            </w:r>
          </w:p>
        </w:tc>
        <w:tc>
          <w:tcPr>
            <w:tcW w:w="1959" w:type="dxa"/>
            <w:tcMar>
              <w:left w:w="28" w:type="dxa"/>
              <w:right w:w="28" w:type="dxa"/>
            </w:tcMar>
            <w:vAlign w:val="center"/>
          </w:tcPr>
          <w:p>
            <w:pPr>
              <w:pStyle w:val="61"/>
              <w:spacing w:beforeLines="0" w:afterLines="0" w:line="240" w:lineRule="auto"/>
              <w:rPr>
                <w:rFonts w:ascii="黑体" w:hAnsi="黑体" w:eastAsia="黑体"/>
                <w:snapToGrid w:val="0"/>
                <w:color w:val="000000"/>
                <w:spacing w:val="-16"/>
                <w:kern w:val="21"/>
                <w:szCs w:val="21"/>
              </w:rPr>
            </w:pPr>
            <w:r>
              <w:rPr>
                <w:rFonts w:hint="eastAsia" w:ascii="黑体" w:hAnsi="黑体" w:eastAsia="黑体"/>
                <w:snapToGrid w:val="0"/>
                <w:color w:val="000000"/>
                <w:spacing w:val="-16"/>
                <w:kern w:val="21"/>
                <w:szCs w:val="21"/>
              </w:rPr>
              <w:t>本</w:t>
            </w:r>
            <w:r>
              <w:rPr>
                <w:rFonts w:ascii="黑体" w:hAnsi="黑体" w:eastAsia="黑体"/>
                <w:snapToGrid w:val="0"/>
                <w:color w:val="000000"/>
                <w:spacing w:val="-16"/>
                <w:kern w:val="21"/>
                <w:szCs w:val="21"/>
              </w:rPr>
              <w:t>项目建成后</w:t>
            </w:r>
          </w:p>
          <w:p>
            <w:pPr>
              <w:pStyle w:val="61"/>
              <w:spacing w:beforeLines="0" w:afterLines="0" w:line="240" w:lineRule="auto"/>
              <w:rPr>
                <w:rFonts w:ascii="黑体" w:hAnsi="黑体" w:eastAsia="黑体"/>
                <w:snapToGrid w:val="0"/>
                <w:color w:val="000000"/>
                <w:spacing w:val="-16"/>
                <w:kern w:val="21"/>
                <w:szCs w:val="21"/>
              </w:rPr>
            </w:pPr>
            <w:r>
              <w:rPr>
                <w:rFonts w:hint="eastAsia" w:ascii="黑体" w:hAnsi="黑体" w:eastAsia="黑体"/>
                <w:snapToGrid w:val="0"/>
                <w:color w:val="000000"/>
                <w:spacing w:val="-16"/>
                <w:kern w:val="21"/>
                <w:szCs w:val="21"/>
              </w:rPr>
              <w:t>全厂</w:t>
            </w:r>
            <w:r>
              <w:rPr>
                <w:rFonts w:ascii="黑体" w:hAnsi="黑体" w:eastAsia="黑体"/>
                <w:snapToGrid w:val="0"/>
                <w:color w:val="000000"/>
                <w:spacing w:val="-16"/>
                <w:kern w:val="21"/>
                <w:szCs w:val="21"/>
              </w:rPr>
              <w:t>排放量（固</w:t>
            </w:r>
            <w:r>
              <w:rPr>
                <w:rFonts w:hint="eastAsia" w:ascii="黑体" w:hAnsi="黑体" w:eastAsia="黑体"/>
                <w:snapToGrid w:val="0"/>
                <w:color w:val="000000"/>
                <w:spacing w:val="-16"/>
                <w:kern w:val="21"/>
                <w:szCs w:val="21"/>
              </w:rPr>
              <w:t>体</w:t>
            </w:r>
            <w:r>
              <w:rPr>
                <w:rFonts w:ascii="黑体" w:hAnsi="黑体" w:eastAsia="黑体"/>
                <w:snapToGrid w:val="0"/>
                <w:color w:val="000000"/>
                <w:spacing w:val="-16"/>
                <w:kern w:val="21"/>
                <w:szCs w:val="21"/>
              </w:rPr>
              <w:t>废</w:t>
            </w:r>
            <w:r>
              <w:rPr>
                <w:rFonts w:hint="eastAsia" w:ascii="黑体" w:hAnsi="黑体" w:eastAsia="黑体"/>
                <w:snapToGrid w:val="0"/>
                <w:color w:val="000000"/>
                <w:spacing w:val="-16"/>
                <w:kern w:val="21"/>
                <w:szCs w:val="21"/>
              </w:rPr>
              <w:t>物</w:t>
            </w:r>
            <w:r>
              <w:rPr>
                <w:rFonts w:ascii="黑体" w:hAnsi="黑体" w:eastAsia="黑体"/>
                <w:snapToGrid w:val="0"/>
                <w:color w:val="000000"/>
                <w:spacing w:val="-16"/>
                <w:kern w:val="21"/>
                <w:szCs w:val="21"/>
              </w:rPr>
              <w:t>产生量）</w:t>
            </w:r>
            <w:r>
              <w:rPr>
                <w:rFonts w:ascii="黑体" w:hAnsi="黑体" w:eastAsia="黑体"/>
                <w:snapToGrid w:val="0"/>
                <w:color w:val="000000"/>
                <w:spacing w:val="-16"/>
                <w:kern w:val="21"/>
                <w:szCs w:val="21"/>
              </w:rPr>
              <w:fldChar w:fldCharType="begin"/>
            </w:r>
            <w:r>
              <w:rPr>
                <w:rFonts w:ascii="黑体" w:hAnsi="黑体" w:eastAsia="黑体"/>
                <w:snapToGrid w:val="0"/>
                <w:color w:val="000000"/>
                <w:spacing w:val="-16"/>
                <w:kern w:val="21"/>
                <w:szCs w:val="21"/>
              </w:rPr>
              <w:instrText xml:space="preserve"> = 6 \* GB3 \* MERGEFORMAT </w:instrText>
            </w:r>
            <w:r>
              <w:rPr>
                <w:rFonts w:ascii="黑体" w:hAnsi="黑体" w:eastAsia="黑体"/>
                <w:snapToGrid w:val="0"/>
                <w:color w:val="000000"/>
                <w:spacing w:val="-16"/>
                <w:kern w:val="21"/>
                <w:szCs w:val="21"/>
              </w:rPr>
              <w:fldChar w:fldCharType="separate"/>
            </w:r>
            <w:r>
              <w:rPr>
                <w:rFonts w:hint="eastAsia" w:ascii="黑体" w:hAnsi="黑体" w:eastAsia="黑体" w:cs="宋体"/>
                <w:kern w:val="2"/>
                <w:szCs w:val="21"/>
              </w:rPr>
              <w:t>⑥</w:t>
            </w:r>
            <w:r>
              <w:rPr>
                <w:rFonts w:ascii="黑体" w:hAnsi="黑体" w:eastAsia="黑体"/>
                <w:snapToGrid w:val="0"/>
                <w:color w:val="000000"/>
                <w:spacing w:val="-16"/>
                <w:kern w:val="21"/>
                <w:szCs w:val="21"/>
              </w:rPr>
              <w:fldChar w:fldCharType="end"/>
            </w:r>
          </w:p>
        </w:tc>
        <w:tc>
          <w:tcPr>
            <w:tcW w:w="826" w:type="dxa"/>
            <w:tcMar>
              <w:left w:w="28" w:type="dxa"/>
              <w:right w:w="28" w:type="dxa"/>
            </w:tcMar>
            <w:vAlign w:val="center"/>
          </w:tcPr>
          <w:p>
            <w:pPr>
              <w:pStyle w:val="61"/>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t>变化量</w:t>
            </w:r>
          </w:p>
          <w:p>
            <w:pPr>
              <w:pStyle w:val="61"/>
              <w:spacing w:beforeLines="0" w:afterLines="0" w:line="240" w:lineRule="auto"/>
              <w:rPr>
                <w:rFonts w:ascii="黑体" w:hAnsi="黑体" w:eastAsia="黑体"/>
                <w:snapToGrid w:val="0"/>
                <w:color w:val="000000"/>
                <w:spacing w:val="-6"/>
                <w:kern w:val="21"/>
                <w:szCs w:val="21"/>
              </w:rPr>
            </w:pPr>
            <w:r>
              <w:rPr>
                <w:rFonts w:ascii="黑体" w:hAnsi="黑体" w:eastAsia="黑体"/>
                <w:snapToGrid w:val="0"/>
                <w:color w:val="000000"/>
                <w:spacing w:val="-6"/>
                <w:kern w:val="21"/>
                <w:szCs w:val="21"/>
              </w:rPr>
              <w:fldChar w:fldCharType="begin"/>
            </w:r>
            <w:r>
              <w:rPr>
                <w:rFonts w:ascii="黑体" w:hAnsi="黑体" w:eastAsia="黑体"/>
                <w:snapToGrid w:val="0"/>
                <w:color w:val="000000"/>
                <w:spacing w:val="-6"/>
                <w:kern w:val="21"/>
                <w:szCs w:val="21"/>
              </w:rPr>
              <w:instrText xml:space="preserve"> = 7 \* GB3 \* MERGEFORMAT </w:instrText>
            </w:r>
            <w:r>
              <w:rPr>
                <w:rFonts w:ascii="黑体" w:hAnsi="黑体" w:eastAsia="黑体"/>
                <w:snapToGrid w:val="0"/>
                <w:color w:val="000000"/>
                <w:spacing w:val="-6"/>
                <w:kern w:val="21"/>
                <w:szCs w:val="21"/>
              </w:rPr>
              <w:fldChar w:fldCharType="separate"/>
            </w:r>
            <w:r>
              <w:rPr>
                <w:rFonts w:hint="eastAsia" w:ascii="黑体" w:hAnsi="黑体" w:eastAsia="黑体" w:cs="宋体"/>
                <w:kern w:val="2"/>
                <w:szCs w:val="21"/>
              </w:rPr>
              <w:t>⑦</w:t>
            </w:r>
            <w:r>
              <w:rPr>
                <w:rFonts w:ascii="黑体" w:hAnsi="黑体" w:eastAsia="黑体"/>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restart"/>
            <w:vAlign w:val="center"/>
          </w:tcPr>
          <w:p>
            <w:pPr>
              <w:pStyle w:val="61"/>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废气</w:t>
            </w:r>
          </w:p>
        </w:tc>
        <w:tc>
          <w:tcPr>
            <w:tcW w:w="902" w:type="dxa"/>
            <w:vMerge w:val="restart"/>
            <w:vAlign w:val="center"/>
          </w:tcPr>
          <w:p>
            <w:pPr>
              <w:pStyle w:val="61"/>
              <w:spacing w:beforeLines="0" w:afterLines="0" w:line="240" w:lineRule="auto"/>
              <w:rPr>
                <w:rFonts w:hint="eastAsia" w:hAnsi="宋体" w:eastAsia="宋体" w:cs="宋体"/>
                <w:snapToGrid w:val="0"/>
                <w:color w:val="000000"/>
                <w:kern w:val="21"/>
                <w:szCs w:val="21"/>
                <w:lang w:eastAsia="zh-CN"/>
              </w:rPr>
            </w:pPr>
            <w:r>
              <w:rPr>
                <w:rFonts w:hint="eastAsia" w:hAnsi="宋体" w:cs="宋体"/>
                <w:snapToGrid w:val="0"/>
                <w:color w:val="000000"/>
                <w:kern w:val="21"/>
                <w:szCs w:val="21"/>
                <w:lang w:eastAsia="zh-CN"/>
              </w:rPr>
              <w:t>有组织</w:t>
            </w:r>
          </w:p>
        </w:tc>
        <w:tc>
          <w:tcPr>
            <w:tcW w:w="1417" w:type="dxa"/>
            <w:vAlign w:val="center"/>
          </w:tcPr>
          <w:p>
            <w:pPr>
              <w:adjustRightInd w:val="0"/>
              <w:snapToGrid w:val="0"/>
              <w:jc w:val="center"/>
              <w:rPr>
                <w:rFonts w:hint="eastAsia" w:eastAsia="宋体"/>
                <w:szCs w:val="21"/>
                <w:lang w:eastAsia="zh-CN"/>
              </w:rPr>
            </w:pPr>
            <w:r>
              <w:rPr>
                <w:rFonts w:hint="eastAsia"/>
                <w:szCs w:val="21"/>
                <w:lang w:eastAsia="zh-CN"/>
              </w:rPr>
              <w:t>烟尘</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2.699</w:t>
            </w:r>
          </w:p>
        </w:tc>
        <w:tc>
          <w:tcPr>
            <w:tcW w:w="1276" w:type="dxa"/>
            <w:vAlign w:val="center"/>
          </w:tcPr>
          <w:p>
            <w:pPr>
              <w:adjustRightInd w:val="0"/>
              <w:snapToGrid w:val="0"/>
              <w:jc w:val="center"/>
              <w:rPr>
                <w:szCs w:val="21"/>
              </w:rPr>
            </w:pPr>
            <w:r>
              <w:rPr>
                <w:rFonts w:hint="eastAsia"/>
                <w:szCs w:val="21"/>
                <w:lang w:val="en-US" w:eastAsia="zh-CN"/>
              </w:rPr>
              <w:t>2.699</w:t>
            </w:r>
          </w:p>
        </w:tc>
        <w:tc>
          <w:tcPr>
            <w:tcW w:w="1701" w:type="dxa"/>
            <w:vAlign w:val="center"/>
          </w:tcPr>
          <w:p>
            <w:pPr>
              <w:adjustRightInd w:val="0"/>
              <w:snapToGrid w:val="0"/>
              <w:jc w:val="center"/>
              <w:rPr>
                <w:szCs w:val="21"/>
              </w:rPr>
            </w:pPr>
            <w:r>
              <w:rPr>
                <w:rFonts w:hint="eastAsia"/>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w:t>
            </w:r>
          </w:p>
        </w:tc>
        <w:tc>
          <w:tcPr>
            <w:tcW w:w="1761" w:type="dxa"/>
            <w:vAlign w:val="center"/>
          </w:tcPr>
          <w:p>
            <w:pPr>
              <w:adjustRightInd w:val="0"/>
              <w:snapToGrid w:val="0"/>
              <w:jc w:val="center"/>
              <w:rPr>
                <w:szCs w:val="21"/>
              </w:rPr>
            </w:pPr>
            <w:r>
              <w:rPr>
                <w:rFonts w:hint="eastAsia"/>
                <w:szCs w:val="21"/>
              </w:rPr>
              <w:t>0</w:t>
            </w:r>
          </w:p>
        </w:tc>
        <w:tc>
          <w:tcPr>
            <w:tcW w:w="1959" w:type="dxa"/>
            <w:vAlign w:val="center"/>
          </w:tcPr>
          <w:p>
            <w:pPr>
              <w:adjustRightInd w:val="0"/>
              <w:snapToGrid w:val="0"/>
              <w:jc w:val="center"/>
              <w:rPr>
                <w:rFonts w:hint="default" w:eastAsia="宋体"/>
                <w:szCs w:val="21"/>
                <w:lang w:val="en-US" w:eastAsia="zh-CN"/>
              </w:rPr>
            </w:pPr>
            <w:r>
              <w:rPr>
                <w:rFonts w:hint="eastAsia"/>
                <w:szCs w:val="21"/>
                <w:lang w:val="en-US" w:eastAsia="zh-CN"/>
              </w:rPr>
              <w:t>2.699</w:t>
            </w:r>
          </w:p>
        </w:tc>
        <w:tc>
          <w:tcPr>
            <w:tcW w:w="82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1"/>
              <w:spacing w:beforeLines="0" w:afterLines="0" w:line="240" w:lineRule="auto"/>
              <w:rPr>
                <w:rFonts w:hint="eastAsia" w:hAnsi="宋体" w:cs="宋体"/>
                <w:snapToGrid w:val="0"/>
                <w:color w:val="000000"/>
                <w:kern w:val="21"/>
                <w:szCs w:val="21"/>
              </w:rPr>
            </w:pPr>
          </w:p>
        </w:tc>
        <w:tc>
          <w:tcPr>
            <w:tcW w:w="902" w:type="dxa"/>
            <w:vMerge w:val="continue"/>
            <w:vAlign w:val="center"/>
          </w:tcPr>
          <w:p>
            <w:pPr>
              <w:pStyle w:val="61"/>
              <w:spacing w:beforeLines="0" w:afterLines="0" w:line="240" w:lineRule="auto"/>
              <w:rPr>
                <w:rFonts w:hint="eastAsia" w:hAnsi="宋体" w:cs="宋体"/>
                <w:snapToGrid w:val="0"/>
                <w:color w:val="000000"/>
                <w:kern w:val="21"/>
                <w:szCs w:val="21"/>
                <w:lang w:eastAsia="zh-CN"/>
              </w:rPr>
            </w:pPr>
          </w:p>
        </w:tc>
        <w:tc>
          <w:tcPr>
            <w:tcW w:w="1417" w:type="dxa"/>
            <w:vAlign w:val="center"/>
          </w:tcPr>
          <w:p>
            <w:pPr>
              <w:adjustRightInd w:val="0"/>
              <w:snapToGrid w:val="0"/>
              <w:jc w:val="center"/>
              <w:rPr>
                <w:rStyle w:val="44"/>
                <w:rFonts w:hint="default"/>
                <w:kern w:val="0"/>
                <w:szCs w:val="20"/>
                <w:lang w:val="en-US" w:eastAsia="zh-CN"/>
              </w:rPr>
            </w:pPr>
            <w:r>
              <w:rPr>
                <w:rStyle w:val="44"/>
                <w:rFonts w:hint="eastAsia"/>
                <w:kern w:val="0"/>
                <w:szCs w:val="20"/>
                <w:lang w:val="en-US" w:eastAsia="zh-CN"/>
              </w:rPr>
              <w:t>SO</w:t>
            </w:r>
            <w:r>
              <w:rPr>
                <w:rStyle w:val="44"/>
                <w:rFonts w:hint="eastAsia"/>
                <w:kern w:val="0"/>
                <w:szCs w:val="20"/>
                <w:vertAlign w:val="subscript"/>
                <w:lang w:val="en-US" w:eastAsia="zh-CN"/>
              </w:rPr>
              <w:t>2</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17.765</w:t>
            </w:r>
          </w:p>
        </w:tc>
        <w:tc>
          <w:tcPr>
            <w:tcW w:w="1276" w:type="dxa"/>
            <w:vAlign w:val="center"/>
          </w:tcPr>
          <w:p>
            <w:pPr>
              <w:adjustRightInd w:val="0"/>
              <w:snapToGrid w:val="0"/>
              <w:jc w:val="center"/>
              <w:rPr>
                <w:rFonts w:hint="eastAsia"/>
                <w:szCs w:val="21"/>
              </w:rPr>
            </w:pPr>
            <w:r>
              <w:rPr>
                <w:rFonts w:hint="eastAsia"/>
                <w:szCs w:val="21"/>
                <w:lang w:val="en-US" w:eastAsia="zh-CN"/>
              </w:rPr>
              <w:t>17.765</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w:t>
            </w:r>
          </w:p>
        </w:tc>
        <w:tc>
          <w:tcPr>
            <w:tcW w:w="176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959" w:type="dxa"/>
            <w:vAlign w:val="center"/>
          </w:tcPr>
          <w:p>
            <w:pPr>
              <w:adjustRightInd w:val="0"/>
              <w:snapToGrid w:val="0"/>
              <w:jc w:val="center"/>
              <w:rPr>
                <w:rFonts w:hint="default" w:eastAsia="宋体"/>
                <w:szCs w:val="21"/>
                <w:lang w:val="en-US" w:eastAsia="zh-CN"/>
              </w:rPr>
            </w:pPr>
            <w:r>
              <w:rPr>
                <w:rFonts w:hint="eastAsia"/>
                <w:szCs w:val="21"/>
                <w:lang w:val="en-US" w:eastAsia="zh-CN"/>
              </w:rPr>
              <w:t>17.765</w:t>
            </w:r>
          </w:p>
        </w:tc>
        <w:tc>
          <w:tcPr>
            <w:tcW w:w="82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1"/>
              <w:spacing w:beforeLines="0" w:afterLines="0" w:line="240" w:lineRule="auto"/>
              <w:rPr>
                <w:rFonts w:hint="eastAsia" w:hAnsi="宋体" w:cs="宋体"/>
                <w:snapToGrid w:val="0"/>
                <w:color w:val="000000"/>
                <w:kern w:val="21"/>
                <w:szCs w:val="21"/>
              </w:rPr>
            </w:pPr>
          </w:p>
        </w:tc>
        <w:tc>
          <w:tcPr>
            <w:tcW w:w="902" w:type="dxa"/>
            <w:vMerge w:val="continue"/>
            <w:vAlign w:val="center"/>
          </w:tcPr>
          <w:p>
            <w:pPr>
              <w:pStyle w:val="61"/>
              <w:spacing w:beforeLines="0" w:afterLines="0" w:line="240" w:lineRule="auto"/>
              <w:rPr>
                <w:rFonts w:hint="eastAsia" w:hAnsi="宋体" w:cs="宋体"/>
                <w:snapToGrid w:val="0"/>
                <w:color w:val="000000"/>
                <w:kern w:val="21"/>
                <w:szCs w:val="21"/>
                <w:lang w:eastAsia="zh-CN"/>
              </w:rPr>
            </w:pPr>
          </w:p>
        </w:tc>
        <w:tc>
          <w:tcPr>
            <w:tcW w:w="1417" w:type="dxa"/>
            <w:vAlign w:val="center"/>
          </w:tcPr>
          <w:p>
            <w:pPr>
              <w:adjustRightInd w:val="0"/>
              <w:snapToGrid w:val="0"/>
              <w:jc w:val="center"/>
              <w:rPr>
                <w:rStyle w:val="44"/>
                <w:rFonts w:hint="eastAsia"/>
                <w:kern w:val="0"/>
                <w:szCs w:val="20"/>
                <w:lang w:eastAsia="zh-CN"/>
              </w:rPr>
            </w:pPr>
            <w:r>
              <w:rPr>
                <w:rStyle w:val="44"/>
                <w:rFonts w:hint="eastAsia"/>
                <w:kern w:val="0"/>
                <w:szCs w:val="20"/>
                <w:lang w:eastAsia="zh-CN"/>
              </w:rPr>
              <w:t>粉尘</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13.66</w:t>
            </w:r>
          </w:p>
        </w:tc>
        <w:tc>
          <w:tcPr>
            <w:tcW w:w="1276" w:type="dxa"/>
            <w:vAlign w:val="center"/>
          </w:tcPr>
          <w:p>
            <w:pPr>
              <w:adjustRightInd w:val="0"/>
              <w:snapToGrid w:val="0"/>
              <w:jc w:val="center"/>
              <w:rPr>
                <w:rFonts w:hint="eastAsia"/>
                <w:szCs w:val="21"/>
              </w:rPr>
            </w:pPr>
            <w:r>
              <w:rPr>
                <w:rFonts w:hint="eastAsia"/>
                <w:szCs w:val="21"/>
                <w:lang w:val="en-US" w:eastAsia="zh-CN"/>
              </w:rPr>
              <w:t>13.66</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w:t>
            </w:r>
          </w:p>
        </w:tc>
        <w:tc>
          <w:tcPr>
            <w:tcW w:w="176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959" w:type="dxa"/>
            <w:vAlign w:val="center"/>
          </w:tcPr>
          <w:p>
            <w:pPr>
              <w:adjustRightInd w:val="0"/>
              <w:snapToGrid w:val="0"/>
              <w:jc w:val="center"/>
              <w:rPr>
                <w:rFonts w:hint="default" w:eastAsia="宋体"/>
                <w:szCs w:val="21"/>
                <w:lang w:val="en-US" w:eastAsia="zh-CN"/>
              </w:rPr>
            </w:pPr>
            <w:r>
              <w:rPr>
                <w:rFonts w:hint="eastAsia"/>
                <w:szCs w:val="21"/>
                <w:lang w:val="en-US" w:eastAsia="zh-CN"/>
              </w:rPr>
              <w:t>13.66</w:t>
            </w:r>
          </w:p>
        </w:tc>
        <w:tc>
          <w:tcPr>
            <w:tcW w:w="82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1"/>
              <w:spacing w:beforeLines="0" w:afterLines="0" w:line="240" w:lineRule="auto"/>
              <w:rPr>
                <w:rFonts w:hint="eastAsia" w:hAnsi="宋体" w:cs="宋体"/>
                <w:snapToGrid w:val="0"/>
                <w:color w:val="000000"/>
                <w:kern w:val="21"/>
                <w:szCs w:val="21"/>
              </w:rPr>
            </w:pPr>
          </w:p>
        </w:tc>
        <w:tc>
          <w:tcPr>
            <w:tcW w:w="902" w:type="dxa"/>
            <w:vMerge w:val="continue"/>
            <w:vAlign w:val="center"/>
          </w:tcPr>
          <w:p>
            <w:pPr>
              <w:pStyle w:val="61"/>
              <w:spacing w:beforeLines="0" w:afterLines="0" w:line="240" w:lineRule="auto"/>
              <w:rPr>
                <w:rFonts w:hint="eastAsia" w:hAnsi="宋体" w:cs="宋体"/>
                <w:snapToGrid w:val="0"/>
                <w:color w:val="000000"/>
                <w:kern w:val="21"/>
                <w:szCs w:val="21"/>
                <w:lang w:eastAsia="zh-CN"/>
              </w:rPr>
            </w:pPr>
          </w:p>
        </w:tc>
        <w:tc>
          <w:tcPr>
            <w:tcW w:w="1417" w:type="dxa"/>
            <w:vAlign w:val="center"/>
          </w:tcPr>
          <w:p>
            <w:pPr>
              <w:adjustRightInd w:val="0"/>
              <w:snapToGrid w:val="0"/>
              <w:jc w:val="center"/>
              <w:rPr>
                <w:rFonts w:hint="default"/>
                <w:lang w:val="en-US" w:eastAsia="zh-CN"/>
              </w:rPr>
            </w:pPr>
            <w:r>
              <w:rPr>
                <w:rFonts w:hint="eastAsia"/>
                <w:lang w:val="en-US" w:eastAsia="zh-CN"/>
              </w:rPr>
              <w:t>VOCs</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0.153</w:t>
            </w:r>
          </w:p>
        </w:tc>
        <w:tc>
          <w:tcPr>
            <w:tcW w:w="1276" w:type="dxa"/>
            <w:vAlign w:val="center"/>
          </w:tcPr>
          <w:p>
            <w:pPr>
              <w:adjustRightInd w:val="0"/>
              <w:snapToGrid w:val="0"/>
              <w:jc w:val="center"/>
              <w:rPr>
                <w:rFonts w:hint="default"/>
                <w:szCs w:val="21"/>
                <w:lang w:val="en-US"/>
              </w:rPr>
            </w:pPr>
            <w:r>
              <w:rPr>
                <w:rFonts w:hint="eastAsia"/>
                <w:szCs w:val="21"/>
                <w:lang w:val="en-US" w:eastAsia="zh-CN"/>
              </w:rPr>
              <w:t>0.153</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0.242</w:t>
            </w:r>
          </w:p>
        </w:tc>
        <w:tc>
          <w:tcPr>
            <w:tcW w:w="1761" w:type="dxa"/>
            <w:vAlign w:val="center"/>
          </w:tcPr>
          <w:p>
            <w:pPr>
              <w:adjustRightInd w:val="0"/>
              <w:snapToGrid w:val="0"/>
              <w:jc w:val="center"/>
              <w:rPr>
                <w:rFonts w:hint="default" w:eastAsia="宋体"/>
                <w:szCs w:val="21"/>
                <w:lang w:val="en-US" w:eastAsia="zh-CN"/>
              </w:rPr>
            </w:pPr>
            <w:r>
              <w:rPr>
                <w:rFonts w:hint="eastAsia"/>
                <w:szCs w:val="21"/>
                <w:lang w:val="en-US" w:eastAsia="zh-CN"/>
              </w:rPr>
              <w:t>0.153</w:t>
            </w:r>
          </w:p>
        </w:tc>
        <w:tc>
          <w:tcPr>
            <w:tcW w:w="1959" w:type="dxa"/>
            <w:vAlign w:val="center"/>
          </w:tcPr>
          <w:p>
            <w:pPr>
              <w:adjustRightInd w:val="0"/>
              <w:snapToGrid w:val="0"/>
              <w:jc w:val="center"/>
              <w:rPr>
                <w:rFonts w:hint="default" w:eastAsia="宋体"/>
                <w:szCs w:val="21"/>
                <w:lang w:val="en-US" w:eastAsia="zh-CN"/>
              </w:rPr>
            </w:pPr>
            <w:r>
              <w:rPr>
                <w:rFonts w:hint="eastAsia"/>
                <w:szCs w:val="21"/>
                <w:lang w:val="en-US" w:eastAsia="zh-CN"/>
              </w:rPr>
              <w:t>0.242</w:t>
            </w:r>
          </w:p>
        </w:tc>
        <w:tc>
          <w:tcPr>
            <w:tcW w:w="826" w:type="dxa"/>
            <w:vAlign w:val="center"/>
          </w:tcPr>
          <w:p>
            <w:pPr>
              <w:adjustRightInd w:val="0"/>
              <w:snapToGrid w:val="0"/>
              <w:jc w:val="center"/>
              <w:rPr>
                <w:rFonts w:hint="default" w:eastAsia="宋体"/>
                <w:szCs w:val="21"/>
                <w:lang w:val="en-US" w:eastAsia="zh-CN"/>
              </w:rPr>
            </w:pPr>
            <w:r>
              <w:rPr>
                <w:rFonts w:hint="eastAsia"/>
                <w:szCs w:val="21"/>
                <w:lang w:val="en-US" w:eastAsia="zh-CN"/>
              </w:rPr>
              <w:t>+0.089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1"/>
              <w:spacing w:beforeLines="0" w:afterLines="0" w:line="240" w:lineRule="auto"/>
              <w:rPr>
                <w:rFonts w:hint="eastAsia" w:hAnsi="宋体" w:cs="宋体"/>
                <w:snapToGrid w:val="0"/>
                <w:color w:val="000000"/>
                <w:kern w:val="21"/>
                <w:szCs w:val="21"/>
              </w:rPr>
            </w:pPr>
          </w:p>
        </w:tc>
        <w:tc>
          <w:tcPr>
            <w:tcW w:w="902" w:type="dxa"/>
            <w:vMerge w:val="restart"/>
            <w:vAlign w:val="center"/>
          </w:tcPr>
          <w:p>
            <w:pPr>
              <w:pStyle w:val="61"/>
              <w:spacing w:beforeLines="0" w:afterLines="0" w:line="240" w:lineRule="auto"/>
              <w:rPr>
                <w:rFonts w:hint="eastAsia" w:hAnsi="宋体" w:eastAsia="宋体" w:cs="宋体"/>
                <w:snapToGrid w:val="0"/>
                <w:color w:val="000000"/>
                <w:kern w:val="21"/>
                <w:szCs w:val="21"/>
                <w:lang w:eastAsia="zh-CN"/>
              </w:rPr>
            </w:pPr>
            <w:r>
              <w:rPr>
                <w:rFonts w:hint="eastAsia" w:hAnsi="宋体" w:cs="宋体"/>
                <w:snapToGrid w:val="0"/>
                <w:color w:val="000000"/>
                <w:kern w:val="21"/>
                <w:szCs w:val="21"/>
                <w:lang w:eastAsia="zh-CN"/>
              </w:rPr>
              <w:t>无组织</w:t>
            </w:r>
          </w:p>
        </w:tc>
        <w:tc>
          <w:tcPr>
            <w:tcW w:w="1417" w:type="dxa"/>
            <w:vAlign w:val="center"/>
          </w:tcPr>
          <w:p>
            <w:pPr>
              <w:adjustRightInd w:val="0"/>
              <w:snapToGrid w:val="0"/>
              <w:jc w:val="center"/>
              <w:rPr>
                <w:rStyle w:val="44"/>
                <w:rFonts w:hint="eastAsia"/>
                <w:kern w:val="0"/>
                <w:szCs w:val="20"/>
                <w:lang w:eastAsia="zh-CN"/>
              </w:rPr>
            </w:pPr>
            <w:r>
              <w:rPr>
                <w:rStyle w:val="44"/>
                <w:rFonts w:hint="eastAsia"/>
                <w:kern w:val="0"/>
                <w:szCs w:val="20"/>
                <w:lang w:eastAsia="zh-CN"/>
              </w:rPr>
              <w:t>粉尘</w:t>
            </w:r>
          </w:p>
          <w:p>
            <w:pPr>
              <w:adjustRightInd w:val="0"/>
              <w:snapToGrid w:val="0"/>
              <w:jc w:val="center"/>
              <w:rPr>
                <w:rStyle w:val="44"/>
                <w:rFonts w:hint="eastAsia"/>
                <w:kern w:val="0"/>
                <w:szCs w:val="20"/>
                <w:lang w:eastAsia="zh-CN"/>
              </w:rPr>
            </w:pPr>
            <w:r>
              <w:rPr>
                <w:rStyle w:val="44"/>
                <w:rFonts w:hint="eastAsia"/>
                <w:kern w:val="0"/>
                <w:szCs w:val="20"/>
                <w:lang w:eastAsia="zh-CN"/>
              </w:rPr>
              <w:t>（</w:t>
            </w:r>
            <w:r>
              <w:rPr>
                <w:rFonts w:hint="eastAsia"/>
                <w:szCs w:val="21"/>
                <w:lang w:eastAsia="zh-CN"/>
              </w:rPr>
              <w:t>颗粒物</w:t>
            </w:r>
            <w:r>
              <w:rPr>
                <w:rStyle w:val="44"/>
                <w:rFonts w:hint="eastAsia"/>
                <w:kern w:val="0"/>
                <w:szCs w:val="20"/>
                <w:lang w:eastAsia="zh-CN"/>
              </w:rPr>
              <w:t>）</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1.076</w:t>
            </w:r>
          </w:p>
        </w:tc>
        <w:tc>
          <w:tcPr>
            <w:tcW w:w="1276" w:type="dxa"/>
            <w:vAlign w:val="center"/>
          </w:tcPr>
          <w:p>
            <w:pPr>
              <w:adjustRightInd w:val="0"/>
              <w:snapToGrid w:val="0"/>
              <w:jc w:val="center"/>
              <w:rPr>
                <w:rFonts w:hint="eastAsia"/>
                <w:szCs w:val="21"/>
              </w:rPr>
            </w:pPr>
            <w:r>
              <w:rPr>
                <w:rFonts w:hint="eastAsia"/>
                <w:szCs w:val="21"/>
                <w:lang w:val="en-US" w:eastAsia="zh-CN"/>
              </w:rPr>
              <w:t>1.076</w:t>
            </w:r>
          </w:p>
        </w:tc>
        <w:tc>
          <w:tcPr>
            <w:tcW w:w="1701" w:type="dxa"/>
            <w:vAlign w:val="center"/>
          </w:tcPr>
          <w:p>
            <w:pPr>
              <w:adjustRightInd w:val="0"/>
              <w:snapToGrid w:val="0"/>
              <w:jc w:val="center"/>
              <w:rPr>
                <w:rFonts w:hint="eastAsia"/>
                <w:szCs w:val="21"/>
              </w:rPr>
            </w:pPr>
            <w:r>
              <w:rPr>
                <w:rFonts w:hint="eastAsia"/>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0.257</w:t>
            </w:r>
          </w:p>
        </w:tc>
        <w:tc>
          <w:tcPr>
            <w:tcW w:w="1761" w:type="dxa"/>
            <w:vAlign w:val="center"/>
          </w:tcPr>
          <w:p>
            <w:pPr>
              <w:adjustRightInd w:val="0"/>
              <w:snapToGrid w:val="0"/>
              <w:jc w:val="center"/>
              <w:rPr>
                <w:rFonts w:hint="default" w:eastAsia="宋体"/>
                <w:szCs w:val="21"/>
                <w:lang w:val="en-US" w:eastAsia="zh-CN"/>
              </w:rPr>
            </w:pPr>
            <w:r>
              <w:rPr>
                <w:rFonts w:hint="eastAsia"/>
                <w:szCs w:val="21"/>
                <w:lang w:val="en-US" w:eastAsia="zh-CN"/>
              </w:rPr>
              <w:t>0.19</w:t>
            </w:r>
          </w:p>
        </w:tc>
        <w:tc>
          <w:tcPr>
            <w:tcW w:w="1959" w:type="dxa"/>
            <w:vAlign w:val="center"/>
          </w:tcPr>
          <w:p>
            <w:pPr>
              <w:adjustRightInd w:val="0"/>
              <w:snapToGrid w:val="0"/>
              <w:jc w:val="center"/>
              <w:rPr>
                <w:rFonts w:hint="default" w:eastAsia="宋体"/>
                <w:szCs w:val="21"/>
                <w:lang w:val="en-US" w:eastAsia="zh-CN"/>
              </w:rPr>
            </w:pPr>
            <w:r>
              <w:rPr>
                <w:rFonts w:hint="eastAsia"/>
                <w:szCs w:val="21"/>
                <w:lang w:val="en-US" w:eastAsia="zh-CN"/>
              </w:rPr>
              <w:t>1.143</w:t>
            </w:r>
          </w:p>
        </w:tc>
        <w:tc>
          <w:tcPr>
            <w:tcW w:w="826" w:type="dxa"/>
            <w:vAlign w:val="center"/>
          </w:tcPr>
          <w:p>
            <w:pPr>
              <w:adjustRightInd w:val="0"/>
              <w:snapToGrid w:val="0"/>
              <w:jc w:val="center"/>
              <w:rPr>
                <w:rFonts w:hint="default" w:eastAsia="宋体"/>
                <w:szCs w:val="21"/>
                <w:lang w:val="en-US" w:eastAsia="zh-CN"/>
              </w:rPr>
            </w:pPr>
            <w:r>
              <w:rPr>
                <w:rFonts w:hint="eastAsia"/>
                <w:szCs w:val="21"/>
                <w:lang w:val="en-US" w:eastAsia="zh-CN"/>
              </w:rPr>
              <w:t>+0.067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6" w:type="dxa"/>
            <w:vMerge w:val="continue"/>
            <w:vAlign w:val="center"/>
          </w:tcPr>
          <w:p>
            <w:pPr>
              <w:pStyle w:val="61"/>
              <w:spacing w:beforeLines="0" w:afterLines="0" w:line="240" w:lineRule="auto"/>
              <w:rPr>
                <w:rFonts w:hint="eastAsia" w:hAnsi="宋体" w:cs="宋体"/>
                <w:snapToGrid w:val="0"/>
                <w:color w:val="000000"/>
                <w:kern w:val="21"/>
                <w:szCs w:val="21"/>
              </w:rPr>
            </w:pPr>
          </w:p>
        </w:tc>
        <w:tc>
          <w:tcPr>
            <w:tcW w:w="902" w:type="dxa"/>
            <w:vMerge w:val="continue"/>
            <w:vAlign w:val="center"/>
          </w:tcPr>
          <w:p>
            <w:pPr>
              <w:pStyle w:val="61"/>
              <w:spacing w:beforeLines="0" w:afterLines="0" w:line="240" w:lineRule="auto"/>
              <w:rPr>
                <w:rFonts w:hint="eastAsia" w:hAnsi="宋体" w:cs="宋体"/>
                <w:snapToGrid w:val="0"/>
                <w:color w:val="000000"/>
                <w:kern w:val="21"/>
                <w:szCs w:val="21"/>
                <w:lang w:eastAsia="zh-CN"/>
              </w:rPr>
            </w:pPr>
          </w:p>
        </w:tc>
        <w:tc>
          <w:tcPr>
            <w:tcW w:w="1417" w:type="dxa"/>
            <w:vAlign w:val="center"/>
          </w:tcPr>
          <w:p>
            <w:pPr>
              <w:adjustRightInd w:val="0"/>
              <w:snapToGrid w:val="0"/>
              <w:jc w:val="center"/>
              <w:rPr>
                <w:rStyle w:val="44"/>
                <w:rFonts w:hint="eastAsia"/>
                <w:kern w:val="0"/>
                <w:szCs w:val="20"/>
                <w:lang w:eastAsia="zh-CN"/>
              </w:rPr>
            </w:pPr>
            <w:r>
              <w:rPr>
                <w:rFonts w:hint="eastAsia"/>
                <w:lang w:val="en-US" w:eastAsia="zh-CN"/>
              </w:rPr>
              <w:t>VOCs</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0.225</w:t>
            </w:r>
          </w:p>
        </w:tc>
        <w:tc>
          <w:tcPr>
            <w:tcW w:w="1276" w:type="dxa"/>
            <w:vAlign w:val="center"/>
          </w:tcPr>
          <w:p>
            <w:pPr>
              <w:adjustRightInd w:val="0"/>
              <w:snapToGrid w:val="0"/>
              <w:jc w:val="center"/>
              <w:rPr>
                <w:rFonts w:hint="default"/>
                <w:szCs w:val="21"/>
                <w:lang w:val="en-US"/>
              </w:rPr>
            </w:pPr>
            <w:r>
              <w:rPr>
                <w:rFonts w:hint="eastAsia"/>
                <w:szCs w:val="21"/>
                <w:lang w:val="en-US" w:eastAsia="zh-CN"/>
              </w:rPr>
              <w:t>0.225</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0.378</w:t>
            </w:r>
          </w:p>
        </w:tc>
        <w:tc>
          <w:tcPr>
            <w:tcW w:w="1761" w:type="dxa"/>
            <w:vAlign w:val="center"/>
          </w:tcPr>
          <w:p>
            <w:pPr>
              <w:adjustRightInd w:val="0"/>
              <w:snapToGrid w:val="0"/>
              <w:jc w:val="center"/>
              <w:rPr>
                <w:rFonts w:hint="default" w:eastAsia="宋体"/>
                <w:szCs w:val="21"/>
                <w:lang w:val="en-US" w:eastAsia="zh-CN"/>
              </w:rPr>
            </w:pPr>
            <w:r>
              <w:rPr>
                <w:rFonts w:hint="eastAsia"/>
                <w:szCs w:val="21"/>
                <w:lang w:val="en-US" w:eastAsia="zh-CN"/>
              </w:rPr>
              <w:t>0.225</w:t>
            </w:r>
          </w:p>
        </w:tc>
        <w:tc>
          <w:tcPr>
            <w:tcW w:w="1959" w:type="dxa"/>
            <w:vAlign w:val="center"/>
          </w:tcPr>
          <w:p>
            <w:pPr>
              <w:adjustRightInd w:val="0"/>
              <w:snapToGrid w:val="0"/>
              <w:jc w:val="center"/>
              <w:rPr>
                <w:rFonts w:hint="default" w:eastAsia="宋体"/>
                <w:szCs w:val="21"/>
                <w:lang w:val="en-US" w:eastAsia="zh-CN"/>
              </w:rPr>
            </w:pPr>
            <w:r>
              <w:rPr>
                <w:rFonts w:hint="eastAsia"/>
                <w:szCs w:val="21"/>
                <w:lang w:val="en-US" w:eastAsia="zh-CN"/>
              </w:rPr>
              <w:t>0.378</w:t>
            </w:r>
          </w:p>
        </w:tc>
        <w:tc>
          <w:tcPr>
            <w:tcW w:w="826" w:type="dxa"/>
            <w:vAlign w:val="center"/>
          </w:tcPr>
          <w:p>
            <w:pPr>
              <w:adjustRightInd w:val="0"/>
              <w:snapToGrid w:val="0"/>
              <w:jc w:val="center"/>
              <w:rPr>
                <w:rFonts w:hint="default" w:eastAsia="宋体"/>
                <w:szCs w:val="21"/>
                <w:lang w:val="en-US" w:eastAsia="zh-CN"/>
              </w:rPr>
            </w:pPr>
            <w:r>
              <w:rPr>
                <w:rFonts w:hint="eastAsia"/>
                <w:szCs w:val="21"/>
                <w:lang w:val="en-US" w:eastAsia="zh-CN"/>
              </w:rPr>
              <w:t>+0.153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restart"/>
            <w:vAlign w:val="center"/>
          </w:tcPr>
          <w:p>
            <w:pPr>
              <w:pStyle w:val="61"/>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废水</w:t>
            </w:r>
          </w:p>
        </w:tc>
        <w:tc>
          <w:tcPr>
            <w:tcW w:w="1417" w:type="dxa"/>
            <w:vAlign w:val="center"/>
          </w:tcPr>
          <w:p>
            <w:pPr>
              <w:adjustRightInd w:val="0"/>
              <w:snapToGrid w:val="0"/>
              <w:jc w:val="center"/>
              <w:rPr>
                <w:szCs w:val="21"/>
              </w:rPr>
            </w:pPr>
            <w:r>
              <w:rPr>
                <w:szCs w:val="21"/>
              </w:rPr>
              <w:t>废水量</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24350</w:t>
            </w:r>
          </w:p>
        </w:tc>
        <w:tc>
          <w:tcPr>
            <w:tcW w:w="1276" w:type="dxa"/>
            <w:vAlign w:val="center"/>
          </w:tcPr>
          <w:p>
            <w:pPr>
              <w:adjustRightInd w:val="0"/>
              <w:snapToGrid w:val="0"/>
              <w:jc w:val="center"/>
              <w:rPr>
                <w:rFonts w:ascii="Times New Roman"/>
                <w:kern w:val="2"/>
                <w:szCs w:val="21"/>
              </w:rPr>
            </w:pPr>
            <w:r>
              <w:rPr>
                <w:rFonts w:hint="eastAsia"/>
                <w:szCs w:val="21"/>
                <w:lang w:val="en-US" w:eastAsia="zh-CN"/>
              </w:rPr>
              <w:t>24350</w:t>
            </w:r>
          </w:p>
        </w:tc>
        <w:tc>
          <w:tcPr>
            <w:tcW w:w="1701" w:type="dxa"/>
            <w:vAlign w:val="center"/>
          </w:tcPr>
          <w:p>
            <w:pPr>
              <w:pStyle w:val="61"/>
              <w:spacing w:beforeLines="0" w:afterLines="0" w:line="240" w:lineRule="auto"/>
              <w:rPr>
                <w:rFonts w:ascii="Times New Roman"/>
                <w:kern w:val="2"/>
                <w:szCs w:val="21"/>
              </w:rPr>
            </w:pPr>
            <w:r>
              <w:rPr>
                <w:rFonts w:hint="eastAsia" w:ascii="Times New Roman"/>
                <w:kern w:val="2"/>
                <w:szCs w:val="21"/>
              </w:rPr>
              <w:t>0</w:t>
            </w:r>
          </w:p>
        </w:tc>
        <w:tc>
          <w:tcPr>
            <w:tcW w:w="1559" w:type="dxa"/>
            <w:vAlign w:val="center"/>
          </w:tcPr>
          <w:p>
            <w:pPr>
              <w:pStyle w:val="61"/>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1200</w:t>
            </w:r>
          </w:p>
        </w:tc>
        <w:tc>
          <w:tcPr>
            <w:tcW w:w="1761" w:type="dxa"/>
            <w:vAlign w:val="center"/>
          </w:tcPr>
          <w:p>
            <w:pPr>
              <w:pStyle w:val="61"/>
              <w:spacing w:beforeLines="0" w:afterLines="0" w:line="240" w:lineRule="auto"/>
              <w:rPr>
                <w:rFonts w:ascii="Times New Roman"/>
                <w:kern w:val="2"/>
                <w:szCs w:val="21"/>
              </w:rPr>
            </w:pPr>
            <w:r>
              <w:rPr>
                <w:rFonts w:hint="eastAsia" w:ascii="Times New Roman"/>
                <w:kern w:val="2"/>
                <w:szCs w:val="21"/>
                <w:lang w:val="en-US" w:eastAsia="zh-CN"/>
              </w:rPr>
              <w:t>1200</w:t>
            </w:r>
          </w:p>
        </w:tc>
        <w:tc>
          <w:tcPr>
            <w:tcW w:w="1959" w:type="dxa"/>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24350</w:t>
            </w:r>
          </w:p>
        </w:tc>
        <w:tc>
          <w:tcPr>
            <w:tcW w:w="826" w:type="dxa"/>
            <w:vAlign w:val="center"/>
          </w:tcPr>
          <w:p>
            <w:pPr>
              <w:pStyle w:val="61"/>
              <w:spacing w:beforeLines="0" w:afterLines="0" w:line="240" w:lineRule="auto"/>
              <w:rPr>
                <w:rFonts w:hint="eastAsia" w:ascii="Times New Roman" w:eastAsia="宋体"/>
                <w:kern w:val="2"/>
                <w:szCs w:val="21"/>
                <w:lang w:val="en-US" w:eastAsia="zh-CN"/>
              </w:rPr>
            </w:pPr>
            <w:r>
              <w:rPr>
                <w:rFonts w:hint="eastAsia" w:ascii="Times New Roman"/>
                <w:kern w:val="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1"/>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szCs w:val="21"/>
              </w:rPr>
            </w:pPr>
            <w:r>
              <w:rPr>
                <w:szCs w:val="21"/>
              </w:rPr>
              <w:t>COD</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1.208</w:t>
            </w:r>
          </w:p>
        </w:tc>
        <w:tc>
          <w:tcPr>
            <w:tcW w:w="1276" w:type="dxa"/>
            <w:vAlign w:val="center"/>
          </w:tcPr>
          <w:p>
            <w:pPr>
              <w:adjustRightInd w:val="0"/>
              <w:snapToGrid w:val="0"/>
              <w:jc w:val="center"/>
              <w:rPr>
                <w:rFonts w:ascii="Times New Roman"/>
                <w:kern w:val="2"/>
                <w:szCs w:val="21"/>
              </w:rPr>
            </w:pPr>
            <w:r>
              <w:rPr>
                <w:rFonts w:hint="eastAsia"/>
                <w:szCs w:val="21"/>
                <w:lang w:val="en-US" w:eastAsia="zh-CN"/>
              </w:rPr>
              <w:t>1.208</w:t>
            </w:r>
          </w:p>
        </w:tc>
        <w:tc>
          <w:tcPr>
            <w:tcW w:w="1701" w:type="dxa"/>
            <w:vAlign w:val="center"/>
          </w:tcPr>
          <w:p>
            <w:pPr>
              <w:pStyle w:val="61"/>
              <w:spacing w:beforeLines="0" w:afterLines="0" w:line="240" w:lineRule="auto"/>
              <w:rPr>
                <w:rFonts w:ascii="Times New Roman"/>
                <w:kern w:val="2"/>
                <w:szCs w:val="21"/>
              </w:rPr>
            </w:pPr>
            <w:r>
              <w:rPr>
                <w:rFonts w:hint="eastAsia" w:ascii="Times New Roman"/>
                <w:kern w:val="2"/>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0.048</w:t>
            </w:r>
          </w:p>
        </w:tc>
        <w:tc>
          <w:tcPr>
            <w:tcW w:w="1761" w:type="dxa"/>
            <w:vAlign w:val="center"/>
          </w:tcPr>
          <w:p>
            <w:pPr>
              <w:adjustRightInd w:val="0"/>
              <w:snapToGrid w:val="0"/>
              <w:jc w:val="center"/>
              <w:rPr>
                <w:rFonts w:ascii="Times New Roman"/>
                <w:kern w:val="2"/>
                <w:szCs w:val="21"/>
              </w:rPr>
            </w:pPr>
            <w:r>
              <w:rPr>
                <w:rFonts w:hint="eastAsia"/>
                <w:szCs w:val="21"/>
                <w:lang w:val="en-US" w:eastAsia="zh-CN"/>
              </w:rPr>
              <w:t>0.048</w:t>
            </w:r>
          </w:p>
        </w:tc>
        <w:tc>
          <w:tcPr>
            <w:tcW w:w="1959" w:type="dxa"/>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1.208</w:t>
            </w:r>
          </w:p>
        </w:tc>
        <w:tc>
          <w:tcPr>
            <w:tcW w:w="82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1"/>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szCs w:val="21"/>
              </w:rPr>
            </w:pPr>
            <w:r>
              <w:rPr>
                <w:szCs w:val="21"/>
              </w:rPr>
              <w:t>SS</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0.244</w:t>
            </w:r>
          </w:p>
        </w:tc>
        <w:tc>
          <w:tcPr>
            <w:tcW w:w="1276" w:type="dxa"/>
            <w:vAlign w:val="center"/>
          </w:tcPr>
          <w:p>
            <w:pPr>
              <w:adjustRightInd w:val="0"/>
              <w:snapToGrid w:val="0"/>
              <w:jc w:val="center"/>
              <w:rPr>
                <w:rFonts w:ascii="Times New Roman"/>
                <w:kern w:val="2"/>
                <w:szCs w:val="21"/>
              </w:rPr>
            </w:pPr>
            <w:r>
              <w:rPr>
                <w:rFonts w:hint="eastAsia"/>
                <w:szCs w:val="21"/>
                <w:lang w:val="en-US" w:eastAsia="zh-CN"/>
              </w:rPr>
              <w:t>0.244</w:t>
            </w:r>
          </w:p>
        </w:tc>
        <w:tc>
          <w:tcPr>
            <w:tcW w:w="1701" w:type="dxa"/>
            <w:vAlign w:val="center"/>
          </w:tcPr>
          <w:p>
            <w:pPr>
              <w:pStyle w:val="61"/>
              <w:spacing w:beforeLines="0" w:afterLines="0" w:line="240" w:lineRule="auto"/>
              <w:rPr>
                <w:rFonts w:ascii="Times New Roman"/>
                <w:kern w:val="2"/>
                <w:szCs w:val="21"/>
              </w:rPr>
            </w:pPr>
            <w:r>
              <w:rPr>
                <w:rFonts w:hint="eastAsia" w:ascii="Times New Roman"/>
                <w:kern w:val="2"/>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0.012</w:t>
            </w:r>
          </w:p>
        </w:tc>
        <w:tc>
          <w:tcPr>
            <w:tcW w:w="1761" w:type="dxa"/>
            <w:vAlign w:val="center"/>
          </w:tcPr>
          <w:p>
            <w:pPr>
              <w:adjustRightInd w:val="0"/>
              <w:snapToGrid w:val="0"/>
              <w:jc w:val="center"/>
              <w:rPr>
                <w:rFonts w:ascii="Times New Roman"/>
                <w:kern w:val="2"/>
                <w:szCs w:val="21"/>
              </w:rPr>
            </w:pPr>
            <w:r>
              <w:rPr>
                <w:rFonts w:hint="eastAsia"/>
                <w:szCs w:val="21"/>
                <w:lang w:val="en-US" w:eastAsia="zh-CN"/>
              </w:rPr>
              <w:t>0.012</w:t>
            </w:r>
          </w:p>
        </w:tc>
        <w:tc>
          <w:tcPr>
            <w:tcW w:w="1959" w:type="dxa"/>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0.244</w:t>
            </w:r>
          </w:p>
        </w:tc>
        <w:tc>
          <w:tcPr>
            <w:tcW w:w="82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1"/>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szCs w:val="21"/>
              </w:rPr>
            </w:pPr>
            <w:r>
              <w:rPr>
                <w:szCs w:val="21"/>
              </w:rPr>
              <w:t>氨氮</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0.0696</w:t>
            </w:r>
          </w:p>
        </w:tc>
        <w:tc>
          <w:tcPr>
            <w:tcW w:w="1276" w:type="dxa"/>
            <w:vAlign w:val="center"/>
          </w:tcPr>
          <w:p>
            <w:pPr>
              <w:adjustRightInd w:val="0"/>
              <w:snapToGrid w:val="0"/>
              <w:jc w:val="center"/>
              <w:rPr>
                <w:rFonts w:ascii="Times New Roman"/>
                <w:kern w:val="2"/>
                <w:szCs w:val="21"/>
              </w:rPr>
            </w:pPr>
            <w:r>
              <w:rPr>
                <w:rFonts w:hint="eastAsia"/>
                <w:szCs w:val="21"/>
                <w:lang w:val="en-US" w:eastAsia="zh-CN"/>
              </w:rPr>
              <w:t>0.0696</w:t>
            </w:r>
          </w:p>
        </w:tc>
        <w:tc>
          <w:tcPr>
            <w:tcW w:w="1701" w:type="dxa"/>
            <w:vAlign w:val="center"/>
          </w:tcPr>
          <w:p>
            <w:pPr>
              <w:pStyle w:val="61"/>
              <w:spacing w:beforeLines="0" w:afterLines="0" w:line="240" w:lineRule="auto"/>
              <w:rPr>
                <w:rFonts w:ascii="Times New Roman"/>
                <w:kern w:val="2"/>
                <w:szCs w:val="21"/>
              </w:rPr>
            </w:pPr>
            <w:r>
              <w:rPr>
                <w:rFonts w:hint="eastAsia" w:ascii="Times New Roman"/>
                <w:kern w:val="2"/>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0.0036</w:t>
            </w:r>
          </w:p>
        </w:tc>
        <w:tc>
          <w:tcPr>
            <w:tcW w:w="1761" w:type="dxa"/>
            <w:vAlign w:val="center"/>
          </w:tcPr>
          <w:p>
            <w:pPr>
              <w:adjustRightInd w:val="0"/>
              <w:snapToGrid w:val="0"/>
              <w:jc w:val="center"/>
              <w:rPr>
                <w:rFonts w:ascii="Times New Roman"/>
                <w:kern w:val="2"/>
                <w:szCs w:val="21"/>
              </w:rPr>
            </w:pPr>
            <w:r>
              <w:rPr>
                <w:rFonts w:hint="eastAsia"/>
                <w:szCs w:val="21"/>
                <w:lang w:val="en-US" w:eastAsia="zh-CN"/>
              </w:rPr>
              <w:t>0.0036</w:t>
            </w:r>
          </w:p>
        </w:tc>
        <w:tc>
          <w:tcPr>
            <w:tcW w:w="1959" w:type="dxa"/>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0.0696</w:t>
            </w:r>
          </w:p>
        </w:tc>
        <w:tc>
          <w:tcPr>
            <w:tcW w:w="82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1"/>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szCs w:val="21"/>
              </w:rPr>
            </w:pPr>
            <w:r>
              <w:rPr>
                <w:szCs w:val="21"/>
              </w:rPr>
              <w:t>总磷</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0.00636</w:t>
            </w:r>
          </w:p>
        </w:tc>
        <w:tc>
          <w:tcPr>
            <w:tcW w:w="1276" w:type="dxa"/>
            <w:vAlign w:val="center"/>
          </w:tcPr>
          <w:p>
            <w:pPr>
              <w:adjustRightInd w:val="0"/>
              <w:snapToGrid w:val="0"/>
              <w:jc w:val="center"/>
              <w:rPr>
                <w:rFonts w:ascii="Times New Roman"/>
                <w:kern w:val="2"/>
                <w:szCs w:val="21"/>
              </w:rPr>
            </w:pPr>
            <w:r>
              <w:rPr>
                <w:rFonts w:hint="eastAsia"/>
                <w:szCs w:val="21"/>
                <w:lang w:val="en-US" w:eastAsia="zh-CN"/>
              </w:rPr>
              <w:t>0.00636</w:t>
            </w:r>
          </w:p>
        </w:tc>
        <w:tc>
          <w:tcPr>
            <w:tcW w:w="1701" w:type="dxa"/>
            <w:vAlign w:val="center"/>
          </w:tcPr>
          <w:p>
            <w:pPr>
              <w:pStyle w:val="61"/>
              <w:spacing w:beforeLines="0" w:afterLines="0" w:line="240" w:lineRule="auto"/>
              <w:rPr>
                <w:rFonts w:ascii="Times New Roman"/>
                <w:kern w:val="2"/>
                <w:szCs w:val="21"/>
              </w:rPr>
            </w:pPr>
            <w:r>
              <w:rPr>
                <w:rFonts w:hint="eastAsia" w:ascii="Times New Roman"/>
                <w:kern w:val="2"/>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0.00036</w:t>
            </w:r>
          </w:p>
        </w:tc>
        <w:tc>
          <w:tcPr>
            <w:tcW w:w="1761" w:type="dxa"/>
            <w:vAlign w:val="center"/>
          </w:tcPr>
          <w:p>
            <w:pPr>
              <w:adjustRightInd w:val="0"/>
              <w:snapToGrid w:val="0"/>
              <w:jc w:val="center"/>
              <w:rPr>
                <w:rFonts w:ascii="Times New Roman"/>
                <w:kern w:val="2"/>
                <w:szCs w:val="21"/>
              </w:rPr>
            </w:pPr>
            <w:r>
              <w:rPr>
                <w:rFonts w:hint="eastAsia"/>
                <w:szCs w:val="21"/>
                <w:lang w:val="en-US" w:eastAsia="zh-CN"/>
              </w:rPr>
              <w:t>0.00036</w:t>
            </w:r>
          </w:p>
        </w:tc>
        <w:tc>
          <w:tcPr>
            <w:tcW w:w="1959" w:type="dxa"/>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0.00636</w:t>
            </w:r>
          </w:p>
        </w:tc>
        <w:tc>
          <w:tcPr>
            <w:tcW w:w="82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1"/>
              <w:spacing w:beforeLines="0" w:afterLines="0" w:line="240" w:lineRule="auto"/>
              <w:rPr>
                <w:rFonts w:hAnsi="宋体" w:cs="宋体"/>
                <w:snapToGrid w:val="0"/>
                <w:color w:val="000000"/>
                <w:kern w:val="21"/>
                <w:szCs w:val="21"/>
              </w:rPr>
            </w:pPr>
          </w:p>
        </w:tc>
        <w:tc>
          <w:tcPr>
            <w:tcW w:w="1417" w:type="dxa"/>
            <w:vAlign w:val="center"/>
          </w:tcPr>
          <w:p>
            <w:pPr>
              <w:adjustRightInd w:val="0"/>
              <w:snapToGrid w:val="0"/>
              <w:jc w:val="center"/>
              <w:rPr>
                <w:szCs w:val="21"/>
              </w:rPr>
            </w:pPr>
            <w:r>
              <w:rPr>
                <w:szCs w:val="21"/>
              </w:rPr>
              <w:t>总氮</w:t>
            </w:r>
          </w:p>
        </w:tc>
        <w:tc>
          <w:tcPr>
            <w:tcW w:w="1701" w:type="dxa"/>
            <w:vAlign w:val="center"/>
          </w:tcPr>
          <w:p>
            <w:pPr>
              <w:adjustRightInd w:val="0"/>
              <w:snapToGrid w:val="0"/>
              <w:jc w:val="center"/>
              <w:rPr>
                <w:rFonts w:hint="default" w:eastAsia="宋体"/>
                <w:szCs w:val="21"/>
                <w:lang w:val="en-US" w:eastAsia="zh-CN"/>
              </w:rPr>
            </w:pPr>
            <w:r>
              <w:rPr>
                <w:rFonts w:hint="eastAsia"/>
                <w:szCs w:val="21"/>
                <w:lang w:val="en-US" w:eastAsia="zh-CN"/>
              </w:rPr>
              <w:t>0.144</w:t>
            </w:r>
          </w:p>
        </w:tc>
        <w:tc>
          <w:tcPr>
            <w:tcW w:w="1276" w:type="dxa"/>
            <w:vAlign w:val="center"/>
          </w:tcPr>
          <w:p>
            <w:pPr>
              <w:adjustRightInd w:val="0"/>
              <w:snapToGrid w:val="0"/>
              <w:jc w:val="center"/>
              <w:rPr>
                <w:rFonts w:ascii="Times New Roman"/>
                <w:kern w:val="2"/>
                <w:szCs w:val="21"/>
              </w:rPr>
            </w:pPr>
            <w:r>
              <w:rPr>
                <w:rFonts w:hint="eastAsia"/>
                <w:szCs w:val="21"/>
                <w:lang w:val="en-US" w:eastAsia="zh-CN"/>
              </w:rPr>
              <w:t>0.144</w:t>
            </w:r>
          </w:p>
        </w:tc>
        <w:tc>
          <w:tcPr>
            <w:tcW w:w="1701" w:type="dxa"/>
            <w:vAlign w:val="center"/>
          </w:tcPr>
          <w:p>
            <w:pPr>
              <w:pStyle w:val="61"/>
              <w:spacing w:beforeLines="0" w:afterLines="0" w:line="240" w:lineRule="auto"/>
              <w:rPr>
                <w:rFonts w:ascii="Times New Roman"/>
                <w:kern w:val="2"/>
                <w:szCs w:val="21"/>
              </w:rPr>
            </w:pPr>
            <w:r>
              <w:rPr>
                <w:rFonts w:hint="eastAsia" w:ascii="Times New Roman"/>
                <w:kern w:val="2"/>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0.012</w:t>
            </w:r>
          </w:p>
        </w:tc>
        <w:tc>
          <w:tcPr>
            <w:tcW w:w="1761" w:type="dxa"/>
            <w:vAlign w:val="center"/>
          </w:tcPr>
          <w:p>
            <w:pPr>
              <w:adjustRightInd w:val="0"/>
              <w:snapToGrid w:val="0"/>
              <w:jc w:val="center"/>
              <w:rPr>
                <w:rFonts w:ascii="Times New Roman"/>
                <w:kern w:val="2"/>
                <w:szCs w:val="21"/>
              </w:rPr>
            </w:pPr>
            <w:r>
              <w:rPr>
                <w:rFonts w:hint="eastAsia"/>
                <w:szCs w:val="21"/>
                <w:lang w:val="en-US" w:eastAsia="zh-CN"/>
              </w:rPr>
              <w:t>0.012</w:t>
            </w:r>
          </w:p>
        </w:tc>
        <w:tc>
          <w:tcPr>
            <w:tcW w:w="1959" w:type="dxa"/>
            <w:vAlign w:val="center"/>
          </w:tcPr>
          <w:p>
            <w:pPr>
              <w:adjustRightInd w:val="0"/>
              <w:snapToGrid w:val="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0.144</w:t>
            </w:r>
          </w:p>
        </w:tc>
        <w:tc>
          <w:tcPr>
            <w:tcW w:w="82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restart"/>
            <w:vAlign w:val="center"/>
          </w:tcPr>
          <w:p>
            <w:pPr>
              <w:pStyle w:val="61"/>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一般工业</w:t>
            </w:r>
          </w:p>
          <w:p>
            <w:pPr>
              <w:pStyle w:val="61"/>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固体废物</w:t>
            </w:r>
          </w:p>
        </w:tc>
        <w:tc>
          <w:tcPr>
            <w:tcW w:w="1417" w:type="dxa"/>
            <w:vAlign w:val="center"/>
          </w:tcPr>
          <w:p>
            <w:pPr>
              <w:widowControl/>
              <w:adjustRightInd w:val="0"/>
              <w:snapToGrid w:val="0"/>
              <w:jc w:val="center"/>
              <w:textAlignment w:val="center"/>
              <w:rPr>
                <w:szCs w:val="21"/>
              </w:rPr>
            </w:pPr>
            <w:r>
              <w:rPr>
                <w:kern w:val="0"/>
                <w:szCs w:val="21"/>
                <w:lang w:bidi="ar"/>
              </w:rPr>
              <w:t>生活垃圾</w:t>
            </w:r>
          </w:p>
        </w:tc>
        <w:tc>
          <w:tcPr>
            <w:tcW w:w="1701" w:type="dxa"/>
            <w:vAlign w:val="center"/>
          </w:tcPr>
          <w:p>
            <w:pPr>
              <w:widowControl/>
              <w:jc w:val="center"/>
              <w:textAlignment w:val="center"/>
              <w:rPr>
                <w:szCs w:val="21"/>
              </w:rPr>
            </w:pPr>
            <w:r>
              <w:rPr>
                <w:rFonts w:hint="eastAsia"/>
                <w:color w:val="000000"/>
                <w:szCs w:val="21"/>
                <w:lang w:val="en-US" w:eastAsia="zh-CN"/>
              </w:rPr>
              <w:t>15</w:t>
            </w:r>
          </w:p>
        </w:tc>
        <w:tc>
          <w:tcPr>
            <w:tcW w:w="1276" w:type="dxa"/>
            <w:vAlign w:val="center"/>
          </w:tcPr>
          <w:p>
            <w:pPr>
              <w:widowControl/>
              <w:jc w:val="center"/>
              <w:textAlignment w:val="center"/>
              <w:rPr>
                <w:szCs w:val="21"/>
              </w:rPr>
            </w:pPr>
            <w:r>
              <w:rPr>
                <w:rFonts w:hint="eastAsia"/>
                <w:color w:val="000000"/>
                <w:szCs w:val="21"/>
                <w:lang w:val="en-US" w:eastAsia="zh-CN"/>
              </w:rPr>
              <w:t>15</w:t>
            </w:r>
          </w:p>
        </w:tc>
        <w:tc>
          <w:tcPr>
            <w:tcW w:w="1701" w:type="dxa"/>
            <w:vAlign w:val="center"/>
          </w:tcPr>
          <w:p>
            <w:pPr>
              <w:adjustRightInd w:val="0"/>
              <w:snapToGrid w:val="0"/>
              <w:jc w:val="center"/>
              <w:rPr>
                <w:szCs w:val="21"/>
              </w:rPr>
            </w:pPr>
            <w:r>
              <w:rPr>
                <w:rFonts w:hint="eastAsia"/>
                <w:szCs w:val="21"/>
              </w:rPr>
              <w:t>0</w:t>
            </w:r>
          </w:p>
        </w:tc>
        <w:tc>
          <w:tcPr>
            <w:tcW w:w="1559" w:type="dxa"/>
            <w:vAlign w:val="center"/>
          </w:tcPr>
          <w:p>
            <w:pPr>
              <w:adjustRightInd w:val="0"/>
              <w:snapToGrid w:val="0"/>
              <w:jc w:val="center"/>
              <w:rPr>
                <w:rFonts w:hint="default" w:eastAsia="宋体"/>
                <w:szCs w:val="21"/>
                <w:lang w:val="en-US" w:eastAsia="zh-CN"/>
              </w:rPr>
            </w:pPr>
            <w:r>
              <w:rPr>
                <w:rFonts w:hint="eastAsia"/>
                <w:szCs w:val="21"/>
                <w:lang w:val="en-US" w:eastAsia="zh-CN"/>
              </w:rPr>
              <w:t>15</w:t>
            </w:r>
          </w:p>
        </w:tc>
        <w:tc>
          <w:tcPr>
            <w:tcW w:w="1761" w:type="dxa"/>
            <w:vAlign w:val="center"/>
          </w:tcPr>
          <w:p>
            <w:pPr>
              <w:adjustRightInd w:val="0"/>
              <w:snapToGrid w:val="0"/>
              <w:jc w:val="center"/>
              <w:rPr>
                <w:rFonts w:hint="default" w:eastAsia="宋体"/>
                <w:szCs w:val="21"/>
                <w:lang w:val="en-US" w:eastAsia="zh-CN"/>
              </w:rPr>
            </w:pPr>
            <w:r>
              <w:rPr>
                <w:rFonts w:hint="eastAsia"/>
                <w:szCs w:val="21"/>
                <w:lang w:val="en-US" w:eastAsia="zh-CN"/>
              </w:rPr>
              <w:t>15</w:t>
            </w:r>
          </w:p>
        </w:tc>
        <w:tc>
          <w:tcPr>
            <w:tcW w:w="1959" w:type="dxa"/>
            <w:vAlign w:val="center"/>
          </w:tcPr>
          <w:p>
            <w:pPr>
              <w:adjustRightInd w:val="0"/>
              <w:snapToGrid w:val="0"/>
              <w:jc w:val="center"/>
              <w:rPr>
                <w:szCs w:val="21"/>
              </w:rPr>
            </w:pPr>
            <w:r>
              <w:rPr>
                <w:rFonts w:hint="eastAsia"/>
                <w:szCs w:val="21"/>
                <w:lang w:val="en-US" w:eastAsia="zh-CN"/>
              </w:rPr>
              <w:t>15</w:t>
            </w:r>
          </w:p>
        </w:tc>
        <w:tc>
          <w:tcPr>
            <w:tcW w:w="826"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1"/>
              <w:spacing w:beforeLines="0" w:afterLines="0" w:line="240" w:lineRule="auto"/>
              <w:rPr>
                <w:rFonts w:hAnsi="宋体" w:cs="宋体"/>
                <w:snapToGrid w:val="0"/>
                <w:color w:val="000000"/>
                <w:kern w:val="21"/>
                <w:szCs w:val="21"/>
              </w:rPr>
            </w:pPr>
          </w:p>
        </w:tc>
        <w:tc>
          <w:tcPr>
            <w:tcW w:w="1417" w:type="dxa"/>
            <w:vAlign w:val="center"/>
          </w:tcPr>
          <w:p>
            <w:pPr>
              <w:widowControl/>
              <w:adjustRightInd w:val="0"/>
              <w:snapToGrid w:val="0"/>
              <w:jc w:val="center"/>
              <w:textAlignment w:val="center"/>
              <w:rPr>
                <w:szCs w:val="21"/>
              </w:rPr>
            </w:pPr>
            <w:r>
              <w:rPr>
                <w:rFonts w:hint="eastAsia"/>
                <w:szCs w:val="21"/>
                <w:lang w:eastAsia="zh-CN"/>
              </w:rPr>
              <w:t>玻璃碎屑</w:t>
            </w:r>
          </w:p>
        </w:tc>
        <w:tc>
          <w:tcPr>
            <w:tcW w:w="1701" w:type="dxa"/>
            <w:vAlign w:val="center"/>
          </w:tcPr>
          <w:p>
            <w:pPr>
              <w:widowControl/>
              <w:adjustRightInd w:val="0"/>
              <w:snapToGrid w:val="0"/>
              <w:jc w:val="center"/>
              <w:textAlignment w:val="center"/>
              <w:rPr>
                <w:rFonts w:hint="default"/>
                <w:szCs w:val="21"/>
                <w:lang w:val="en-US"/>
              </w:rPr>
            </w:pPr>
            <w:r>
              <w:rPr>
                <w:rFonts w:hint="eastAsia"/>
                <w:bCs/>
                <w:szCs w:val="21"/>
                <w:lang w:val="en-US" w:eastAsia="zh-CN"/>
              </w:rPr>
              <w:t>30</w:t>
            </w:r>
          </w:p>
        </w:tc>
        <w:tc>
          <w:tcPr>
            <w:tcW w:w="1276" w:type="dxa"/>
            <w:vAlign w:val="center"/>
          </w:tcPr>
          <w:p>
            <w:pPr>
              <w:widowControl/>
              <w:adjustRightInd w:val="0"/>
              <w:snapToGrid w:val="0"/>
              <w:jc w:val="center"/>
              <w:textAlignment w:val="center"/>
              <w:rPr>
                <w:szCs w:val="21"/>
              </w:rPr>
            </w:pPr>
            <w:r>
              <w:rPr>
                <w:rFonts w:hint="eastAsia"/>
                <w:bCs/>
                <w:szCs w:val="21"/>
                <w:lang w:val="en-US" w:eastAsia="zh-CN"/>
              </w:rPr>
              <w:t>30</w:t>
            </w:r>
          </w:p>
        </w:tc>
        <w:tc>
          <w:tcPr>
            <w:tcW w:w="1701" w:type="dxa"/>
            <w:vAlign w:val="center"/>
          </w:tcPr>
          <w:p>
            <w:pPr>
              <w:adjustRightInd w:val="0"/>
              <w:snapToGrid w:val="0"/>
              <w:jc w:val="center"/>
              <w:rPr>
                <w:szCs w:val="21"/>
              </w:rPr>
            </w:pPr>
            <w:r>
              <w:rPr>
                <w:rFonts w:hint="eastAsia"/>
                <w:szCs w:val="21"/>
              </w:rPr>
              <w:t>0</w:t>
            </w:r>
          </w:p>
        </w:tc>
        <w:tc>
          <w:tcPr>
            <w:tcW w:w="1559" w:type="dxa"/>
            <w:vAlign w:val="center"/>
          </w:tcPr>
          <w:p>
            <w:pPr>
              <w:widowControl/>
              <w:adjustRightInd w:val="0"/>
              <w:snapToGrid w:val="0"/>
              <w:jc w:val="center"/>
              <w:textAlignment w:val="center"/>
              <w:rPr>
                <w:rFonts w:ascii="Times New Roman" w:hAnsi="Times New Roman" w:eastAsia="宋体" w:cs="Times New Roman"/>
                <w:kern w:val="2"/>
                <w:sz w:val="21"/>
                <w:szCs w:val="21"/>
                <w:lang w:val="en-US" w:eastAsia="zh-CN" w:bidi="ar-SA"/>
              </w:rPr>
            </w:pPr>
            <w:r>
              <w:rPr>
                <w:rFonts w:hint="eastAsia"/>
                <w:bCs/>
                <w:szCs w:val="21"/>
                <w:lang w:val="en-US" w:eastAsia="zh-CN"/>
              </w:rPr>
              <w:t>40</w:t>
            </w:r>
          </w:p>
        </w:tc>
        <w:tc>
          <w:tcPr>
            <w:tcW w:w="1761" w:type="dxa"/>
            <w:vAlign w:val="center"/>
          </w:tcPr>
          <w:p>
            <w:pPr>
              <w:widowControl/>
              <w:adjustRightInd w:val="0"/>
              <w:snapToGrid w:val="0"/>
              <w:jc w:val="center"/>
              <w:textAlignment w:val="center"/>
              <w:rPr>
                <w:szCs w:val="21"/>
              </w:rPr>
            </w:pPr>
            <w:r>
              <w:rPr>
                <w:rFonts w:hint="eastAsia"/>
                <w:bCs/>
                <w:szCs w:val="21"/>
                <w:lang w:val="en-US" w:eastAsia="zh-CN"/>
              </w:rPr>
              <w:t>30</w:t>
            </w:r>
          </w:p>
        </w:tc>
        <w:tc>
          <w:tcPr>
            <w:tcW w:w="1959" w:type="dxa"/>
            <w:vAlign w:val="center"/>
          </w:tcPr>
          <w:p>
            <w:pPr>
              <w:widowControl/>
              <w:adjustRightInd w:val="0"/>
              <w:snapToGrid w:val="0"/>
              <w:jc w:val="center"/>
              <w:textAlignment w:val="center"/>
              <w:rPr>
                <w:szCs w:val="21"/>
              </w:rPr>
            </w:pPr>
            <w:r>
              <w:rPr>
                <w:rFonts w:hint="eastAsia"/>
                <w:bCs/>
                <w:szCs w:val="21"/>
                <w:lang w:val="en-US" w:eastAsia="zh-CN"/>
              </w:rPr>
              <w:t>40</w:t>
            </w:r>
          </w:p>
        </w:tc>
        <w:tc>
          <w:tcPr>
            <w:tcW w:w="826" w:type="dxa"/>
            <w:vAlign w:val="center"/>
          </w:tcPr>
          <w:p>
            <w:pPr>
              <w:adjustRightInd w:val="0"/>
              <w:snapToGrid w:val="0"/>
              <w:jc w:val="center"/>
              <w:rPr>
                <w:rFonts w:hint="default" w:eastAsia="宋体"/>
                <w:szCs w:val="21"/>
                <w:lang w:val="en-US" w:eastAsia="zh-CN"/>
              </w:rPr>
            </w:pPr>
            <w:r>
              <w:rPr>
                <w:rFonts w:hint="eastAsia"/>
                <w:szCs w:val="21"/>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1"/>
              <w:spacing w:beforeLines="0" w:afterLines="0" w:line="240" w:lineRule="auto"/>
              <w:rPr>
                <w:rFonts w:hAnsi="宋体" w:cs="宋体"/>
                <w:snapToGrid w:val="0"/>
                <w:color w:val="000000"/>
                <w:kern w:val="21"/>
                <w:szCs w:val="21"/>
              </w:rPr>
            </w:pPr>
          </w:p>
        </w:tc>
        <w:tc>
          <w:tcPr>
            <w:tcW w:w="1417" w:type="dxa"/>
            <w:vAlign w:val="center"/>
          </w:tcPr>
          <w:p>
            <w:pPr>
              <w:widowControl/>
              <w:adjustRightInd w:val="0"/>
              <w:snapToGrid w:val="0"/>
              <w:jc w:val="center"/>
              <w:textAlignment w:val="center"/>
              <w:rPr>
                <w:szCs w:val="21"/>
              </w:rPr>
            </w:pPr>
            <w:r>
              <w:rPr>
                <w:rFonts w:hint="eastAsia"/>
                <w:szCs w:val="21"/>
                <w:lang w:eastAsia="zh-CN"/>
              </w:rPr>
              <w:t>粉尘</w:t>
            </w:r>
          </w:p>
        </w:tc>
        <w:tc>
          <w:tcPr>
            <w:tcW w:w="1701" w:type="dxa"/>
            <w:vAlign w:val="center"/>
          </w:tcPr>
          <w:p>
            <w:pPr>
              <w:widowControl/>
              <w:adjustRightInd w:val="0"/>
              <w:snapToGrid w:val="0"/>
              <w:jc w:val="center"/>
              <w:textAlignment w:val="center"/>
              <w:rPr>
                <w:rFonts w:hint="default"/>
                <w:szCs w:val="21"/>
                <w:lang w:val="en-US"/>
              </w:rPr>
            </w:pPr>
            <w:r>
              <w:rPr>
                <w:rFonts w:hint="eastAsia"/>
                <w:bCs/>
                <w:szCs w:val="21"/>
                <w:lang w:val="en-US" w:eastAsia="zh-CN"/>
              </w:rPr>
              <w:t>1.11</w:t>
            </w:r>
          </w:p>
        </w:tc>
        <w:tc>
          <w:tcPr>
            <w:tcW w:w="1276" w:type="dxa"/>
            <w:vAlign w:val="center"/>
          </w:tcPr>
          <w:p>
            <w:pPr>
              <w:widowControl/>
              <w:adjustRightInd w:val="0"/>
              <w:snapToGrid w:val="0"/>
              <w:jc w:val="center"/>
              <w:textAlignment w:val="center"/>
              <w:rPr>
                <w:szCs w:val="21"/>
              </w:rPr>
            </w:pPr>
            <w:r>
              <w:rPr>
                <w:rFonts w:hint="eastAsia"/>
                <w:bCs/>
                <w:szCs w:val="21"/>
                <w:lang w:val="en-US" w:eastAsia="zh-CN"/>
              </w:rPr>
              <w:t>1.11</w:t>
            </w:r>
          </w:p>
        </w:tc>
        <w:tc>
          <w:tcPr>
            <w:tcW w:w="1701" w:type="dxa"/>
            <w:vAlign w:val="center"/>
          </w:tcPr>
          <w:p>
            <w:pPr>
              <w:adjustRightInd w:val="0"/>
              <w:snapToGrid w:val="0"/>
              <w:jc w:val="center"/>
              <w:rPr>
                <w:szCs w:val="21"/>
              </w:rPr>
            </w:pPr>
            <w:r>
              <w:rPr>
                <w:rFonts w:hint="eastAsia"/>
                <w:szCs w:val="21"/>
              </w:rPr>
              <w:t>0</w:t>
            </w:r>
          </w:p>
        </w:tc>
        <w:tc>
          <w:tcPr>
            <w:tcW w:w="1559" w:type="dxa"/>
            <w:vAlign w:val="center"/>
          </w:tcPr>
          <w:p>
            <w:pPr>
              <w:widowControl/>
              <w:adjustRightInd w:val="0"/>
              <w:snapToGrid w:val="0"/>
              <w:jc w:val="center"/>
              <w:textAlignment w:val="center"/>
              <w:rPr>
                <w:rFonts w:ascii="Times New Roman" w:hAnsi="Times New Roman" w:eastAsia="宋体" w:cs="Times New Roman"/>
                <w:kern w:val="2"/>
                <w:sz w:val="21"/>
                <w:szCs w:val="21"/>
                <w:lang w:val="en-US" w:eastAsia="zh-CN" w:bidi="ar-SA"/>
              </w:rPr>
            </w:pPr>
            <w:r>
              <w:rPr>
                <w:rFonts w:hint="eastAsia"/>
                <w:bCs/>
                <w:szCs w:val="21"/>
                <w:lang w:val="en-US" w:eastAsia="zh-CN"/>
              </w:rPr>
              <w:t>1.51</w:t>
            </w:r>
          </w:p>
        </w:tc>
        <w:tc>
          <w:tcPr>
            <w:tcW w:w="1761" w:type="dxa"/>
            <w:vAlign w:val="center"/>
          </w:tcPr>
          <w:p>
            <w:pPr>
              <w:widowControl/>
              <w:adjustRightInd w:val="0"/>
              <w:snapToGrid w:val="0"/>
              <w:jc w:val="center"/>
              <w:textAlignment w:val="center"/>
              <w:rPr>
                <w:szCs w:val="21"/>
              </w:rPr>
            </w:pPr>
            <w:r>
              <w:rPr>
                <w:rFonts w:hint="eastAsia"/>
                <w:bCs/>
                <w:szCs w:val="21"/>
                <w:lang w:val="en-US" w:eastAsia="zh-CN"/>
              </w:rPr>
              <w:t>1.11</w:t>
            </w:r>
          </w:p>
        </w:tc>
        <w:tc>
          <w:tcPr>
            <w:tcW w:w="1959" w:type="dxa"/>
            <w:vAlign w:val="center"/>
          </w:tcPr>
          <w:p>
            <w:pPr>
              <w:widowControl/>
              <w:adjustRightInd w:val="0"/>
              <w:snapToGrid w:val="0"/>
              <w:jc w:val="center"/>
              <w:textAlignment w:val="center"/>
              <w:rPr>
                <w:szCs w:val="21"/>
              </w:rPr>
            </w:pPr>
            <w:r>
              <w:rPr>
                <w:rFonts w:hint="eastAsia"/>
                <w:bCs/>
                <w:szCs w:val="21"/>
                <w:lang w:val="en-US" w:eastAsia="zh-CN"/>
              </w:rPr>
              <w:t>1.51</w:t>
            </w:r>
          </w:p>
        </w:tc>
        <w:tc>
          <w:tcPr>
            <w:tcW w:w="826" w:type="dxa"/>
            <w:vAlign w:val="center"/>
          </w:tcPr>
          <w:p>
            <w:pPr>
              <w:adjustRightInd w:val="0"/>
              <w:snapToGrid w:val="0"/>
              <w:jc w:val="center"/>
              <w:rPr>
                <w:rFonts w:hint="default" w:eastAsia="宋体"/>
                <w:szCs w:val="21"/>
                <w:lang w:val="en-US" w:eastAsia="zh-CN"/>
              </w:rPr>
            </w:pPr>
            <w:r>
              <w:rPr>
                <w:rFonts w:hint="eastAsia"/>
                <w:szCs w:val="21"/>
                <w:lang w:val="en-US" w:eastAsia="zh-CN"/>
              </w:rPr>
              <w:t>+0.4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1"/>
              <w:spacing w:beforeLines="0" w:afterLines="0" w:line="240" w:lineRule="auto"/>
              <w:rPr>
                <w:rFonts w:hAnsi="宋体" w:cs="宋体"/>
                <w:snapToGrid w:val="0"/>
                <w:color w:val="000000"/>
                <w:kern w:val="21"/>
                <w:szCs w:val="21"/>
              </w:rPr>
            </w:pPr>
          </w:p>
        </w:tc>
        <w:tc>
          <w:tcPr>
            <w:tcW w:w="1417" w:type="dxa"/>
            <w:vAlign w:val="center"/>
          </w:tcPr>
          <w:p>
            <w:pPr>
              <w:widowControl/>
              <w:adjustRightInd w:val="0"/>
              <w:snapToGrid w:val="0"/>
              <w:jc w:val="center"/>
              <w:textAlignment w:val="center"/>
              <w:rPr>
                <w:kern w:val="0"/>
                <w:szCs w:val="21"/>
                <w:lang w:bidi="ar"/>
              </w:rPr>
            </w:pPr>
            <w:r>
              <w:rPr>
                <w:rFonts w:hint="eastAsia"/>
                <w:szCs w:val="21"/>
                <w:lang w:eastAsia="zh-CN"/>
              </w:rPr>
              <w:t>不合格品</w:t>
            </w:r>
          </w:p>
        </w:tc>
        <w:tc>
          <w:tcPr>
            <w:tcW w:w="1701" w:type="dxa"/>
            <w:vAlign w:val="center"/>
          </w:tcPr>
          <w:p>
            <w:pPr>
              <w:widowControl/>
              <w:adjustRightInd w:val="0"/>
              <w:snapToGrid w:val="0"/>
              <w:jc w:val="center"/>
              <w:textAlignment w:val="center"/>
              <w:rPr>
                <w:rFonts w:hint="default"/>
                <w:szCs w:val="21"/>
                <w:lang w:val="en-US"/>
              </w:rPr>
            </w:pPr>
            <w:r>
              <w:rPr>
                <w:rFonts w:hint="eastAsia"/>
                <w:bCs/>
                <w:szCs w:val="21"/>
                <w:lang w:val="en-US" w:eastAsia="zh-CN"/>
              </w:rPr>
              <w:t>487</w:t>
            </w:r>
          </w:p>
        </w:tc>
        <w:tc>
          <w:tcPr>
            <w:tcW w:w="1276" w:type="dxa"/>
            <w:vAlign w:val="center"/>
          </w:tcPr>
          <w:p>
            <w:pPr>
              <w:widowControl/>
              <w:adjustRightInd w:val="0"/>
              <w:snapToGrid w:val="0"/>
              <w:jc w:val="center"/>
              <w:textAlignment w:val="center"/>
              <w:rPr>
                <w:rFonts w:hint="eastAsia"/>
                <w:szCs w:val="21"/>
              </w:rPr>
            </w:pPr>
            <w:r>
              <w:rPr>
                <w:rFonts w:hint="eastAsia"/>
                <w:bCs/>
                <w:szCs w:val="21"/>
                <w:lang w:val="en-US" w:eastAsia="zh-CN"/>
              </w:rPr>
              <w:t>487</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559" w:type="dxa"/>
            <w:vAlign w:val="center"/>
          </w:tcPr>
          <w:p>
            <w:pPr>
              <w:widowControl/>
              <w:adjustRightInd w:val="0"/>
              <w:snapToGrid w:val="0"/>
              <w:jc w:val="center"/>
              <w:textAlignment w:val="center"/>
              <w:rPr>
                <w:rFonts w:hint="eastAsia" w:ascii="Times New Roman" w:hAnsi="Times New Roman" w:eastAsia="宋体" w:cs="Times New Roman"/>
                <w:kern w:val="2"/>
                <w:sz w:val="21"/>
                <w:szCs w:val="21"/>
                <w:lang w:val="en-US" w:eastAsia="zh-CN" w:bidi="ar-SA"/>
              </w:rPr>
            </w:pPr>
            <w:r>
              <w:rPr>
                <w:rFonts w:hint="eastAsia"/>
                <w:bCs/>
                <w:szCs w:val="21"/>
                <w:lang w:val="en-US" w:eastAsia="zh-CN"/>
              </w:rPr>
              <w:t>662</w:t>
            </w:r>
          </w:p>
        </w:tc>
        <w:tc>
          <w:tcPr>
            <w:tcW w:w="1761" w:type="dxa"/>
            <w:vAlign w:val="center"/>
          </w:tcPr>
          <w:p>
            <w:pPr>
              <w:widowControl/>
              <w:adjustRightInd w:val="0"/>
              <w:snapToGrid w:val="0"/>
              <w:jc w:val="center"/>
              <w:textAlignment w:val="center"/>
              <w:rPr>
                <w:rFonts w:hint="eastAsia"/>
                <w:szCs w:val="21"/>
              </w:rPr>
            </w:pPr>
            <w:r>
              <w:rPr>
                <w:rFonts w:hint="eastAsia"/>
                <w:bCs/>
                <w:szCs w:val="21"/>
                <w:lang w:val="en-US" w:eastAsia="zh-CN"/>
              </w:rPr>
              <w:t>487</w:t>
            </w:r>
          </w:p>
        </w:tc>
        <w:tc>
          <w:tcPr>
            <w:tcW w:w="1959" w:type="dxa"/>
            <w:vAlign w:val="center"/>
          </w:tcPr>
          <w:p>
            <w:pPr>
              <w:widowControl/>
              <w:adjustRightInd w:val="0"/>
              <w:snapToGrid w:val="0"/>
              <w:jc w:val="center"/>
              <w:textAlignment w:val="center"/>
              <w:rPr>
                <w:szCs w:val="21"/>
              </w:rPr>
            </w:pPr>
            <w:r>
              <w:rPr>
                <w:rFonts w:hint="eastAsia"/>
                <w:bCs/>
                <w:szCs w:val="21"/>
                <w:lang w:val="en-US" w:eastAsia="zh-CN"/>
              </w:rPr>
              <w:t>662</w:t>
            </w:r>
          </w:p>
        </w:tc>
        <w:tc>
          <w:tcPr>
            <w:tcW w:w="826" w:type="dxa"/>
            <w:vAlign w:val="center"/>
          </w:tcPr>
          <w:p>
            <w:pPr>
              <w:adjustRightInd w:val="0"/>
              <w:snapToGrid w:val="0"/>
              <w:jc w:val="center"/>
              <w:rPr>
                <w:rFonts w:hint="default" w:eastAsia="宋体"/>
                <w:szCs w:val="21"/>
                <w:lang w:val="en-US" w:eastAsia="zh-CN"/>
              </w:rPr>
            </w:pPr>
            <w:r>
              <w:rPr>
                <w:rFonts w:hint="eastAsia"/>
                <w:szCs w:val="21"/>
                <w:lang w:val="en-US" w:eastAsia="zh-CN"/>
              </w:rPr>
              <w:t>+175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Merge w:val="continue"/>
            <w:vAlign w:val="center"/>
          </w:tcPr>
          <w:p>
            <w:pPr>
              <w:pStyle w:val="61"/>
              <w:spacing w:beforeLines="0" w:afterLines="0" w:line="240" w:lineRule="auto"/>
              <w:rPr>
                <w:rFonts w:hAnsi="宋体" w:cs="宋体"/>
                <w:snapToGrid w:val="0"/>
                <w:color w:val="000000"/>
                <w:kern w:val="21"/>
                <w:szCs w:val="21"/>
              </w:rPr>
            </w:pPr>
          </w:p>
        </w:tc>
        <w:tc>
          <w:tcPr>
            <w:tcW w:w="1417" w:type="dxa"/>
            <w:vAlign w:val="center"/>
          </w:tcPr>
          <w:p>
            <w:pPr>
              <w:widowControl/>
              <w:adjustRightInd w:val="0"/>
              <w:snapToGrid w:val="0"/>
              <w:jc w:val="center"/>
              <w:textAlignment w:val="center"/>
              <w:rPr>
                <w:kern w:val="0"/>
                <w:szCs w:val="21"/>
                <w:lang w:bidi="ar"/>
              </w:rPr>
            </w:pPr>
            <w:r>
              <w:rPr>
                <w:rFonts w:hint="eastAsia"/>
                <w:kern w:val="0"/>
                <w:szCs w:val="21"/>
                <w:lang w:eastAsia="zh-CN" w:bidi="ar"/>
              </w:rPr>
              <w:t>污泥</w:t>
            </w:r>
          </w:p>
        </w:tc>
        <w:tc>
          <w:tcPr>
            <w:tcW w:w="1701" w:type="dxa"/>
            <w:vAlign w:val="center"/>
          </w:tcPr>
          <w:p>
            <w:pPr>
              <w:widowControl/>
              <w:adjustRightInd w:val="0"/>
              <w:snapToGrid w:val="0"/>
              <w:jc w:val="center"/>
              <w:textAlignment w:val="center"/>
              <w:rPr>
                <w:rFonts w:hint="default"/>
                <w:szCs w:val="21"/>
                <w:lang w:val="en-US"/>
              </w:rPr>
            </w:pPr>
            <w:r>
              <w:rPr>
                <w:rFonts w:hint="eastAsia"/>
                <w:kern w:val="0"/>
                <w:szCs w:val="21"/>
                <w:lang w:val="en-US" w:eastAsia="zh-CN" w:bidi="ar"/>
              </w:rPr>
              <w:t>10</w:t>
            </w:r>
          </w:p>
        </w:tc>
        <w:tc>
          <w:tcPr>
            <w:tcW w:w="1276" w:type="dxa"/>
            <w:vAlign w:val="center"/>
          </w:tcPr>
          <w:p>
            <w:pPr>
              <w:widowControl/>
              <w:adjustRightInd w:val="0"/>
              <w:snapToGrid w:val="0"/>
              <w:jc w:val="center"/>
              <w:textAlignment w:val="center"/>
              <w:rPr>
                <w:rFonts w:hint="eastAsia"/>
                <w:szCs w:val="21"/>
              </w:rPr>
            </w:pPr>
            <w:r>
              <w:rPr>
                <w:rFonts w:hint="eastAsia"/>
                <w:kern w:val="0"/>
                <w:szCs w:val="21"/>
                <w:lang w:val="en-US" w:eastAsia="zh-CN" w:bidi="ar"/>
              </w:rPr>
              <w:t>10</w:t>
            </w:r>
          </w:p>
        </w:tc>
        <w:tc>
          <w:tcPr>
            <w:tcW w:w="1701" w:type="dxa"/>
            <w:vAlign w:val="center"/>
          </w:tcPr>
          <w:p>
            <w:pPr>
              <w:adjustRightInd w:val="0"/>
              <w:snapToGrid w:val="0"/>
              <w:jc w:val="center"/>
              <w:rPr>
                <w:rFonts w:hint="eastAsia" w:eastAsia="宋体"/>
                <w:szCs w:val="21"/>
                <w:lang w:val="en-US" w:eastAsia="zh-CN"/>
              </w:rPr>
            </w:pPr>
            <w:r>
              <w:rPr>
                <w:rFonts w:hint="eastAsia"/>
                <w:szCs w:val="21"/>
                <w:lang w:val="en-US" w:eastAsia="zh-CN"/>
              </w:rPr>
              <w:t>0</w:t>
            </w:r>
          </w:p>
        </w:tc>
        <w:tc>
          <w:tcPr>
            <w:tcW w:w="1559" w:type="dxa"/>
            <w:vAlign w:val="center"/>
          </w:tcPr>
          <w:p>
            <w:pPr>
              <w:widowControl/>
              <w:adjustRightInd w:val="0"/>
              <w:snapToGrid w:val="0"/>
              <w:jc w:val="center"/>
              <w:textAlignment w:val="center"/>
              <w:rPr>
                <w:rFonts w:hint="eastAsia" w:ascii="Times New Roman" w:hAnsi="Times New Roman" w:eastAsia="宋体" w:cs="Times New Roman"/>
                <w:kern w:val="2"/>
                <w:sz w:val="21"/>
                <w:szCs w:val="21"/>
                <w:lang w:val="en-US" w:eastAsia="zh-CN" w:bidi="ar-SA"/>
              </w:rPr>
            </w:pPr>
            <w:r>
              <w:rPr>
                <w:rFonts w:hint="eastAsia"/>
                <w:kern w:val="0"/>
                <w:szCs w:val="21"/>
                <w:lang w:val="en-US" w:eastAsia="zh-CN" w:bidi="ar"/>
              </w:rPr>
              <w:t>13</w:t>
            </w:r>
          </w:p>
        </w:tc>
        <w:tc>
          <w:tcPr>
            <w:tcW w:w="1761" w:type="dxa"/>
            <w:vAlign w:val="center"/>
          </w:tcPr>
          <w:p>
            <w:pPr>
              <w:widowControl/>
              <w:adjustRightInd w:val="0"/>
              <w:snapToGrid w:val="0"/>
              <w:jc w:val="center"/>
              <w:textAlignment w:val="center"/>
              <w:rPr>
                <w:rFonts w:hint="eastAsia"/>
                <w:szCs w:val="21"/>
              </w:rPr>
            </w:pPr>
            <w:r>
              <w:rPr>
                <w:rFonts w:hint="eastAsia"/>
                <w:kern w:val="0"/>
                <w:szCs w:val="21"/>
                <w:lang w:val="en-US" w:eastAsia="zh-CN" w:bidi="ar"/>
              </w:rPr>
              <w:t>10</w:t>
            </w:r>
          </w:p>
        </w:tc>
        <w:tc>
          <w:tcPr>
            <w:tcW w:w="1959" w:type="dxa"/>
            <w:vAlign w:val="center"/>
          </w:tcPr>
          <w:p>
            <w:pPr>
              <w:widowControl/>
              <w:adjustRightInd w:val="0"/>
              <w:snapToGrid w:val="0"/>
              <w:jc w:val="center"/>
              <w:textAlignment w:val="center"/>
              <w:rPr>
                <w:szCs w:val="21"/>
              </w:rPr>
            </w:pPr>
            <w:r>
              <w:rPr>
                <w:rFonts w:hint="eastAsia"/>
                <w:kern w:val="0"/>
                <w:szCs w:val="21"/>
                <w:lang w:val="en-US" w:eastAsia="zh-CN" w:bidi="ar"/>
              </w:rPr>
              <w:t>13</w:t>
            </w:r>
          </w:p>
        </w:tc>
        <w:tc>
          <w:tcPr>
            <w:tcW w:w="826" w:type="dxa"/>
            <w:vAlign w:val="center"/>
          </w:tcPr>
          <w:p>
            <w:pPr>
              <w:adjustRightInd w:val="0"/>
              <w:snapToGrid w:val="0"/>
              <w:jc w:val="center"/>
              <w:rPr>
                <w:rFonts w:hint="default" w:eastAsia="宋体"/>
                <w:szCs w:val="21"/>
                <w:lang w:val="en-US" w:eastAsia="zh-CN"/>
              </w:rPr>
            </w:pPr>
            <w:r>
              <w:rPr>
                <w:rFonts w:hint="eastAsia"/>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gridSpan w:val="2"/>
            <w:vAlign w:val="center"/>
          </w:tcPr>
          <w:p>
            <w:pPr>
              <w:pStyle w:val="61"/>
              <w:spacing w:beforeLines="0" w:afterLines="0" w:line="240" w:lineRule="auto"/>
              <w:rPr>
                <w:rFonts w:hAnsi="宋体" w:cs="宋体"/>
                <w:snapToGrid w:val="0"/>
                <w:color w:val="000000"/>
                <w:kern w:val="21"/>
                <w:szCs w:val="21"/>
              </w:rPr>
            </w:pPr>
            <w:r>
              <w:rPr>
                <w:rFonts w:hint="eastAsia" w:hAnsi="宋体" w:cs="宋体"/>
                <w:snapToGrid w:val="0"/>
                <w:color w:val="000000"/>
                <w:kern w:val="21"/>
                <w:szCs w:val="21"/>
              </w:rPr>
              <w:t>危险废物</w:t>
            </w:r>
          </w:p>
        </w:tc>
        <w:tc>
          <w:tcPr>
            <w:tcW w:w="1417" w:type="dxa"/>
            <w:vAlign w:val="center"/>
          </w:tcPr>
          <w:p>
            <w:pPr>
              <w:widowControl/>
              <w:adjustRightInd w:val="0"/>
              <w:snapToGrid w:val="0"/>
              <w:jc w:val="center"/>
              <w:textAlignment w:val="center"/>
              <w:rPr>
                <w:rFonts w:hint="eastAsia" w:eastAsia="宋体"/>
                <w:szCs w:val="21"/>
                <w:lang w:eastAsia="zh-CN"/>
              </w:rPr>
            </w:pPr>
            <w:r>
              <w:rPr>
                <w:kern w:val="0"/>
                <w:szCs w:val="21"/>
                <w:lang w:bidi="ar"/>
              </w:rPr>
              <w:t>废</w:t>
            </w:r>
            <w:r>
              <w:rPr>
                <w:rFonts w:hint="eastAsia"/>
                <w:kern w:val="0"/>
                <w:szCs w:val="21"/>
                <w:lang w:eastAsia="zh-CN" w:bidi="ar"/>
              </w:rPr>
              <w:t>活性炭</w:t>
            </w:r>
          </w:p>
        </w:tc>
        <w:tc>
          <w:tcPr>
            <w:tcW w:w="1701" w:type="dxa"/>
            <w:vAlign w:val="center"/>
          </w:tcPr>
          <w:p>
            <w:pPr>
              <w:pStyle w:val="61"/>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3.31</w:t>
            </w:r>
          </w:p>
        </w:tc>
        <w:tc>
          <w:tcPr>
            <w:tcW w:w="1276" w:type="dxa"/>
            <w:vAlign w:val="center"/>
          </w:tcPr>
          <w:p>
            <w:pPr>
              <w:pStyle w:val="61"/>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3.31</w:t>
            </w:r>
          </w:p>
        </w:tc>
        <w:tc>
          <w:tcPr>
            <w:tcW w:w="1701" w:type="dxa"/>
            <w:vAlign w:val="center"/>
          </w:tcPr>
          <w:p>
            <w:pPr>
              <w:pStyle w:val="61"/>
              <w:spacing w:beforeLines="0" w:afterLines="0" w:line="240" w:lineRule="auto"/>
              <w:rPr>
                <w:rFonts w:ascii="Times New Roman"/>
                <w:kern w:val="2"/>
                <w:szCs w:val="21"/>
              </w:rPr>
            </w:pPr>
            <w:r>
              <w:rPr>
                <w:rFonts w:hint="eastAsia" w:ascii="Times New Roman"/>
                <w:kern w:val="2"/>
                <w:szCs w:val="21"/>
              </w:rPr>
              <w:t>0</w:t>
            </w:r>
          </w:p>
        </w:tc>
        <w:tc>
          <w:tcPr>
            <w:tcW w:w="1559" w:type="dxa"/>
            <w:vAlign w:val="center"/>
          </w:tcPr>
          <w:p>
            <w:pPr>
              <w:pStyle w:val="61"/>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3.67</w:t>
            </w:r>
          </w:p>
        </w:tc>
        <w:tc>
          <w:tcPr>
            <w:tcW w:w="1761" w:type="dxa"/>
            <w:vAlign w:val="center"/>
          </w:tcPr>
          <w:p>
            <w:pPr>
              <w:pStyle w:val="61"/>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3.31</w:t>
            </w:r>
          </w:p>
        </w:tc>
        <w:tc>
          <w:tcPr>
            <w:tcW w:w="1959" w:type="dxa"/>
            <w:vAlign w:val="center"/>
          </w:tcPr>
          <w:p>
            <w:pPr>
              <w:pStyle w:val="61"/>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3.67</w:t>
            </w:r>
          </w:p>
        </w:tc>
        <w:tc>
          <w:tcPr>
            <w:tcW w:w="826" w:type="dxa"/>
            <w:vAlign w:val="center"/>
          </w:tcPr>
          <w:p>
            <w:pPr>
              <w:pStyle w:val="61"/>
              <w:spacing w:beforeLines="0" w:afterLines="0" w:line="240" w:lineRule="auto"/>
              <w:rPr>
                <w:rFonts w:hint="default" w:ascii="Times New Roman" w:eastAsia="宋体"/>
                <w:kern w:val="2"/>
                <w:szCs w:val="21"/>
                <w:lang w:val="en-US" w:eastAsia="zh-CN"/>
              </w:rPr>
            </w:pPr>
            <w:r>
              <w:rPr>
                <w:rFonts w:hint="eastAsia" w:ascii="Times New Roman"/>
                <w:kern w:val="2"/>
                <w:szCs w:val="21"/>
                <w:lang w:val="en-US" w:eastAsia="zh-CN"/>
              </w:rPr>
              <w:t>+0.36</w:t>
            </w:r>
          </w:p>
        </w:tc>
      </w:tr>
    </w:tbl>
    <w:p>
      <w:pPr>
        <w:pStyle w:val="61"/>
        <w:spacing w:before="192" w:beforeLines="80" w:after="24"/>
        <w:jc w:val="left"/>
        <w:rPr>
          <w:rFonts w:hAnsi="宋体" w:eastAsia="黑体"/>
        </w:r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sectPr>
      <w:footerReference r:id="rId6" w:type="default"/>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Arial Unicode MS">
    <w:altName w:val="宋体"/>
    <w:panose1 w:val="020B0604020202020204"/>
    <w:charset w:val="86"/>
    <w:family w:val="swiss"/>
    <w:pitch w:val="default"/>
    <w:sig w:usb0="00000000" w:usb1="00000000" w:usb2="0000003F" w:usb3="00000000" w:csb0="603F01FF" w:csb1="FFFF0000"/>
  </w:font>
  <w:font w:name="仿宋体">
    <w:altName w:val="宋体"/>
    <w:panose1 w:val="00000000000000000000"/>
    <w:charset w:val="86"/>
    <w:family w:val="roman"/>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fldChar w:fldCharType="begin"/>
    </w:r>
    <w:r>
      <w:rPr>
        <w:rStyle w:val="40"/>
      </w:rPr>
      <w:instrText xml:space="preserve">PAGE  </w:instrText>
    </w:r>
    <w:r>
      <w:fldChar w:fldCharType="end"/>
    </w:r>
  </w:p>
  <w:p>
    <w:pPr>
      <w:pStyle w:val="2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jc w:val="center"/>
      <w:rPr>
        <w:rStyle w:val="40"/>
        <w:rFonts w:ascii="宋体" w:hAnsi="宋体"/>
        <w:sz w:val="28"/>
        <w:szCs w:val="28"/>
      </w:rPr>
    </w:pPr>
    <w:r>
      <w:rPr>
        <w:rStyle w:val="40"/>
        <w:rFonts w:hint="eastAsia" w:ascii="宋体" w:hAnsi="宋体"/>
        <w:sz w:val="28"/>
        <w:szCs w:val="28"/>
      </w:rPr>
      <w:t>—</w:t>
    </w:r>
    <w:r>
      <w:rPr>
        <w:rStyle w:val="40"/>
        <w:rFonts w:hint="eastAsia" w:ascii="宋体" w:hAnsi="宋体"/>
        <w:sz w:val="20"/>
      </w:rPr>
      <w:t xml:space="preserve">  </w:t>
    </w:r>
    <w:r>
      <w:rPr>
        <w:rStyle w:val="40"/>
        <w:rFonts w:ascii="宋体" w:hAnsi="宋体"/>
        <w:sz w:val="20"/>
      </w:rPr>
      <w:fldChar w:fldCharType="begin"/>
    </w:r>
    <w:r>
      <w:rPr>
        <w:rStyle w:val="40"/>
        <w:rFonts w:ascii="宋体" w:hAnsi="宋体"/>
        <w:sz w:val="20"/>
      </w:rPr>
      <w:instrText xml:space="preserve"> PAGE   \* MERGEFORMAT </w:instrText>
    </w:r>
    <w:r>
      <w:rPr>
        <w:rStyle w:val="40"/>
        <w:rFonts w:ascii="宋体" w:hAnsi="宋体"/>
        <w:sz w:val="20"/>
      </w:rPr>
      <w:fldChar w:fldCharType="separate"/>
    </w:r>
    <w:r>
      <w:rPr>
        <w:rStyle w:val="40"/>
        <w:rFonts w:ascii="宋体" w:hAnsi="宋体"/>
        <w:sz w:val="20"/>
        <w:lang w:val="zh-CN"/>
      </w:rPr>
      <w:t>29</w:t>
    </w:r>
    <w:r>
      <w:rPr>
        <w:rStyle w:val="40"/>
        <w:rFonts w:ascii="宋体" w:hAnsi="宋体"/>
        <w:sz w:val="20"/>
      </w:rPr>
      <w:fldChar w:fldCharType="end"/>
    </w:r>
    <w:r>
      <w:rPr>
        <w:rStyle w:val="40"/>
        <w:rFonts w:hint="eastAsia" w:ascii="宋体" w:hAnsi="宋体"/>
        <w:sz w:val="20"/>
      </w:rPr>
      <w:t xml:space="preserve">  </w:t>
    </w:r>
    <w:r>
      <w:rPr>
        <w:rStyle w:val="40"/>
        <w:rFonts w:hint="eastAsia" w:ascii="宋体" w:hAnsi="宋体"/>
        <w:sz w:val="28"/>
        <w:szCs w:val="28"/>
      </w:rPr>
      <w:t>—</w:t>
    </w:r>
  </w:p>
  <w:p>
    <w:pPr>
      <w:pStyle w:val="24"/>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40"/>
        <w:rFonts w:ascii="宋体" w:hAnsi="宋体"/>
        <w:sz w:val="28"/>
        <w:szCs w:val="28"/>
      </w:rPr>
    </w:pPr>
    <w:r>
      <w:rPr>
        <w:rStyle w:val="40"/>
        <w:rFonts w:hint="eastAsia" w:ascii="宋体" w:hAnsi="宋体"/>
        <w:sz w:val="28"/>
        <w:szCs w:val="28"/>
      </w:rPr>
      <w:t>—</w:t>
    </w:r>
    <w:r>
      <w:rPr>
        <w:rStyle w:val="40"/>
        <w:rFonts w:hint="eastAsia" w:ascii="宋体" w:hAnsi="宋体"/>
        <w:sz w:val="20"/>
      </w:rPr>
      <w:t xml:space="preserve">  </w:t>
    </w:r>
    <w:r>
      <w:rPr>
        <w:rStyle w:val="40"/>
        <w:rFonts w:ascii="宋体" w:hAnsi="宋体"/>
        <w:sz w:val="26"/>
        <w:szCs w:val="26"/>
      </w:rPr>
      <w:fldChar w:fldCharType="begin"/>
    </w:r>
    <w:r>
      <w:rPr>
        <w:rStyle w:val="40"/>
        <w:rFonts w:ascii="宋体" w:hAnsi="宋体"/>
        <w:sz w:val="26"/>
        <w:szCs w:val="26"/>
      </w:rPr>
      <w:instrText xml:space="preserve">PAGE  </w:instrText>
    </w:r>
    <w:r>
      <w:rPr>
        <w:rStyle w:val="40"/>
        <w:rFonts w:ascii="宋体" w:hAnsi="宋体"/>
        <w:sz w:val="26"/>
        <w:szCs w:val="26"/>
      </w:rPr>
      <w:fldChar w:fldCharType="separate"/>
    </w:r>
    <w:r>
      <w:rPr>
        <w:rStyle w:val="40"/>
        <w:rFonts w:ascii="宋体" w:hAnsi="宋体"/>
        <w:sz w:val="26"/>
        <w:szCs w:val="26"/>
      </w:rPr>
      <w:t>71</w:t>
    </w:r>
    <w:r>
      <w:rPr>
        <w:rStyle w:val="40"/>
        <w:rFonts w:ascii="宋体" w:hAnsi="宋体"/>
        <w:sz w:val="26"/>
        <w:szCs w:val="26"/>
      </w:rPr>
      <w:fldChar w:fldCharType="end"/>
    </w:r>
    <w:r>
      <w:rPr>
        <w:rStyle w:val="40"/>
        <w:rFonts w:hint="eastAsia" w:ascii="宋体" w:hAnsi="宋体"/>
        <w:sz w:val="20"/>
      </w:rPr>
      <w:t xml:space="preserve">  </w:t>
    </w:r>
    <w:r>
      <w:rPr>
        <w:rStyle w:val="40"/>
        <w:rFonts w:hint="eastAsia" w:ascii="宋体" w:hAnsi="宋体"/>
        <w:sz w:val="28"/>
        <w:szCs w:val="28"/>
      </w:rPr>
      <w:t>—</w:t>
    </w:r>
  </w:p>
  <w:p>
    <w:pPr>
      <w:pStyle w:val="24"/>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29064"/>
    <w:multiLevelType w:val="singleLevel"/>
    <w:tmpl w:val="9CD29064"/>
    <w:lvl w:ilvl="0" w:tentative="0">
      <w:start w:val="2"/>
      <w:numFmt w:val="decimal"/>
      <w:suff w:val="nothing"/>
      <w:lvlText w:val="（%1）"/>
      <w:lvlJc w:val="left"/>
      <w:pPr>
        <w:ind w:left="-60"/>
      </w:pPr>
    </w:lvl>
  </w:abstractNum>
  <w:abstractNum w:abstractNumId="1">
    <w:nsid w:val="C6B41159"/>
    <w:multiLevelType w:val="singleLevel"/>
    <w:tmpl w:val="C6B41159"/>
    <w:lvl w:ilvl="0" w:tentative="0">
      <w:start w:val="1"/>
      <w:numFmt w:val="decimal"/>
      <w:suff w:val="nothing"/>
      <w:lvlText w:val="%1、"/>
      <w:lvlJc w:val="left"/>
    </w:lvl>
  </w:abstractNum>
  <w:abstractNum w:abstractNumId="2">
    <w:nsid w:val="C89BFDD0"/>
    <w:multiLevelType w:val="singleLevel"/>
    <w:tmpl w:val="C89BFDD0"/>
    <w:lvl w:ilvl="0" w:tentative="0">
      <w:start w:val="9"/>
      <w:numFmt w:val="decimal"/>
      <w:suff w:val="nothing"/>
      <w:lvlText w:val="%1、"/>
      <w:lvlJc w:val="left"/>
    </w:lvl>
  </w:abstractNum>
  <w:abstractNum w:abstractNumId="3">
    <w:nsid w:val="EDE8DE0C"/>
    <w:multiLevelType w:val="singleLevel"/>
    <w:tmpl w:val="EDE8DE0C"/>
    <w:lvl w:ilvl="0" w:tentative="0">
      <w:start w:val="1"/>
      <w:numFmt w:val="decimal"/>
      <w:suff w:val="nothing"/>
      <w:lvlText w:val="（%1）"/>
      <w:lvlJc w:val="left"/>
    </w:lvl>
  </w:abstractNum>
  <w:abstractNum w:abstractNumId="4">
    <w:nsid w:val="5A45CECF"/>
    <w:multiLevelType w:val="singleLevel"/>
    <w:tmpl w:val="5A45CECF"/>
    <w:lvl w:ilvl="0" w:tentative="0">
      <w:start w:val="1"/>
      <w:numFmt w:val="decimal"/>
      <w:pStyle w:val="3"/>
      <w:suff w:val="nothing"/>
      <w:lvlText w:val="%1、"/>
      <w:lvlJc w:val="left"/>
    </w:lvl>
  </w:abstractNum>
  <w:abstractNum w:abstractNumId="5">
    <w:nsid w:val="64E81591"/>
    <w:multiLevelType w:val="singleLevel"/>
    <w:tmpl w:val="64E81591"/>
    <w:lvl w:ilvl="0" w:tentative="0">
      <w:start w:val="2"/>
      <w:numFmt w:val="decimal"/>
      <w:suff w:val="nothing"/>
      <w:lvlText w:val="%1、"/>
      <w:lvlJc w:val="left"/>
    </w:lvl>
  </w:abstractNum>
  <w:abstractNum w:abstractNumId="6">
    <w:nsid w:val="654526FA"/>
    <w:multiLevelType w:val="singleLevel"/>
    <w:tmpl w:val="654526FA"/>
    <w:lvl w:ilvl="0" w:tentative="0">
      <w:start w:val="1"/>
      <w:numFmt w:val="upperLetter"/>
      <w:suff w:val="nothing"/>
      <w:lvlText w:val="%1、"/>
      <w:lvlJc w:val="left"/>
    </w:lvl>
  </w:abstractNum>
  <w:abstractNum w:abstractNumId="7">
    <w:nsid w:val="6AD006DB"/>
    <w:multiLevelType w:val="singleLevel"/>
    <w:tmpl w:val="6AD006DB"/>
    <w:lvl w:ilvl="0" w:tentative="0">
      <w:start w:val="4"/>
      <w:numFmt w:val="decimal"/>
      <w:suff w:val="nothing"/>
      <w:lvlText w:val="（%1）"/>
      <w:lvlJc w:val="left"/>
    </w:lvl>
  </w:abstractNum>
  <w:num w:numId="1">
    <w:abstractNumId w:val="4"/>
  </w:num>
  <w:num w:numId="2">
    <w:abstractNumId w:val="7"/>
  </w:num>
  <w:num w:numId="3">
    <w:abstractNumId w:val="5"/>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47"/>
    <w:rsid w:val="000006F5"/>
    <w:rsid w:val="000060B3"/>
    <w:rsid w:val="00007B6D"/>
    <w:rsid w:val="00011E7B"/>
    <w:rsid w:val="000124A3"/>
    <w:rsid w:val="00023607"/>
    <w:rsid w:val="000250EA"/>
    <w:rsid w:val="00030785"/>
    <w:rsid w:val="0004364B"/>
    <w:rsid w:val="000517C3"/>
    <w:rsid w:val="00055801"/>
    <w:rsid w:val="0005745C"/>
    <w:rsid w:val="00061B1F"/>
    <w:rsid w:val="000733C4"/>
    <w:rsid w:val="00074783"/>
    <w:rsid w:val="0008070B"/>
    <w:rsid w:val="000810AC"/>
    <w:rsid w:val="00081A02"/>
    <w:rsid w:val="00082231"/>
    <w:rsid w:val="00092D38"/>
    <w:rsid w:val="0009377B"/>
    <w:rsid w:val="00096F45"/>
    <w:rsid w:val="000A1AC9"/>
    <w:rsid w:val="000A20C9"/>
    <w:rsid w:val="000B058F"/>
    <w:rsid w:val="000B4467"/>
    <w:rsid w:val="000B4DB9"/>
    <w:rsid w:val="000C09AC"/>
    <w:rsid w:val="000C23F4"/>
    <w:rsid w:val="000C767F"/>
    <w:rsid w:val="000D3831"/>
    <w:rsid w:val="000D5A44"/>
    <w:rsid w:val="000E3ED2"/>
    <w:rsid w:val="000E72F8"/>
    <w:rsid w:val="000F1AA0"/>
    <w:rsid w:val="000F6CAE"/>
    <w:rsid w:val="001174E3"/>
    <w:rsid w:val="001220FD"/>
    <w:rsid w:val="001252E2"/>
    <w:rsid w:val="00131F42"/>
    <w:rsid w:val="001357F1"/>
    <w:rsid w:val="00140FA8"/>
    <w:rsid w:val="00142FEB"/>
    <w:rsid w:val="00143A2D"/>
    <w:rsid w:val="00145A41"/>
    <w:rsid w:val="0014628A"/>
    <w:rsid w:val="00151675"/>
    <w:rsid w:val="0015386E"/>
    <w:rsid w:val="00157435"/>
    <w:rsid w:val="0017504D"/>
    <w:rsid w:val="0017671A"/>
    <w:rsid w:val="00177422"/>
    <w:rsid w:val="00184590"/>
    <w:rsid w:val="00186AB4"/>
    <w:rsid w:val="001870D1"/>
    <w:rsid w:val="0018781E"/>
    <w:rsid w:val="0019262D"/>
    <w:rsid w:val="00196C5A"/>
    <w:rsid w:val="00197D86"/>
    <w:rsid w:val="001A1B35"/>
    <w:rsid w:val="001A3523"/>
    <w:rsid w:val="001A48A2"/>
    <w:rsid w:val="001A6F61"/>
    <w:rsid w:val="001B72B8"/>
    <w:rsid w:val="001C092B"/>
    <w:rsid w:val="001C6405"/>
    <w:rsid w:val="001C69B3"/>
    <w:rsid w:val="001C7E04"/>
    <w:rsid w:val="001D2375"/>
    <w:rsid w:val="001D4A79"/>
    <w:rsid w:val="001D5595"/>
    <w:rsid w:val="001D7874"/>
    <w:rsid w:val="001D7F22"/>
    <w:rsid w:val="001E29A8"/>
    <w:rsid w:val="001F0F17"/>
    <w:rsid w:val="001F3347"/>
    <w:rsid w:val="001F69E4"/>
    <w:rsid w:val="002021DF"/>
    <w:rsid w:val="002109C1"/>
    <w:rsid w:val="00210E9A"/>
    <w:rsid w:val="002125B4"/>
    <w:rsid w:val="00214C7C"/>
    <w:rsid w:val="002155B8"/>
    <w:rsid w:val="00224839"/>
    <w:rsid w:val="002249B2"/>
    <w:rsid w:val="00226574"/>
    <w:rsid w:val="002278EC"/>
    <w:rsid w:val="00227FA1"/>
    <w:rsid w:val="0023280E"/>
    <w:rsid w:val="002377D1"/>
    <w:rsid w:val="00242C37"/>
    <w:rsid w:val="002506BC"/>
    <w:rsid w:val="00254345"/>
    <w:rsid w:val="0026203B"/>
    <w:rsid w:val="0026240D"/>
    <w:rsid w:val="00264557"/>
    <w:rsid w:val="00264982"/>
    <w:rsid w:val="002768DA"/>
    <w:rsid w:val="00276969"/>
    <w:rsid w:val="002805AB"/>
    <w:rsid w:val="00284204"/>
    <w:rsid w:val="00291773"/>
    <w:rsid w:val="0029564C"/>
    <w:rsid w:val="002A168C"/>
    <w:rsid w:val="002A3DC7"/>
    <w:rsid w:val="002B49E2"/>
    <w:rsid w:val="002B7B00"/>
    <w:rsid w:val="002B7C44"/>
    <w:rsid w:val="002C0599"/>
    <w:rsid w:val="002C2B17"/>
    <w:rsid w:val="002D3DD0"/>
    <w:rsid w:val="002D5048"/>
    <w:rsid w:val="002E1F3A"/>
    <w:rsid w:val="002E298A"/>
    <w:rsid w:val="002E5793"/>
    <w:rsid w:val="00301978"/>
    <w:rsid w:val="0030332C"/>
    <w:rsid w:val="003051C2"/>
    <w:rsid w:val="0031048C"/>
    <w:rsid w:val="00310DB5"/>
    <w:rsid w:val="00312296"/>
    <w:rsid w:val="00314F0E"/>
    <w:rsid w:val="00320AAA"/>
    <w:rsid w:val="00321D8E"/>
    <w:rsid w:val="00325928"/>
    <w:rsid w:val="00327E0E"/>
    <w:rsid w:val="00332863"/>
    <w:rsid w:val="003364F6"/>
    <w:rsid w:val="0033684D"/>
    <w:rsid w:val="00337B42"/>
    <w:rsid w:val="00341B42"/>
    <w:rsid w:val="00342093"/>
    <w:rsid w:val="0034266E"/>
    <w:rsid w:val="0034348F"/>
    <w:rsid w:val="00343F5D"/>
    <w:rsid w:val="00344A13"/>
    <w:rsid w:val="00350175"/>
    <w:rsid w:val="00356653"/>
    <w:rsid w:val="00356C3A"/>
    <w:rsid w:val="0035743F"/>
    <w:rsid w:val="00357BE2"/>
    <w:rsid w:val="0036170C"/>
    <w:rsid w:val="00366E0F"/>
    <w:rsid w:val="00373C19"/>
    <w:rsid w:val="00373FB5"/>
    <w:rsid w:val="00381A72"/>
    <w:rsid w:val="00384676"/>
    <w:rsid w:val="00385945"/>
    <w:rsid w:val="00390857"/>
    <w:rsid w:val="003923EC"/>
    <w:rsid w:val="003A1631"/>
    <w:rsid w:val="003A1862"/>
    <w:rsid w:val="003A4BF3"/>
    <w:rsid w:val="003B420D"/>
    <w:rsid w:val="003C6C16"/>
    <w:rsid w:val="003D465B"/>
    <w:rsid w:val="003D794D"/>
    <w:rsid w:val="003E3058"/>
    <w:rsid w:val="003E6B69"/>
    <w:rsid w:val="003E76A9"/>
    <w:rsid w:val="003F0809"/>
    <w:rsid w:val="003F129D"/>
    <w:rsid w:val="003F6709"/>
    <w:rsid w:val="003F6A8C"/>
    <w:rsid w:val="003F755C"/>
    <w:rsid w:val="004003E6"/>
    <w:rsid w:val="00405005"/>
    <w:rsid w:val="00406F01"/>
    <w:rsid w:val="00411EE7"/>
    <w:rsid w:val="00415FC7"/>
    <w:rsid w:val="00416D50"/>
    <w:rsid w:val="00416FD5"/>
    <w:rsid w:val="00417772"/>
    <w:rsid w:val="00420E6A"/>
    <w:rsid w:val="004235F5"/>
    <w:rsid w:val="00425A9E"/>
    <w:rsid w:val="00426D6B"/>
    <w:rsid w:val="00431E6C"/>
    <w:rsid w:val="00433CE7"/>
    <w:rsid w:val="00437FBF"/>
    <w:rsid w:val="004475F1"/>
    <w:rsid w:val="00452738"/>
    <w:rsid w:val="00453137"/>
    <w:rsid w:val="00453EAE"/>
    <w:rsid w:val="00456091"/>
    <w:rsid w:val="00466321"/>
    <w:rsid w:val="00467920"/>
    <w:rsid w:val="00473A4D"/>
    <w:rsid w:val="00484B9B"/>
    <w:rsid w:val="004855F6"/>
    <w:rsid w:val="0048661E"/>
    <w:rsid w:val="00492104"/>
    <w:rsid w:val="00494670"/>
    <w:rsid w:val="004A07D7"/>
    <w:rsid w:val="004A21F3"/>
    <w:rsid w:val="004A3823"/>
    <w:rsid w:val="004B1031"/>
    <w:rsid w:val="004C4788"/>
    <w:rsid w:val="004D4479"/>
    <w:rsid w:val="004D633B"/>
    <w:rsid w:val="004E057C"/>
    <w:rsid w:val="004E4623"/>
    <w:rsid w:val="004E6946"/>
    <w:rsid w:val="004F1AD8"/>
    <w:rsid w:val="004F6757"/>
    <w:rsid w:val="005017A7"/>
    <w:rsid w:val="005039CB"/>
    <w:rsid w:val="0050558F"/>
    <w:rsid w:val="00506286"/>
    <w:rsid w:val="00510813"/>
    <w:rsid w:val="00511990"/>
    <w:rsid w:val="00511DE0"/>
    <w:rsid w:val="00514870"/>
    <w:rsid w:val="00514B9B"/>
    <w:rsid w:val="00517F02"/>
    <w:rsid w:val="00522E33"/>
    <w:rsid w:val="00524303"/>
    <w:rsid w:val="005258A2"/>
    <w:rsid w:val="00534B6A"/>
    <w:rsid w:val="00537D84"/>
    <w:rsid w:val="005401AE"/>
    <w:rsid w:val="00541597"/>
    <w:rsid w:val="00541E63"/>
    <w:rsid w:val="00542E07"/>
    <w:rsid w:val="00543A6E"/>
    <w:rsid w:val="0054437B"/>
    <w:rsid w:val="00545424"/>
    <w:rsid w:val="00553844"/>
    <w:rsid w:val="00554A7B"/>
    <w:rsid w:val="0055572C"/>
    <w:rsid w:val="00555CB6"/>
    <w:rsid w:val="0056106A"/>
    <w:rsid w:val="00566A05"/>
    <w:rsid w:val="005720AE"/>
    <w:rsid w:val="0057336D"/>
    <w:rsid w:val="00574020"/>
    <w:rsid w:val="00574B97"/>
    <w:rsid w:val="00585B7A"/>
    <w:rsid w:val="00594D77"/>
    <w:rsid w:val="005969E4"/>
    <w:rsid w:val="00596EA6"/>
    <w:rsid w:val="005A0543"/>
    <w:rsid w:val="005A06B7"/>
    <w:rsid w:val="005A1759"/>
    <w:rsid w:val="005A68A7"/>
    <w:rsid w:val="005D240B"/>
    <w:rsid w:val="005D36AB"/>
    <w:rsid w:val="005D6591"/>
    <w:rsid w:val="005D786A"/>
    <w:rsid w:val="005E0181"/>
    <w:rsid w:val="005E32B3"/>
    <w:rsid w:val="005E5B51"/>
    <w:rsid w:val="005E6D32"/>
    <w:rsid w:val="006077C6"/>
    <w:rsid w:val="00615742"/>
    <w:rsid w:val="006177FE"/>
    <w:rsid w:val="00617CC3"/>
    <w:rsid w:val="006267D9"/>
    <w:rsid w:val="00635FB1"/>
    <w:rsid w:val="006377A6"/>
    <w:rsid w:val="00637A3D"/>
    <w:rsid w:val="006411EF"/>
    <w:rsid w:val="00650582"/>
    <w:rsid w:val="0065420B"/>
    <w:rsid w:val="0066354C"/>
    <w:rsid w:val="006748B8"/>
    <w:rsid w:val="006775C3"/>
    <w:rsid w:val="006819FE"/>
    <w:rsid w:val="0069290A"/>
    <w:rsid w:val="0069775A"/>
    <w:rsid w:val="00697813"/>
    <w:rsid w:val="006A3EE8"/>
    <w:rsid w:val="006A72BF"/>
    <w:rsid w:val="006B03F2"/>
    <w:rsid w:val="006B3039"/>
    <w:rsid w:val="006B37DC"/>
    <w:rsid w:val="006B4F68"/>
    <w:rsid w:val="006B6C8C"/>
    <w:rsid w:val="006C0592"/>
    <w:rsid w:val="006C272E"/>
    <w:rsid w:val="006C5479"/>
    <w:rsid w:val="006D13B5"/>
    <w:rsid w:val="006D423F"/>
    <w:rsid w:val="006E0EC0"/>
    <w:rsid w:val="006E12FF"/>
    <w:rsid w:val="006E607E"/>
    <w:rsid w:val="006E61FA"/>
    <w:rsid w:val="006F35E9"/>
    <w:rsid w:val="007041F5"/>
    <w:rsid w:val="00706C5D"/>
    <w:rsid w:val="00722069"/>
    <w:rsid w:val="00722AE1"/>
    <w:rsid w:val="00732922"/>
    <w:rsid w:val="007356EF"/>
    <w:rsid w:val="00736375"/>
    <w:rsid w:val="0075162E"/>
    <w:rsid w:val="00754034"/>
    <w:rsid w:val="00756556"/>
    <w:rsid w:val="007618C4"/>
    <w:rsid w:val="00767980"/>
    <w:rsid w:val="00770B19"/>
    <w:rsid w:val="007726AA"/>
    <w:rsid w:val="0077463F"/>
    <w:rsid w:val="0078291F"/>
    <w:rsid w:val="007836EA"/>
    <w:rsid w:val="00784CDA"/>
    <w:rsid w:val="00787479"/>
    <w:rsid w:val="007906C4"/>
    <w:rsid w:val="007940EA"/>
    <w:rsid w:val="0079505A"/>
    <w:rsid w:val="007967E8"/>
    <w:rsid w:val="007A2170"/>
    <w:rsid w:val="007A22BF"/>
    <w:rsid w:val="007A3323"/>
    <w:rsid w:val="007A6A6F"/>
    <w:rsid w:val="007B3F83"/>
    <w:rsid w:val="007B72B8"/>
    <w:rsid w:val="007B7A58"/>
    <w:rsid w:val="007C21B5"/>
    <w:rsid w:val="007C37F4"/>
    <w:rsid w:val="007E4BD2"/>
    <w:rsid w:val="007E638B"/>
    <w:rsid w:val="007E7C5C"/>
    <w:rsid w:val="00801393"/>
    <w:rsid w:val="00802F88"/>
    <w:rsid w:val="00807C65"/>
    <w:rsid w:val="0081293E"/>
    <w:rsid w:val="008140E6"/>
    <w:rsid w:val="00815465"/>
    <w:rsid w:val="00817E9A"/>
    <w:rsid w:val="008306BD"/>
    <w:rsid w:val="00831225"/>
    <w:rsid w:val="00831A80"/>
    <w:rsid w:val="00833743"/>
    <w:rsid w:val="008340A4"/>
    <w:rsid w:val="0083435B"/>
    <w:rsid w:val="00834524"/>
    <w:rsid w:val="00835EE0"/>
    <w:rsid w:val="0085032B"/>
    <w:rsid w:val="00850AF4"/>
    <w:rsid w:val="00854138"/>
    <w:rsid w:val="0087135F"/>
    <w:rsid w:val="00872D94"/>
    <w:rsid w:val="0087569D"/>
    <w:rsid w:val="00880364"/>
    <w:rsid w:val="00891592"/>
    <w:rsid w:val="00891E9E"/>
    <w:rsid w:val="00896D9E"/>
    <w:rsid w:val="008A2F68"/>
    <w:rsid w:val="008A3033"/>
    <w:rsid w:val="008B0C45"/>
    <w:rsid w:val="008B2FF0"/>
    <w:rsid w:val="008B4FA6"/>
    <w:rsid w:val="008B5282"/>
    <w:rsid w:val="008B7C17"/>
    <w:rsid w:val="008B7CD5"/>
    <w:rsid w:val="008C2D01"/>
    <w:rsid w:val="008C40E6"/>
    <w:rsid w:val="008D0F7A"/>
    <w:rsid w:val="008D68E4"/>
    <w:rsid w:val="008E0506"/>
    <w:rsid w:val="008E0CFF"/>
    <w:rsid w:val="008E5D6B"/>
    <w:rsid w:val="008E76F0"/>
    <w:rsid w:val="008F15FE"/>
    <w:rsid w:val="008F2D29"/>
    <w:rsid w:val="008F5187"/>
    <w:rsid w:val="008F5DAE"/>
    <w:rsid w:val="008F60D8"/>
    <w:rsid w:val="00902727"/>
    <w:rsid w:val="0090312B"/>
    <w:rsid w:val="0091736D"/>
    <w:rsid w:val="00921016"/>
    <w:rsid w:val="00923E13"/>
    <w:rsid w:val="0093037A"/>
    <w:rsid w:val="0094154D"/>
    <w:rsid w:val="0095155F"/>
    <w:rsid w:val="00954429"/>
    <w:rsid w:val="009563CE"/>
    <w:rsid w:val="00962CD7"/>
    <w:rsid w:val="00970026"/>
    <w:rsid w:val="00972E66"/>
    <w:rsid w:val="00973B97"/>
    <w:rsid w:val="009747DA"/>
    <w:rsid w:val="00976328"/>
    <w:rsid w:val="0097680D"/>
    <w:rsid w:val="00982438"/>
    <w:rsid w:val="0098404C"/>
    <w:rsid w:val="00985283"/>
    <w:rsid w:val="00995992"/>
    <w:rsid w:val="009A03E5"/>
    <w:rsid w:val="009A0F3B"/>
    <w:rsid w:val="009A1236"/>
    <w:rsid w:val="009A1BB4"/>
    <w:rsid w:val="009A2628"/>
    <w:rsid w:val="009A3200"/>
    <w:rsid w:val="009A3960"/>
    <w:rsid w:val="009B0897"/>
    <w:rsid w:val="009B7BD9"/>
    <w:rsid w:val="009C545A"/>
    <w:rsid w:val="009C7DD5"/>
    <w:rsid w:val="009D0A5C"/>
    <w:rsid w:val="009E227D"/>
    <w:rsid w:val="009E5019"/>
    <w:rsid w:val="009E5AF2"/>
    <w:rsid w:val="00A04F1B"/>
    <w:rsid w:val="00A0501B"/>
    <w:rsid w:val="00A14947"/>
    <w:rsid w:val="00A20ED3"/>
    <w:rsid w:val="00A32A83"/>
    <w:rsid w:val="00A368DB"/>
    <w:rsid w:val="00A423AA"/>
    <w:rsid w:val="00A461F8"/>
    <w:rsid w:val="00A50096"/>
    <w:rsid w:val="00A532E7"/>
    <w:rsid w:val="00A53EC6"/>
    <w:rsid w:val="00A55C0F"/>
    <w:rsid w:val="00A7593C"/>
    <w:rsid w:val="00A825F0"/>
    <w:rsid w:val="00A82885"/>
    <w:rsid w:val="00A8713F"/>
    <w:rsid w:val="00A90BA1"/>
    <w:rsid w:val="00A90F36"/>
    <w:rsid w:val="00A915B1"/>
    <w:rsid w:val="00A97A9A"/>
    <w:rsid w:val="00AA0671"/>
    <w:rsid w:val="00AA2531"/>
    <w:rsid w:val="00AB1CA4"/>
    <w:rsid w:val="00AB1E09"/>
    <w:rsid w:val="00AB5330"/>
    <w:rsid w:val="00AB7747"/>
    <w:rsid w:val="00AC14CE"/>
    <w:rsid w:val="00AC2A56"/>
    <w:rsid w:val="00AD055E"/>
    <w:rsid w:val="00AD47A7"/>
    <w:rsid w:val="00AD5995"/>
    <w:rsid w:val="00AD7A2D"/>
    <w:rsid w:val="00AF0CBF"/>
    <w:rsid w:val="00AF1644"/>
    <w:rsid w:val="00AF257F"/>
    <w:rsid w:val="00AF33CF"/>
    <w:rsid w:val="00AF44A6"/>
    <w:rsid w:val="00AF4D50"/>
    <w:rsid w:val="00AF6179"/>
    <w:rsid w:val="00B1295A"/>
    <w:rsid w:val="00B20A45"/>
    <w:rsid w:val="00B22C5C"/>
    <w:rsid w:val="00B23E82"/>
    <w:rsid w:val="00B24F30"/>
    <w:rsid w:val="00B31ABF"/>
    <w:rsid w:val="00B31C1C"/>
    <w:rsid w:val="00B32D60"/>
    <w:rsid w:val="00B33BE3"/>
    <w:rsid w:val="00B34C0D"/>
    <w:rsid w:val="00B36555"/>
    <w:rsid w:val="00B53B5D"/>
    <w:rsid w:val="00B573C5"/>
    <w:rsid w:val="00B6055E"/>
    <w:rsid w:val="00B62E80"/>
    <w:rsid w:val="00B6317D"/>
    <w:rsid w:val="00B63428"/>
    <w:rsid w:val="00B634CD"/>
    <w:rsid w:val="00B65E38"/>
    <w:rsid w:val="00B7723F"/>
    <w:rsid w:val="00B80534"/>
    <w:rsid w:val="00B812A7"/>
    <w:rsid w:val="00B8433C"/>
    <w:rsid w:val="00B87491"/>
    <w:rsid w:val="00BA153D"/>
    <w:rsid w:val="00BA29E9"/>
    <w:rsid w:val="00BA7142"/>
    <w:rsid w:val="00BB237C"/>
    <w:rsid w:val="00BB379B"/>
    <w:rsid w:val="00BB41A3"/>
    <w:rsid w:val="00BC1D38"/>
    <w:rsid w:val="00BC241B"/>
    <w:rsid w:val="00BC278D"/>
    <w:rsid w:val="00BC32DC"/>
    <w:rsid w:val="00BC35B6"/>
    <w:rsid w:val="00BC7887"/>
    <w:rsid w:val="00BD1B51"/>
    <w:rsid w:val="00BD4596"/>
    <w:rsid w:val="00BD4F6E"/>
    <w:rsid w:val="00BE1405"/>
    <w:rsid w:val="00BE2763"/>
    <w:rsid w:val="00BE312D"/>
    <w:rsid w:val="00BE62D2"/>
    <w:rsid w:val="00BE729E"/>
    <w:rsid w:val="00BF1C20"/>
    <w:rsid w:val="00C10578"/>
    <w:rsid w:val="00C135BC"/>
    <w:rsid w:val="00C15C95"/>
    <w:rsid w:val="00C2596A"/>
    <w:rsid w:val="00C27537"/>
    <w:rsid w:val="00C328FE"/>
    <w:rsid w:val="00C33507"/>
    <w:rsid w:val="00C4409D"/>
    <w:rsid w:val="00C44E72"/>
    <w:rsid w:val="00C45A06"/>
    <w:rsid w:val="00C46C5D"/>
    <w:rsid w:val="00C47E5B"/>
    <w:rsid w:val="00C545B2"/>
    <w:rsid w:val="00C61E4B"/>
    <w:rsid w:val="00C64BFF"/>
    <w:rsid w:val="00C704E9"/>
    <w:rsid w:val="00C719B3"/>
    <w:rsid w:val="00C71EC1"/>
    <w:rsid w:val="00C763C9"/>
    <w:rsid w:val="00C80057"/>
    <w:rsid w:val="00C82232"/>
    <w:rsid w:val="00C82913"/>
    <w:rsid w:val="00C82AC3"/>
    <w:rsid w:val="00C93A28"/>
    <w:rsid w:val="00C9425C"/>
    <w:rsid w:val="00C95BE6"/>
    <w:rsid w:val="00C972B1"/>
    <w:rsid w:val="00CA2CCE"/>
    <w:rsid w:val="00CA3CCE"/>
    <w:rsid w:val="00CA43FD"/>
    <w:rsid w:val="00CA7EF8"/>
    <w:rsid w:val="00CB0781"/>
    <w:rsid w:val="00CC489B"/>
    <w:rsid w:val="00CD2BCD"/>
    <w:rsid w:val="00CD3A4C"/>
    <w:rsid w:val="00CE1025"/>
    <w:rsid w:val="00CE10E9"/>
    <w:rsid w:val="00CE2910"/>
    <w:rsid w:val="00CE3A31"/>
    <w:rsid w:val="00CE4B93"/>
    <w:rsid w:val="00CE5393"/>
    <w:rsid w:val="00CE7E92"/>
    <w:rsid w:val="00CF1144"/>
    <w:rsid w:val="00CF36BE"/>
    <w:rsid w:val="00CF6000"/>
    <w:rsid w:val="00D003F3"/>
    <w:rsid w:val="00D0364F"/>
    <w:rsid w:val="00D06834"/>
    <w:rsid w:val="00D15B53"/>
    <w:rsid w:val="00D21E78"/>
    <w:rsid w:val="00D308ED"/>
    <w:rsid w:val="00D34F9F"/>
    <w:rsid w:val="00D35842"/>
    <w:rsid w:val="00D36D86"/>
    <w:rsid w:val="00D428AA"/>
    <w:rsid w:val="00D466DC"/>
    <w:rsid w:val="00D50A34"/>
    <w:rsid w:val="00D53EFA"/>
    <w:rsid w:val="00D94A7C"/>
    <w:rsid w:val="00D95896"/>
    <w:rsid w:val="00DA4D54"/>
    <w:rsid w:val="00DB2983"/>
    <w:rsid w:val="00DB4634"/>
    <w:rsid w:val="00DB73D6"/>
    <w:rsid w:val="00DC1257"/>
    <w:rsid w:val="00DC3DC0"/>
    <w:rsid w:val="00DC58F2"/>
    <w:rsid w:val="00DC5B2B"/>
    <w:rsid w:val="00DC690C"/>
    <w:rsid w:val="00DD318D"/>
    <w:rsid w:val="00DD3354"/>
    <w:rsid w:val="00DD3AB8"/>
    <w:rsid w:val="00DE2963"/>
    <w:rsid w:val="00DF07EF"/>
    <w:rsid w:val="00DF1DFD"/>
    <w:rsid w:val="00DF2E12"/>
    <w:rsid w:val="00DF514A"/>
    <w:rsid w:val="00DF6690"/>
    <w:rsid w:val="00DF6804"/>
    <w:rsid w:val="00E0358D"/>
    <w:rsid w:val="00E04323"/>
    <w:rsid w:val="00E070A2"/>
    <w:rsid w:val="00E13F53"/>
    <w:rsid w:val="00E21197"/>
    <w:rsid w:val="00E22CA4"/>
    <w:rsid w:val="00E2656A"/>
    <w:rsid w:val="00E34A20"/>
    <w:rsid w:val="00E412D0"/>
    <w:rsid w:val="00E42B98"/>
    <w:rsid w:val="00E455DE"/>
    <w:rsid w:val="00E52552"/>
    <w:rsid w:val="00E5411F"/>
    <w:rsid w:val="00E56322"/>
    <w:rsid w:val="00E60982"/>
    <w:rsid w:val="00E62C62"/>
    <w:rsid w:val="00E654C1"/>
    <w:rsid w:val="00E65D97"/>
    <w:rsid w:val="00E72A5A"/>
    <w:rsid w:val="00E73354"/>
    <w:rsid w:val="00E823D6"/>
    <w:rsid w:val="00E86AF8"/>
    <w:rsid w:val="00E9242D"/>
    <w:rsid w:val="00E943C9"/>
    <w:rsid w:val="00E95B35"/>
    <w:rsid w:val="00EA37B7"/>
    <w:rsid w:val="00EB3263"/>
    <w:rsid w:val="00EB5255"/>
    <w:rsid w:val="00EB5C47"/>
    <w:rsid w:val="00EB5F8D"/>
    <w:rsid w:val="00EC06B3"/>
    <w:rsid w:val="00EC4E7F"/>
    <w:rsid w:val="00EC527B"/>
    <w:rsid w:val="00ED0639"/>
    <w:rsid w:val="00ED0CE1"/>
    <w:rsid w:val="00ED57F5"/>
    <w:rsid w:val="00EF4755"/>
    <w:rsid w:val="00EF59C5"/>
    <w:rsid w:val="00EF7135"/>
    <w:rsid w:val="00F027DB"/>
    <w:rsid w:val="00F11AEE"/>
    <w:rsid w:val="00F14A7A"/>
    <w:rsid w:val="00F22985"/>
    <w:rsid w:val="00F249C1"/>
    <w:rsid w:val="00F3383E"/>
    <w:rsid w:val="00F465A7"/>
    <w:rsid w:val="00F46CC8"/>
    <w:rsid w:val="00F50B7C"/>
    <w:rsid w:val="00F516F8"/>
    <w:rsid w:val="00F550E6"/>
    <w:rsid w:val="00F64056"/>
    <w:rsid w:val="00F73807"/>
    <w:rsid w:val="00F74345"/>
    <w:rsid w:val="00F80079"/>
    <w:rsid w:val="00F80A0A"/>
    <w:rsid w:val="00F810FE"/>
    <w:rsid w:val="00F82B19"/>
    <w:rsid w:val="00F83892"/>
    <w:rsid w:val="00F9212D"/>
    <w:rsid w:val="00F965DA"/>
    <w:rsid w:val="00F97C1C"/>
    <w:rsid w:val="00FA406A"/>
    <w:rsid w:val="00FB503A"/>
    <w:rsid w:val="00FB516C"/>
    <w:rsid w:val="00FB697D"/>
    <w:rsid w:val="00FB785A"/>
    <w:rsid w:val="00FC0F25"/>
    <w:rsid w:val="00FC3D18"/>
    <w:rsid w:val="00FD0236"/>
    <w:rsid w:val="00FD18F4"/>
    <w:rsid w:val="00FD2C0A"/>
    <w:rsid w:val="00FD54DB"/>
    <w:rsid w:val="00FD619F"/>
    <w:rsid w:val="01290F7E"/>
    <w:rsid w:val="015D1E09"/>
    <w:rsid w:val="0227615F"/>
    <w:rsid w:val="02697903"/>
    <w:rsid w:val="0273010D"/>
    <w:rsid w:val="02AC64AC"/>
    <w:rsid w:val="02AF51A8"/>
    <w:rsid w:val="02D6378A"/>
    <w:rsid w:val="02F96569"/>
    <w:rsid w:val="03EA7B21"/>
    <w:rsid w:val="03FC50A1"/>
    <w:rsid w:val="05F83EAE"/>
    <w:rsid w:val="061D6FB1"/>
    <w:rsid w:val="063E7D85"/>
    <w:rsid w:val="068A1AD6"/>
    <w:rsid w:val="07293586"/>
    <w:rsid w:val="07295285"/>
    <w:rsid w:val="07636392"/>
    <w:rsid w:val="07770C56"/>
    <w:rsid w:val="07CF36E1"/>
    <w:rsid w:val="082876E7"/>
    <w:rsid w:val="092217DD"/>
    <w:rsid w:val="093A7294"/>
    <w:rsid w:val="0A263993"/>
    <w:rsid w:val="0A2D3AC2"/>
    <w:rsid w:val="0AA755DF"/>
    <w:rsid w:val="0B120D44"/>
    <w:rsid w:val="0B831B8D"/>
    <w:rsid w:val="0BBA1F9A"/>
    <w:rsid w:val="0BD27BF6"/>
    <w:rsid w:val="0C1100AF"/>
    <w:rsid w:val="0C3B3C7D"/>
    <w:rsid w:val="0CAB2EAE"/>
    <w:rsid w:val="0D621C7D"/>
    <w:rsid w:val="0DB57F1F"/>
    <w:rsid w:val="0DBD76B4"/>
    <w:rsid w:val="0E73034D"/>
    <w:rsid w:val="0E822C5E"/>
    <w:rsid w:val="0F13775A"/>
    <w:rsid w:val="0F2258CB"/>
    <w:rsid w:val="0F5F45FE"/>
    <w:rsid w:val="0F755B20"/>
    <w:rsid w:val="0F9A112B"/>
    <w:rsid w:val="106D2F64"/>
    <w:rsid w:val="10B63710"/>
    <w:rsid w:val="10F10820"/>
    <w:rsid w:val="111C2F7A"/>
    <w:rsid w:val="11665CA1"/>
    <w:rsid w:val="11B5150B"/>
    <w:rsid w:val="12BF7F5C"/>
    <w:rsid w:val="13951726"/>
    <w:rsid w:val="141B444C"/>
    <w:rsid w:val="14396509"/>
    <w:rsid w:val="14DD2C3C"/>
    <w:rsid w:val="16087E1D"/>
    <w:rsid w:val="166B5873"/>
    <w:rsid w:val="16B26CC9"/>
    <w:rsid w:val="17701D14"/>
    <w:rsid w:val="17735226"/>
    <w:rsid w:val="17EB0ED1"/>
    <w:rsid w:val="1857037A"/>
    <w:rsid w:val="187B11EB"/>
    <w:rsid w:val="18842876"/>
    <w:rsid w:val="189F624C"/>
    <w:rsid w:val="1A073F9B"/>
    <w:rsid w:val="1A1C66C0"/>
    <w:rsid w:val="1A3F3AFA"/>
    <w:rsid w:val="1A42393B"/>
    <w:rsid w:val="1AAD45DE"/>
    <w:rsid w:val="1AC83C88"/>
    <w:rsid w:val="1B046F80"/>
    <w:rsid w:val="1B3267B5"/>
    <w:rsid w:val="1B40161D"/>
    <w:rsid w:val="1B441859"/>
    <w:rsid w:val="1B6606B1"/>
    <w:rsid w:val="1BDD6D27"/>
    <w:rsid w:val="1C5E7925"/>
    <w:rsid w:val="1CA9416A"/>
    <w:rsid w:val="1CFD070F"/>
    <w:rsid w:val="1D04432C"/>
    <w:rsid w:val="1D5F6196"/>
    <w:rsid w:val="1D6132A5"/>
    <w:rsid w:val="1D7B2840"/>
    <w:rsid w:val="1D8E56D5"/>
    <w:rsid w:val="1DE56272"/>
    <w:rsid w:val="1E4D6255"/>
    <w:rsid w:val="1E6E4E54"/>
    <w:rsid w:val="1E7A43DA"/>
    <w:rsid w:val="1F805530"/>
    <w:rsid w:val="1FE7539E"/>
    <w:rsid w:val="20671BE0"/>
    <w:rsid w:val="20963CB8"/>
    <w:rsid w:val="20A81A1B"/>
    <w:rsid w:val="20B07FB6"/>
    <w:rsid w:val="20B646FB"/>
    <w:rsid w:val="213B74B1"/>
    <w:rsid w:val="215A2310"/>
    <w:rsid w:val="21DE318A"/>
    <w:rsid w:val="21EF5B80"/>
    <w:rsid w:val="22576990"/>
    <w:rsid w:val="22F47480"/>
    <w:rsid w:val="230A08D7"/>
    <w:rsid w:val="23366293"/>
    <w:rsid w:val="23DE1C48"/>
    <w:rsid w:val="240210CD"/>
    <w:rsid w:val="24BF09F7"/>
    <w:rsid w:val="24C85C3F"/>
    <w:rsid w:val="252D53FE"/>
    <w:rsid w:val="25EC2D81"/>
    <w:rsid w:val="26FE765A"/>
    <w:rsid w:val="277057A2"/>
    <w:rsid w:val="277E4D61"/>
    <w:rsid w:val="278D10E5"/>
    <w:rsid w:val="27D420CD"/>
    <w:rsid w:val="280209BE"/>
    <w:rsid w:val="29206EB8"/>
    <w:rsid w:val="293E5811"/>
    <w:rsid w:val="29595666"/>
    <w:rsid w:val="29874881"/>
    <w:rsid w:val="29E325E0"/>
    <w:rsid w:val="2A07699D"/>
    <w:rsid w:val="2A452503"/>
    <w:rsid w:val="2A550435"/>
    <w:rsid w:val="2AD0263B"/>
    <w:rsid w:val="2AE21389"/>
    <w:rsid w:val="2AF320B0"/>
    <w:rsid w:val="2BA936A8"/>
    <w:rsid w:val="2BAB0065"/>
    <w:rsid w:val="2C007F2A"/>
    <w:rsid w:val="2C315A5A"/>
    <w:rsid w:val="2C4B1C25"/>
    <w:rsid w:val="2CC46845"/>
    <w:rsid w:val="2D9E56F5"/>
    <w:rsid w:val="2DAA3588"/>
    <w:rsid w:val="2E667F96"/>
    <w:rsid w:val="2E69730E"/>
    <w:rsid w:val="2E8226AB"/>
    <w:rsid w:val="2FD065E6"/>
    <w:rsid w:val="2FD96870"/>
    <w:rsid w:val="30452D4B"/>
    <w:rsid w:val="30580BC9"/>
    <w:rsid w:val="30FC6599"/>
    <w:rsid w:val="311E2ED7"/>
    <w:rsid w:val="315619EE"/>
    <w:rsid w:val="315C449C"/>
    <w:rsid w:val="31B82709"/>
    <w:rsid w:val="31D05482"/>
    <w:rsid w:val="31E54ACC"/>
    <w:rsid w:val="32110F43"/>
    <w:rsid w:val="32400B34"/>
    <w:rsid w:val="329E6876"/>
    <w:rsid w:val="33216A1E"/>
    <w:rsid w:val="333015F2"/>
    <w:rsid w:val="334B6320"/>
    <w:rsid w:val="33D934D4"/>
    <w:rsid w:val="33FE2F6A"/>
    <w:rsid w:val="340E07E5"/>
    <w:rsid w:val="34235BF7"/>
    <w:rsid w:val="358C5FA8"/>
    <w:rsid w:val="35BA60CE"/>
    <w:rsid w:val="35C15DF1"/>
    <w:rsid w:val="36074A7F"/>
    <w:rsid w:val="369172C7"/>
    <w:rsid w:val="36923549"/>
    <w:rsid w:val="36B75FBF"/>
    <w:rsid w:val="36BD0C45"/>
    <w:rsid w:val="377E2C0B"/>
    <w:rsid w:val="37E00298"/>
    <w:rsid w:val="38A15D2D"/>
    <w:rsid w:val="38B302F9"/>
    <w:rsid w:val="38F12CD3"/>
    <w:rsid w:val="38F94775"/>
    <w:rsid w:val="392971ED"/>
    <w:rsid w:val="39325651"/>
    <w:rsid w:val="396B43E9"/>
    <w:rsid w:val="396E3C80"/>
    <w:rsid w:val="39CE564E"/>
    <w:rsid w:val="3A2B2BBE"/>
    <w:rsid w:val="3A635E2C"/>
    <w:rsid w:val="3A872856"/>
    <w:rsid w:val="3ABC761A"/>
    <w:rsid w:val="3B3763D1"/>
    <w:rsid w:val="3C2F6E1E"/>
    <w:rsid w:val="3C4E2A76"/>
    <w:rsid w:val="3C4F64BA"/>
    <w:rsid w:val="3C5E48D5"/>
    <w:rsid w:val="3CC74AED"/>
    <w:rsid w:val="3CDA245A"/>
    <w:rsid w:val="3D065198"/>
    <w:rsid w:val="3D1E06B7"/>
    <w:rsid w:val="3EDA0523"/>
    <w:rsid w:val="3F214BB6"/>
    <w:rsid w:val="3FA85988"/>
    <w:rsid w:val="3FC9407F"/>
    <w:rsid w:val="407A6407"/>
    <w:rsid w:val="411F101E"/>
    <w:rsid w:val="4200449D"/>
    <w:rsid w:val="4239422E"/>
    <w:rsid w:val="423A3BCC"/>
    <w:rsid w:val="424E57D2"/>
    <w:rsid w:val="42B26C49"/>
    <w:rsid w:val="42B82A09"/>
    <w:rsid w:val="433A6FE6"/>
    <w:rsid w:val="43480868"/>
    <w:rsid w:val="4350713C"/>
    <w:rsid w:val="436653E0"/>
    <w:rsid w:val="43BD35F1"/>
    <w:rsid w:val="43C4431A"/>
    <w:rsid w:val="44B951CC"/>
    <w:rsid w:val="44CD14E0"/>
    <w:rsid w:val="44F20B0B"/>
    <w:rsid w:val="450014D3"/>
    <w:rsid w:val="451E1398"/>
    <w:rsid w:val="452E5F4C"/>
    <w:rsid w:val="45612018"/>
    <w:rsid w:val="458946E9"/>
    <w:rsid w:val="45A47C0E"/>
    <w:rsid w:val="46577FD6"/>
    <w:rsid w:val="46C362E2"/>
    <w:rsid w:val="46D14FA4"/>
    <w:rsid w:val="46D955A7"/>
    <w:rsid w:val="47133957"/>
    <w:rsid w:val="47A07E0C"/>
    <w:rsid w:val="47C56BFB"/>
    <w:rsid w:val="48141018"/>
    <w:rsid w:val="4870272E"/>
    <w:rsid w:val="489D7438"/>
    <w:rsid w:val="48A75B4F"/>
    <w:rsid w:val="48FE2EEB"/>
    <w:rsid w:val="49DC7715"/>
    <w:rsid w:val="49F70BF1"/>
    <w:rsid w:val="4A023139"/>
    <w:rsid w:val="4A7B576F"/>
    <w:rsid w:val="4ADB7BCB"/>
    <w:rsid w:val="4AF5280D"/>
    <w:rsid w:val="4AF561A9"/>
    <w:rsid w:val="4B090628"/>
    <w:rsid w:val="4C220819"/>
    <w:rsid w:val="4C4A0649"/>
    <w:rsid w:val="4C7E5ECA"/>
    <w:rsid w:val="4C876AA5"/>
    <w:rsid w:val="4CB4130A"/>
    <w:rsid w:val="4CC50B32"/>
    <w:rsid w:val="4D0E00FB"/>
    <w:rsid w:val="4D176606"/>
    <w:rsid w:val="4D5E62D2"/>
    <w:rsid w:val="4DEC4FB0"/>
    <w:rsid w:val="4E075D8A"/>
    <w:rsid w:val="4EC00FAD"/>
    <w:rsid w:val="4F9843DC"/>
    <w:rsid w:val="4FC62A8C"/>
    <w:rsid w:val="4FE20F0D"/>
    <w:rsid w:val="4FE51552"/>
    <w:rsid w:val="50504C4B"/>
    <w:rsid w:val="509C6E7C"/>
    <w:rsid w:val="514A39EB"/>
    <w:rsid w:val="5162104E"/>
    <w:rsid w:val="51C063C2"/>
    <w:rsid w:val="524D5852"/>
    <w:rsid w:val="53573338"/>
    <w:rsid w:val="53A039CC"/>
    <w:rsid w:val="53A1505A"/>
    <w:rsid w:val="54063E08"/>
    <w:rsid w:val="540C2E89"/>
    <w:rsid w:val="543437E8"/>
    <w:rsid w:val="543C2E0F"/>
    <w:rsid w:val="54F73313"/>
    <w:rsid w:val="54F80955"/>
    <w:rsid w:val="555170A7"/>
    <w:rsid w:val="5587536D"/>
    <w:rsid w:val="559B174B"/>
    <w:rsid w:val="55CE0CF4"/>
    <w:rsid w:val="5610036F"/>
    <w:rsid w:val="56B22A9C"/>
    <w:rsid w:val="56DE116E"/>
    <w:rsid w:val="57B72A76"/>
    <w:rsid w:val="57C3426C"/>
    <w:rsid w:val="57CE1F93"/>
    <w:rsid w:val="588743D1"/>
    <w:rsid w:val="5887701A"/>
    <w:rsid w:val="59BC4087"/>
    <w:rsid w:val="59C0439F"/>
    <w:rsid w:val="5A5744B5"/>
    <w:rsid w:val="5ABE2233"/>
    <w:rsid w:val="5B1F3B54"/>
    <w:rsid w:val="5BCF2CD6"/>
    <w:rsid w:val="5BDF5D95"/>
    <w:rsid w:val="5BFE7528"/>
    <w:rsid w:val="5C277E2E"/>
    <w:rsid w:val="5D8B1D67"/>
    <w:rsid w:val="5E2467F1"/>
    <w:rsid w:val="5E277C6F"/>
    <w:rsid w:val="5F1A2B43"/>
    <w:rsid w:val="5FB837BB"/>
    <w:rsid w:val="5FC8172B"/>
    <w:rsid w:val="5FD84F4A"/>
    <w:rsid w:val="60CC405A"/>
    <w:rsid w:val="617C1CB0"/>
    <w:rsid w:val="61E215D8"/>
    <w:rsid w:val="621B3775"/>
    <w:rsid w:val="62364782"/>
    <w:rsid w:val="62B2724B"/>
    <w:rsid w:val="62FA4B53"/>
    <w:rsid w:val="6394356A"/>
    <w:rsid w:val="63C61B2C"/>
    <w:rsid w:val="63D40BE9"/>
    <w:rsid w:val="64102431"/>
    <w:rsid w:val="64913B23"/>
    <w:rsid w:val="64A5243A"/>
    <w:rsid w:val="64B465B0"/>
    <w:rsid w:val="64F531DE"/>
    <w:rsid w:val="65373578"/>
    <w:rsid w:val="66F916AD"/>
    <w:rsid w:val="671F124A"/>
    <w:rsid w:val="677A33C6"/>
    <w:rsid w:val="678F0E96"/>
    <w:rsid w:val="68036CDC"/>
    <w:rsid w:val="681F6961"/>
    <w:rsid w:val="68584C2C"/>
    <w:rsid w:val="68610A2F"/>
    <w:rsid w:val="68805514"/>
    <w:rsid w:val="69316E2F"/>
    <w:rsid w:val="694E2071"/>
    <w:rsid w:val="69766163"/>
    <w:rsid w:val="697A3B33"/>
    <w:rsid w:val="69982793"/>
    <w:rsid w:val="699D4B74"/>
    <w:rsid w:val="69D44760"/>
    <w:rsid w:val="6A520EC7"/>
    <w:rsid w:val="6AC85D41"/>
    <w:rsid w:val="6AF87E20"/>
    <w:rsid w:val="6B322639"/>
    <w:rsid w:val="6BF92A4A"/>
    <w:rsid w:val="6C636C38"/>
    <w:rsid w:val="6CD218F8"/>
    <w:rsid w:val="6D7F744B"/>
    <w:rsid w:val="6DB34098"/>
    <w:rsid w:val="6DB545B6"/>
    <w:rsid w:val="6DE02FB4"/>
    <w:rsid w:val="6E060CD4"/>
    <w:rsid w:val="6E4444F8"/>
    <w:rsid w:val="6E514CED"/>
    <w:rsid w:val="6EB563D5"/>
    <w:rsid w:val="6ED92677"/>
    <w:rsid w:val="6F0370E6"/>
    <w:rsid w:val="6F225983"/>
    <w:rsid w:val="6FFC5590"/>
    <w:rsid w:val="706D1DD0"/>
    <w:rsid w:val="70856B87"/>
    <w:rsid w:val="70D527EE"/>
    <w:rsid w:val="715B5300"/>
    <w:rsid w:val="716F6E8A"/>
    <w:rsid w:val="71D27F8A"/>
    <w:rsid w:val="720F4B35"/>
    <w:rsid w:val="72553024"/>
    <w:rsid w:val="72952BD1"/>
    <w:rsid w:val="72C35905"/>
    <w:rsid w:val="73122968"/>
    <w:rsid w:val="731F5D5E"/>
    <w:rsid w:val="73270009"/>
    <w:rsid w:val="73C51AD5"/>
    <w:rsid w:val="741E793C"/>
    <w:rsid w:val="745E3944"/>
    <w:rsid w:val="74F44B05"/>
    <w:rsid w:val="75BF2994"/>
    <w:rsid w:val="7635099D"/>
    <w:rsid w:val="764C13E6"/>
    <w:rsid w:val="77762421"/>
    <w:rsid w:val="77B56B1F"/>
    <w:rsid w:val="780F09F4"/>
    <w:rsid w:val="7879264D"/>
    <w:rsid w:val="78885F97"/>
    <w:rsid w:val="78A90480"/>
    <w:rsid w:val="79CD4766"/>
    <w:rsid w:val="7A364017"/>
    <w:rsid w:val="7A8265E1"/>
    <w:rsid w:val="7B686D42"/>
    <w:rsid w:val="7B841746"/>
    <w:rsid w:val="7BAA7A9A"/>
    <w:rsid w:val="7C6C5AC7"/>
    <w:rsid w:val="7CAF6D98"/>
    <w:rsid w:val="7CB8459B"/>
    <w:rsid w:val="7CBF1238"/>
    <w:rsid w:val="7CC6544B"/>
    <w:rsid w:val="7CCD2F25"/>
    <w:rsid w:val="7D0239FF"/>
    <w:rsid w:val="7D5E40CD"/>
    <w:rsid w:val="7DCD56F2"/>
    <w:rsid w:val="7F001CE7"/>
    <w:rsid w:val="7FDF0FB8"/>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0" w:semiHidden="0" w:name="toc 1" w:locked="1"/>
    <w:lsdException w:qFormat="1" w:unhideWhenUsed="0" w:uiPriority="0" w:semiHidden="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0" w:semiHidden="0" w:name="Normal Indent" w:locked="1"/>
    <w:lsdException w:uiPriority="0" w:name="footnote text" w:locked="1"/>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ocked="1"/>
    <w:lsdException w:qFormat="1" w:unhideWhenUsed="0" w:uiPriority="0" w:semiHidden="0"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semiHidden="0" w:name="annotation reference"/>
    <w:lsdException w:uiPriority="0" w:name="line number" w:locked="1"/>
    <w:lsdException w:qFormat="1" w:unhideWhenUsed="0" w:uiPriority="0" w:semiHidden="0" w:name="page number" w:locked="1"/>
    <w:lsdException w:uiPriority="0" w:name="endnote reference" w:locked="1"/>
    <w:lsdException w:uiPriority="0" w:name="endnote text" w:locked="1"/>
    <w:lsdException w:unhideWhenUsed="0" w:uiPriority="0" w:semiHidden="0" w:name="table of authorities" w:locked="1"/>
    <w:lsdException w:uiPriority="0" w:name="macro" w:locked="1"/>
    <w:lsdException w:qFormat="1" w:unhideWhenUsed="0" w:uiPriority="0" w:name="toa heading" w:locked="1"/>
    <w:lsdException w:qFormat="1" w:unhideWhenUsed="0" w:uiPriority="0" w:semiHidden="0" w:name="List" w:locked="1"/>
    <w:lsdException w:unhideWhenUsed="0" w:uiPriority="0" w:semiHidden="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qFormat="1" w:uiPriority="0" w:semiHidden="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0" w:semiHidden="0" w:name="Subtitle" w:locked="1"/>
    <w:lsdException w:uiPriority="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iPriority="0"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uiPriority="0" w:name="Block Text" w:locked="1"/>
    <w:lsdException w:qFormat="1" w:unhideWhenUsed="0" w:uiPriority="99" w:semiHidden="0" w:name="Hyperlink" w:locked="1"/>
    <w:lsdException w:qFormat="1" w:uiPriority="0" w:semiHidden="0" w:name="FollowedHyperlink" w:locked="1"/>
    <w:lsdException w:qFormat="1" w:unhideWhenUsed="0" w:uiPriority="22" w:semiHidden="0" w:name="Strong" w:locked="1"/>
    <w:lsdException w:qFormat="1" w:unhideWhenUsed="0" w:uiPriority="20" w:semiHidden="0" w:name="Emphasis" w:locked="1"/>
    <w:lsdException w:qFormat="1" w:unhideWhenUsed="0" w:uiPriority="0" w:semiHidden="0" w:name="Document Map" w:locked="1"/>
    <w:lsdException w:uiPriority="0" w:name="Plain Text" w:locked="1"/>
    <w:lsdException w:uiPriority="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qFormat="1" w:unhideWhenUsed="0" w:uiPriority="0" w:semiHidden="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sdException w:qFormat="1" w:unhideWhenUsed="0" w:uiPriority="39" w:semiHidden="0" w:name="Table Grid"/>
    <w:lsdException w:uiPriority="0" w:name="Table Theme" w:locked="1"/>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locked/>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2"/>
    <w:basedOn w:val="1"/>
    <w:next w:val="1"/>
    <w:link w:val="45"/>
    <w:qFormat/>
    <w:locked/>
    <w:uiPriority w:val="0"/>
    <w:pPr>
      <w:keepNext/>
      <w:keepLines/>
      <w:spacing w:before="260" w:after="260" w:line="416" w:lineRule="auto"/>
      <w:outlineLvl w:val="1"/>
    </w:pPr>
    <w:rPr>
      <w:rFonts w:eastAsia="仿宋_GB2312"/>
      <w:b/>
      <w:bCs/>
      <w:sz w:val="28"/>
      <w:szCs w:val="32"/>
    </w:rPr>
  </w:style>
  <w:style w:type="paragraph" w:styleId="6">
    <w:name w:val="heading 3"/>
    <w:basedOn w:val="1"/>
    <w:next w:val="1"/>
    <w:link w:val="46"/>
    <w:qFormat/>
    <w:locked/>
    <w:uiPriority w:val="0"/>
    <w:pPr>
      <w:keepNext/>
      <w:keepLines/>
      <w:spacing w:before="260" w:after="260" w:line="416" w:lineRule="auto"/>
      <w:outlineLvl w:val="2"/>
    </w:pPr>
    <w:rPr>
      <w:b/>
      <w:bCs/>
      <w:sz w:val="32"/>
      <w:szCs w:val="32"/>
    </w:rPr>
  </w:style>
  <w:style w:type="paragraph" w:styleId="7">
    <w:name w:val="heading 4"/>
    <w:basedOn w:val="1"/>
    <w:next w:val="1"/>
    <w:link w:val="47"/>
    <w:qFormat/>
    <w:locked/>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48"/>
    <w:qFormat/>
    <w:locked/>
    <w:uiPriority w:val="0"/>
    <w:pPr>
      <w:keepNext/>
      <w:keepLines/>
      <w:spacing w:before="280" w:after="290" w:line="376" w:lineRule="auto"/>
      <w:outlineLvl w:val="4"/>
    </w:pPr>
    <w:rPr>
      <w:b/>
      <w:bCs/>
      <w:sz w:val="28"/>
      <w:szCs w:val="28"/>
    </w:rPr>
  </w:style>
  <w:style w:type="paragraph" w:styleId="9">
    <w:name w:val="heading 6"/>
    <w:basedOn w:val="1"/>
    <w:next w:val="1"/>
    <w:link w:val="49"/>
    <w:qFormat/>
    <w:locked/>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50"/>
    <w:qFormat/>
    <w:locked/>
    <w:uiPriority w:val="0"/>
    <w:pPr>
      <w:keepNext/>
      <w:keepLines/>
      <w:spacing w:before="240" w:after="64" w:line="320" w:lineRule="auto"/>
      <w:outlineLvl w:val="6"/>
    </w:pPr>
    <w:rPr>
      <w:b/>
      <w:bCs/>
      <w:sz w:val="24"/>
    </w:rPr>
  </w:style>
  <w:style w:type="paragraph" w:styleId="11">
    <w:name w:val="heading 8"/>
    <w:basedOn w:val="1"/>
    <w:next w:val="1"/>
    <w:link w:val="51"/>
    <w:qFormat/>
    <w:locked/>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52"/>
    <w:qFormat/>
    <w:locked/>
    <w:uiPriority w:val="0"/>
    <w:pPr>
      <w:keepNext/>
      <w:keepLines/>
      <w:spacing w:before="240" w:after="64" w:line="320" w:lineRule="auto"/>
      <w:outlineLvl w:val="8"/>
    </w:pPr>
    <w:rPr>
      <w:rFonts w:ascii="Arial" w:hAnsi="Arial" w:eastAsia="黑体"/>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8"/>
    <w:qFormat/>
    <w:uiPriority w:val="0"/>
    <w:pPr>
      <w:widowControl/>
      <w:snapToGrid w:val="0"/>
      <w:spacing w:before="60" w:after="160" w:line="259" w:lineRule="auto"/>
      <w:ind w:right="113"/>
    </w:pPr>
    <w:rPr>
      <w:kern w:val="0"/>
      <w:sz w:val="18"/>
      <w:szCs w:val="20"/>
    </w:rPr>
  </w:style>
  <w:style w:type="paragraph" w:styleId="3">
    <w:name w:val="List Bullet 5"/>
    <w:basedOn w:val="1"/>
    <w:unhideWhenUsed/>
    <w:qFormat/>
    <w:locked/>
    <w:uiPriority w:val="0"/>
    <w:pPr>
      <w:numPr>
        <w:ilvl w:val="0"/>
        <w:numId w:val="1"/>
      </w:numPr>
      <w:tabs>
        <w:tab w:val="left" w:pos="2040"/>
      </w:tabs>
    </w:pPr>
    <w:rPr>
      <w:szCs w:val="20"/>
    </w:rPr>
  </w:style>
  <w:style w:type="paragraph" w:styleId="13">
    <w:name w:val="Normal Indent"/>
    <w:basedOn w:val="1"/>
    <w:next w:val="14"/>
    <w:link w:val="79"/>
    <w:qFormat/>
    <w:locked/>
    <w:uiPriority w:val="0"/>
    <w:pPr>
      <w:ind w:firstLine="200" w:firstLineChars="200"/>
    </w:pPr>
    <w:rPr>
      <w:rFonts w:ascii="宋体" w:hAnsi="宋体" w:cs="Courier New"/>
      <w:sz w:val="28"/>
    </w:rPr>
  </w:style>
  <w:style w:type="paragraph" w:customStyle="1" w:styleId="14">
    <w:name w:val="正文首行缩进2个字 Char"/>
    <w:basedOn w:val="1"/>
    <w:qFormat/>
    <w:uiPriority w:val="0"/>
    <w:pPr>
      <w:ind w:firstLine="480" w:firstLineChars="200"/>
    </w:pPr>
    <w:rPr>
      <w:rFonts w:eastAsia="楷体"/>
      <w:sz w:val="24"/>
    </w:rPr>
  </w:style>
  <w:style w:type="paragraph" w:styleId="15">
    <w:name w:val="caption"/>
    <w:basedOn w:val="1"/>
    <w:next w:val="1"/>
    <w:qFormat/>
    <w:locked/>
    <w:uiPriority w:val="0"/>
    <w:rPr>
      <w:rFonts w:ascii="Arial" w:hAnsi="Arial" w:eastAsia="黑体" w:cs="Arial"/>
      <w:sz w:val="20"/>
      <w:szCs w:val="20"/>
    </w:rPr>
  </w:style>
  <w:style w:type="paragraph" w:styleId="16">
    <w:name w:val="Document Map"/>
    <w:basedOn w:val="1"/>
    <w:link w:val="80"/>
    <w:qFormat/>
    <w:locked/>
    <w:uiPriority w:val="0"/>
    <w:pPr>
      <w:shd w:val="clear" w:color="auto" w:fill="000080"/>
    </w:pPr>
    <w:rPr>
      <w:szCs w:val="20"/>
    </w:rPr>
  </w:style>
  <w:style w:type="paragraph" w:styleId="17">
    <w:name w:val="toa heading"/>
    <w:basedOn w:val="1"/>
    <w:next w:val="1"/>
    <w:semiHidden/>
    <w:qFormat/>
    <w:locked/>
    <w:uiPriority w:val="0"/>
    <w:pPr>
      <w:adjustRightInd w:val="0"/>
      <w:snapToGrid w:val="0"/>
      <w:spacing w:before="120" w:line="312" w:lineRule="auto"/>
    </w:pPr>
    <w:rPr>
      <w:rFonts w:ascii="Arial" w:hAnsi="Arial" w:cs="Arial"/>
      <w:sz w:val="24"/>
    </w:rPr>
  </w:style>
  <w:style w:type="paragraph" w:styleId="18">
    <w:name w:val="annotation text"/>
    <w:basedOn w:val="1"/>
    <w:link w:val="59"/>
    <w:qFormat/>
    <w:uiPriority w:val="0"/>
    <w:pPr>
      <w:jc w:val="left"/>
    </w:pPr>
    <w:rPr>
      <w:kern w:val="0"/>
      <w:sz w:val="24"/>
      <w:szCs w:val="20"/>
    </w:rPr>
  </w:style>
  <w:style w:type="paragraph" w:styleId="19">
    <w:name w:val="Body Text 3"/>
    <w:basedOn w:val="1"/>
    <w:link w:val="81"/>
    <w:qFormat/>
    <w:locked/>
    <w:uiPriority w:val="0"/>
    <w:rPr>
      <w:rFonts w:ascii="宋体"/>
      <w:szCs w:val="20"/>
    </w:rPr>
  </w:style>
  <w:style w:type="paragraph" w:styleId="20">
    <w:name w:val="Body Text Indent"/>
    <w:basedOn w:val="1"/>
    <w:link w:val="67"/>
    <w:qFormat/>
    <w:uiPriority w:val="0"/>
    <w:pPr>
      <w:spacing w:after="120"/>
      <w:ind w:left="420" w:leftChars="200"/>
    </w:pPr>
    <w:rPr>
      <w:kern w:val="0"/>
      <w:sz w:val="24"/>
      <w:szCs w:val="20"/>
    </w:rPr>
  </w:style>
  <w:style w:type="paragraph" w:styleId="21">
    <w:name w:val="Date"/>
    <w:basedOn w:val="1"/>
    <w:next w:val="1"/>
    <w:link w:val="54"/>
    <w:qFormat/>
    <w:uiPriority w:val="0"/>
    <w:pPr>
      <w:ind w:left="100" w:leftChars="2500"/>
    </w:pPr>
    <w:rPr>
      <w:kern w:val="0"/>
      <w:sz w:val="24"/>
      <w:szCs w:val="20"/>
    </w:rPr>
  </w:style>
  <w:style w:type="paragraph" w:styleId="22">
    <w:name w:val="Body Text Indent 2"/>
    <w:basedOn w:val="1"/>
    <w:link w:val="82"/>
    <w:qFormat/>
    <w:locked/>
    <w:uiPriority w:val="0"/>
    <w:pPr>
      <w:spacing w:line="360" w:lineRule="auto"/>
      <w:ind w:firstLine="480" w:firstLineChars="200"/>
    </w:pPr>
    <w:rPr>
      <w:color w:val="000000"/>
      <w:sz w:val="24"/>
      <w:szCs w:val="20"/>
    </w:rPr>
  </w:style>
  <w:style w:type="paragraph" w:styleId="23">
    <w:name w:val="Balloon Text"/>
    <w:basedOn w:val="1"/>
    <w:link w:val="63"/>
    <w:qFormat/>
    <w:uiPriority w:val="0"/>
    <w:rPr>
      <w:kern w:val="0"/>
      <w:sz w:val="18"/>
      <w:szCs w:val="20"/>
    </w:rPr>
  </w:style>
  <w:style w:type="paragraph" w:styleId="24">
    <w:name w:val="footer"/>
    <w:basedOn w:val="1"/>
    <w:link w:val="53"/>
    <w:qFormat/>
    <w:uiPriority w:val="0"/>
    <w:pPr>
      <w:tabs>
        <w:tab w:val="center" w:pos="4153"/>
        <w:tab w:val="right" w:pos="8306"/>
      </w:tabs>
      <w:snapToGrid w:val="0"/>
      <w:jc w:val="left"/>
    </w:pPr>
    <w:rPr>
      <w:kern w:val="0"/>
      <w:sz w:val="18"/>
      <w:szCs w:val="20"/>
    </w:rPr>
  </w:style>
  <w:style w:type="paragraph" w:styleId="25">
    <w:name w:val="header"/>
    <w:basedOn w:val="1"/>
    <w:link w:val="65"/>
    <w:qFormat/>
    <w:uiPriority w:val="99"/>
    <w:pPr>
      <w:pBdr>
        <w:bottom w:val="single" w:color="auto" w:sz="6" w:space="1"/>
      </w:pBdr>
      <w:tabs>
        <w:tab w:val="center" w:pos="4153"/>
        <w:tab w:val="right" w:pos="8306"/>
      </w:tabs>
      <w:snapToGrid w:val="0"/>
      <w:jc w:val="center"/>
    </w:pPr>
    <w:rPr>
      <w:kern w:val="0"/>
      <w:sz w:val="18"/>
      <w:szCs w:val="20"/>
    </w:rPr>
  </w:style>
  <w:style w:type="paragraph" w:styleId="26">
    <w:name w:val="toc 1"/>
    <w:basedOn w:val="1"/>
    <w:next w:val="1"/>
    <w:qFormat/>
    <w:locked/>
    <w:uiPriority w:val="0"/>
    <w:pPr>
      <w:tabs>
        <w:tab w:val="left" w:pos="420"/>
        <w:tab w:val="right" w:leader="dot" w:pos="8303"/>
      </w:tabs>
    </w:pPr>
    <w:rPr>
      <w:rFonts w:ascii="仿宋_GB2312" w:hAnsi="Arial Black" w:eastAsia="仿宋_GB2312"/>
      <w:sz w:val="28"/>
      <w:szCs w:val="20"/>
    </w:rPr>
  </w:style>
  <w:style w:type="paragraph" w:styleId="27">
    <w:name w:val="List"/>
    <w:basedOn w:val="1"/>
    <w:qFormat/>
    <w:locked/>
    <w:uiPriority w:val="0"/>
    <w:pPr>
      <w:spacing w:line="360" w:lineRule="exact"/>
      <w:jc w:val="center"/>
    </w:pPr>
    <w:rPr>
      <w:rFonts w:ascii="仿宋_GB2312" w:eastAsia="仿宋_GB2312"/>
      <w:szCs w:val="20"/>
    </w:rPr>
  </w:style>
  <w:style w:type="paragraph" w:styleId="28">
    <w:name w:val="Body Text Indent 3"/>
    <w:basedOn w:val="1"/>
    <w:link w:val="83"/>
    <w:qFormat/>
    <w:locked/>
    <w:uiPriority w:val="0"/>
    <w:pPr>
      <w:tabs>
        <w:tab w:val="left" w:pos="604"/>
      </w:tabs>
      <w:spacing w:line="360" w:lineRule="auto"/>
      <w:ind w:firstLine="600"/>
    </w:pPr>
    <w:rPr>
      <w:sz w:val="24"/>
    </w:rPr>
  </w:style>
  <w:style w:type="paragraph" w:styleId="29">
    <w:name w:val="toc 2"/>
    <w:basedOn w:val="1"/>
    <w:next w:val="1"/>
    <w:qFormat/>
    <w:locked/>
    <w:uiPriority w:val="0"/>
    <w:pPr>
      <w:ind w:left="420" w:leftChars="200"/>
    </w:pPr>
    <w:rPr>
      <w:szCs w:val="21"/>
    </w:rPr>
  </w:style>
  <w:style w:type="paragraph" w:styleId="30">
    <w:name w:val="Body Text 2"/>
    <w:basedOn w:val="1"/>
    <w:link w:val="84"/>
    <w:qFormat/>
    <w:locked/>
    <w:uiPriority w:val="0"/>
    <w:rPr>
      <w:b/>
      <w:bCs/>
      <w:sz w:val="24"/>
      <w:szCs w:val="20"/>
    </w:rPr>
  </w:style>
  <w:style w:type="paragraph" w:styleId="31">
    <w:name w:val="HTML Preformatted"/>
    <w:basedOn w:val="1"/>
    <w:link w:val="85"/>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2">
    <w:name w:val="Normal (Web)"/>
    <w:basedOn w:val="1"/>
    <w:link w:val="56"/>
    <w:qFormat/>
    <w:uiPriority w:val="0"/>
    <w:pPr>
      <w:widowControl/>
      <w:spacing w:before="100" w:beforeAutospacing="1" w:after="100" w:afterAutospacing="1"/>
      <w:jc w:val="left"/>
    </w:pPr>
    <w:rPr>
      <w:rFonts w:ascii="宋体" w:hAnsi="宋体"/>
      <w:kern w:val="0"/>
      <w:sz w:val="24"/>
      <w:szCs w:val="20"/>
    </w:rPr>
  </w:style>
  <w:style w:type="paragraph" w:styleId="33">
    <w:name w:val="annotation subject"/>
    <w:basedOn w:val="18"/>
    <w:next w:val="18"/>
    <w:link w:val="64"/>
    <w:qFormat/>
    <w:uiPriority w:val="0"/>
    <w:rPr>
      <w:b/>
    </w:rPr>
  </w:style>
  <w:style w:type="paragraph" w:styleId="34">
    <w:name w:val="Body Text First Indent"/>
    <w:basedOn w:val="2"/>
    <w:next w:val="1"/>
    <w:link w:val="78"/>
    <w:qFormat/>
    <w:locked/>
    <w:uiPriority w:val="0"/>
    <w:pPr>
      <w:widowControl w:val="0"/>
      <w:snapToGrid/>
      <w:spacing w:before="0" w:after="120" w:line="240" w:lineRule="auto"/>
      <w:ind w:right="0" w:firstLine="420" w:firstLineChars="100"/>
    </w:pPr>
    <w:rPr>
      <w:rFonts w:ascii="宋体" w:hAnsi="宋体"/>
      <w:kern w:val="2"/>
      <w:sz w:val="21"/>
      <w:szCs w:val="32"/>
    </w:rPr>
  </w:style>
  <w:style w:type="paragraph" w:styleId="35">
    <w:name w:val="Body Text First Indent 2"/>
    <w:basedOn w:val="20"/>
    <w:next w:val="34"/>
    <w:qFormat/>
    <w:locked/>
    <w:uiPriority w:val="0"/>
    <w:pPr>
      <w:spacing w:after="0"/>
      <w:ind w:left="0" w:firstLine="420" w:firstLineChars="200"/>
    </w:pPr>
    <w:rPr>
      <w:kern w:val="2"/>
      <w:sz w:val="21"/>
    </w:rPr>
  </w:style>
  <w:style w:type="table" w:styleId="37">
    <w:name w:val="Table Grid"/>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locked/>
    <w:uiPriority w:val="22"/>
    <w:rPr>
      <w:b/>
      <w:bCs/>
    </w:rPr>
  </w:style>
  <w:style w:type="character" w:styleId="40">
    <w:name w:val="page number"/>
    <w:basedOn w:val="38"/>
    <w:qFormat/>
    <w:locked/>
    <w:uiPriority w:val="0"/>
  </w:style>
  <w:style w:type="character" w:styleId="41">
    <w:name w:val="FollowedHyperlink"/>
    <w:basedOn w:val="38"/>
    <w:unhideWhenUsed/>
    <w:qFormat/>
    <w:locked/>
    <w:uiPriority w:val="0"/>
    <w:rPr>
      <w:color w:val="800080" w:themeColor="followedHyperlink"/>
      <w:u w:val="single"/>
      <w14:textFill>
        <w14:solidFill>
          <w14:schemeClr w14:val="folHlink"/>
        </w14:solidFill>
      </w14:textFill>
    </w:rPr>
  </w:style>
  <w:style w:type="character" w:styleId="42">
    <w:name w:val="Emphasis"/>
    <w:qFormat/>
    <w:locked/>
    <w:uiPriority w:val="20"/>
    <w:rPr>
      <w:rFonts w:ascii="宋体" w:hAnsi="宋体" w:cs="Courier New"/>
      <w:i/>
      <w:iCs/>
      <w:sz w:val="32"/>
      <w:szCs w:val="32"/>
    </w:rPr>
  </w:style>
  <w:style w:type="character" w:styleId="43">
    <w:name w:val="Hyperlink"/>
    <w:qFormat/>
    <w:locked/>
    <w:uiPriority w:val="99"/>
    <w:rPr>
      <w:rFonts w:ascii="宋体" w:hAnsi="宋体" w:cs="Courier New"/>
      <w:color w:val="0000FF"/>
      <w:sz w:val="32"/>
      <w:szCs w:val="32"/>
      <w:u w:val="single"/>
    </w:rPr>
  </w:style>
  <w:style w:type="character" w:styleId="44">
    <w:name w:val="annotation reference"/>
    <w:qFormat/>
    <w:uiPriority w:val="99"/>
    <w:rPr>
      <w:sz w:val="21"/>
    </w:rPr>
  </w:style>
  <w:style w:type="character" w:customStyle="1" w:styleId="45">
    <w:name w:val="标题 2 字符"/>
    <w:basedOn w:val="38"/>
    <w:link w:val="5"/>
    <w:qFormat/>
    <w:uiPriority w:val="0"/>
    <w:rPr>
      <w:rFonts w:eastAsia="仿宋_GB2312"/>
      <w:b/>
      <w:bCs/>
      <w:kern w:val="2"/>
      <w:sz w:val="28"/>
      <w:szCs w:val="32"/>
    </w:rPr>
  </w:style>
  <w:style w:type="character" w:customStyle="1" w:styleId="46">
    <w:name w:val="标题 3 字符"/>
    <w:basedOn w:val="38"/>
    <w:link w:val="6"/>
    <w:qFormat/>
    <w:uiPriority w:val="0"/>
    <w:rPr>
      <w:b/>
      <w:bCs/>
      <w:kern w:val="2"/>
      <w:sz w:val="32"/>
      <w:szCs w:val="32"/>
    </w:rPr>
  </w:style>
  <w:style w:type="character" w:customStyle="1" w:styleId="47">
    <w:name w:val="标题 4 字符"/>
    <w:basedOn w:val="38"/>
    <w:link w:val="7"/>
    <w:qFormat/>
    <w:uiPriority w:val="0"/>
    <w:rPr>
      <w:rFonts w:ascii="Arial" w:hAnsi="Arial" w:eastAsia="黑体"/>
      <w:b/>
      <w:bCs/>
      <w:kern w:val="2"/>
      <w:sz w:val="28"/>
      <w:szCs w:val="28"/>
    </w:rPr>
  </w:style>
  <w:style w:type="character" w:customStyle="1" w:styleId="48">
    <w:name w:val="标题 5 字符"/>
    <w:basedOn w:val="38"/>
    <w:link w:val="8"/>
    <w:qFormat/>
    <w:uiPriority w:val="0"/>
    <w:rPr>
      <w:b/>
      <w:bCs/>
      <w:kern w:val="2"/>
      <w:sz w:val="28"/>
      <w:szCs w:val="28"/>
    </w:rPr>
  </w:style>
  <w:style w:type="character" w:customStyle="1" w:styleId="49">
    <w:name w:val="标题 6 字符"/>
    <w:basedOn w:val="38"/>
    <w:link w:val="9"/>
    <w:qFormat/>
    <w:uiPriority w:val="0"/>
    <w:rPr>
      <w:rFonts w:ascii="Arial" w:hAnsi="Arial" w:eastAsia="黑体"/>
      <w:b/>
      <w:bCs/>
      <w:kern w:val="2"/>
      <w:sz w:val="24"/>
      <w:szCs w:val="24"/>
    </w:rPr>
  </w:style>
  <w:style w:type="character" w:customStyle="1" w:styleId="50">
    <w:name w:val="标题 7 字符"/>
    <w:basedOn w:val="38"/>
    <w:link w:val="10"/>
    <w:qFormat/>
    <w:uiPriority w:val="0"/>
    <w:rPr>
      <w:b/>
      <w:bCs/>
      <w:kern w:val="2"/>
      <w:sz w:val="24"/>
      <w:szCs w:val="24"/>
    </w:rPr>
  </w:style>
  <w:style w:type="character" w:customStyle="1" w:styleId="51">
    <w:name w:val="标题 8 字符"/>
    <w:basedOn w:val="38"/>
    <w:link w:val="11"/>
    <w:qFormat/>
    <w:uiPriority w:val="0"/>
    <w:rPr>
      <w:rFonts w:ascii="Arial" w:hAnsi="Arial" w:eastAsia="黑体"/>
      <w:kern w:val="2"/>
      <w:sz w:val="24"/>
      <w:szCs w:val="24"/>
    </w:rPr>
  </w:style>
  <w:style w:type="character" w:customStyle="1" w:styleId="52">
    <w:name w:val="标题 9 字符"/>
    <w:basedOn w:val="38"/>
    <w:link w:val="12"/>
    <w:qFormat/>
    <w:uiPriority w:val="0"/>
    <w:rPr>
      <w:rFonts w:ascii="Arial" w:hAnsi="Arial" w:eastAsia="黑体"/>
      <w:kern w:val="2"/>
      <w:sz w:val="21"/>
      <w:szCs w:val="21"/>
    </w:rPr>
  </w:style>
  <w:style w:type="character" w:customStyle="1" w:styleId="53">
    <w:name w:val="页脚 字符1"/>
    <w:link w:val="24"/>
    <w:qFormat/>
    <w:locked/>
    <w:uiPriority w:val="99"/>
    <w:rPr>
      <w:sz w:val="18"/>
    </w:rPr>
  </w:style>
  <w:style w:type="character" w:customStyle="1" w:styleId="54">
    <w:name w:val="日期 字符1"/>
    <w:link w:val="21"/>
    <w:qFormat/>
    <w:locked/>
    <w:uiPriority w:val="0"/>
    <w:rPr>
      <w:rFonts w:ascii="Times New Roman" w:hAnsi="Times New Roman" w:eastAsia="宋体"/>
      <w:sz w:val="24"/>
    </w:rPr>
  </w:style>
  <w:style w:type="character" w:customStyle="1" w:styleId="55">
    <w:name w:val="页脚 字符"/>
    <w:basedOn w:val="38"/>
    <w:qFormat/>
    <w:uiPriority w:val="99"/>
  </w:style>
  <w:style w:type="character" w:customStyle="1" w:styleId="56">
    <w:name w:val="普通(网站) 字符"/>
    <w:link w:val="32"/>
    <w:qFormat/>
    <w:locked/>
    <w:uiPriority w:val="0"/>
    <w:rPr>
      <w:rFonts w:ascii="宋体" w:hAnsi="宋体" w:eastAsia="宋体"/>
      <w:sz w:val="24"/>
    </w:rPr>
  </w:style>
  <w:style w:type="character" w:customStyle="1" w:styleId="57">
    <w:name w:val="正文文本 字符1"/>
    <w:semiHidden/>
    <w:qFormat/>
    <w:uiPriority w:val="0"/>
    <w:rPr>
      <w:rFonts w:ascii="Times New Roman" w:hAnsi="Times New Roman" w:eastAsia="宋体"/>
      <w:sz w:val="24"/>
    </w:rPr>
  </w:style>
  <w:style w:type="character" w:customStyle="1" w:styleId="58">
    <w:name w:val="正文文本 字符"/>
    <w:link w:val="2"/>
    <w:qFormat/>
    <w:locked/>
    <w:uiPriority w:val="0"/>
    <w:rPr>
      <w:sz w:val="18"/>
    </w:rPr>
  </w:style>
  <w:style w:type="character" w:customStyle="1" w:styleId="59">
    <w:name w:val="批注文字 字符"/>
    <w:link w:val="18"/>
    <w:qFormat/>
    <w:locked/>
    <w:uiPriority w:val="0"/>
    <w:rPr>
      <w:rFonts w:ascii="Times New Roman" w:hAnsi="Times New Roman" w:eastAsia="宋体"/>
      <w:sz w:val="24"/>
    </w:rPr>
  </w:style>
  <w:style w:type="character" w:customStyle="1" w:styleId="60">
    <w:name w:val="表格 Char"/>
    <w:link w:val="61"/>
    <w:qFormat/>
    <w:locked/>
    <w:uiPriority w:val="0"/>
    <w:rPr>
      <w:rFonts w:ascii="宋体"/>
      <w:sz w:val="21"/>
    </w:rPr>
  </w:style>
  <w:style w:type="paragraph" w:customStyle="1" w:styleId="61">
    <w:name w:val="表格"/>
    <w:basedOn w:val="1"/>
    <w:next w:val="1"/>
    <w:link w:val="60"/>
    <w:qFormat/>
    <w:uiPriority w:val="0"/>
    <w:pPr>
      <w:adjustRightInd w:val="0"/>
      <w:snapToGrid w:val="0"/>
      <w:spacing w:beforeLines="10" w:afterLines="10" w:line="259" w:lineRule="auto"/>
      <w:jc w:val="center"/>
    </w:pPr>
    <w:rPr>
      <w:rFonts w:ascii="宋体"/>
      <w:kern w:val="0"/>
      <w:szCs w:val="20"/>
    </w:rPr>
  </w:style>
  <w:style w:type="character" w:customStyle="1" w:styleId="62">
    <w:name w:val="日期 字符"/>
    <w:semiHidden/>
    <w:qFormat/>
    <w:uiPriority w:val="0"/>
    <w:rPr>
      <w:rFonts w:ascii="Times New Roman" w:hAnsi="Times New Roman" w:eastAsia="宋体"/>
      <w:sz w:val="24"/>
    </w:rPr>
  </w:style>
  <w:style w:type="character" w:customStyle="1" w:styleId="63">
    <w:name w:val="批注框文本 字符"/>
    <w:link w:val="23"/>
    <w:qFormat/>
    <w:locked/>
    <w:uiPriority w:val="0"/>
    <w:rPr>
      <w:rFonts w:ascii="Times New Roman" w:hAnsi="Times New Roman" w:eastAsia="宋体"/>
      <w:sz w:val="18"/>
    </w:rPr>
  </w:style>
  <w:style w:type="character" w:customStyle="1" w:styleId="64">
    <w:name w:val="批注主题 字符"/>
    <w:link w:val="33"/>
    <w:qFormat/>
    <w:locked/>
    <w:uiPriority w:val="0"/>
    <w:rPr>
      <w:rFonts w:ascii="Times New Roman" w:hAnsi="Times New Roman" w:eastAsia="宋体"/>
      <w:b/>
      <w:kern w:val="2"/>
      <w:sz w:val="24"/>
    </w:rPr>
  </w:style>
  <w:style w:type="character" w:customStyle="1" w:styleId="65">
    <w:name w:val="页眉 字符"/>
    <w:link w:val="25"/>
    <w:qFormat/>
    <w:locked/>
    <w:uiPriority w:val="99"/>
    <w:rPr>
      <w:sz w:val="18"/>
    </w:rPr>
  </w:style>
  <w:style w:type="character" w:customStyle="1" w:styleId="66">
    <w:name w:val="批注文字 字符1"/>
    <w:semiHidden/>
    <w:qFormat/>
    <w:uiPriority w:val="0"/>
    <w:rPr>
      <w:rFonts w:ascii="Times New Roman" w:hAnsi="Times New Roman" w:eastAsia="宋体"/>
      <w:sz w:val="24"/>
    </w:rPr>
  </w:style>
  <w:style w:type="character" w:customStyle="1" w:styleId="67">
    <w:name w:val="正文文本缩进 字符"/>
    <w:link w:val="20"/>
    <w:qFormat/>
    <w:locked/>
    <w:uiPriority w:val="0"/>
    <w:rPr>
      <w:rFonts w:ascii="Times New Roman" w:hAnsi="Times New Roman" w:eastAsia="宋体"/>
      <w:sz w:val="24"/>
    </w:rPr>
  </w:style>
  <w:style w:type="paragraph" w:customStyle="1" w:styleId="68">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9">
    <w:name w:val="普通(网站)2"/>
    <w:basedOn w:val="1"/>
    <w:qFormat/>
    <w:uiPriority w:val="0"/>
    <w:pPr>
      <w:widowControl/>
      <w:spacing w:before="100" w:beforeAutospacing="1" w:after="100" w:afterAutospacing="1"/>
      <w:jc w:val="left"/>
    </w:pPr>
    <w:rPr>
      <w:rFonts w:ascii="宋体" w:hAnsi="宋体"/>
      <w:sz w:val="24"/>
      <w:szCs w:val="20"/>
    </w:rPr>
  </w:style>
  <w:style w:type="paragraph" w:styleId="70">
    <w:name w:val="List Paragraph"/>
    <w:basedOn w:val="1"/>
    <w:qFormat/>
    <w:uiPriority w:val="34"/>
    <w:pPr>
      <w:ind w:firstLine="420" w:firstLineChars="200"/>
    </w:pPr>
    <w:rPr>
      <w:szCs w:val="20"/>
    </w:rPr>
  </w:style>
  <w:style w:type="character" w:customStyle="1" w:styleId="71">
    <w:name w:val="图表 Char"/>
    <w:link w:val="72"/>
    <w:qFormat/>
    <w:uiPriority w:val="0"/>
    <w:rPr>
      <w:color w:val="000000"/>
      <w:kern w:val="2"/>
      <w:sz w:val="21"/>
      <w:szCs w:val="21"/>
      <w:lang w:val="zh-CN"/>
    </w:rPr>
  </w:style>
  <w:style w:type="paragraph" w:customStyle="1" w:styleId="72">
    <w:name w:val="图表"/>
    <w:basedOn w:val="1"/>
    <w:link w:val="71"/>
    <w:qFormat/>
    <w:uiPriority w:val="0"/>
    <w:pPr>
      <w:adjustRightInd w:val="0"/>
      <w:snapToGrid w:val="0"/>
      <w:jc w:val="center"/>
    </w:pPr>
    <w:rPr>
      <w:color w:val="000000"/>
      <w:szCs w:val="21"/>
      <w:lang w:val="zh-CN"/>
    </w:rPr>
  </w:style>
  <w:style w:type="paragraph" w:customStyle="1" w:styleId="73">
    <w:name w:val="列出段落2"/>
    <w:basedOn w:val="1"/>
    <w:qFormat/>
    <w:uiPriority w:val="0"/>
    <w:pPr>
      <w:ind w:firstLine="420" w:firstLineChars="200"/>
    </w:pPr>
    <w:rPr>
      <w:szCs w:val="20"/>
    </w:rPr>
  </w:style>
  <w:style w:type="character" w:customStyle="1" w:styleId="74">
    <w:name w:val="font01"/>
    <w:qFormat/>
    <w:uiPriority w:val="0"/>
    <w:rPr>
      <w:rFonts w:hint="eastAsia" w:ascii="宋体" w:hAnsi="宋体" w:eastAsia="宋体" w:cs="宋体"/>
      <w:color w:val="000000"/>
      <w:sz w:val="24"/>
      <w:szCs w:val="24"/>
      <w:u w:val="none"/>
    </w:rPr>
  </w:style>
  <w:style w:type="paragraph" w:customStyle="1" w:styleId="75">
    <w:name w:val="font10"/>
    <w:basedOn w:val="1"/>
    <w:qFormat/>
    <w:uiPriority w:val="0"/>
    <w:pPr>
      <w:widowControl/>
      <w:adjustRightInd w:val="0"/>
      <w:snapToGrid w:val="0"/>
      <w:spacing w:before="100" w:beforeAutospacing="1" w:after="100" w:afterAutospacing="1" w:line="500" w:lineRule="exact"/>
      <w:ind w:firstLine="200" w:firstLineChars="200"/>
      <w:jc w:val="left"/>
    </w:pPr>
    <w:rPr>
      <w:rFonts w:ascii="宋体" w:hAnsi="宋体" w:cs="宋体"/>
      <w:color w:val="000000"/>
      <w:kern w:val="0"/>
      <w:sz w:val="24"/>
      <w:szCs w:val="21"/>
    </w:rPr>
  </w:style>
  <w:style w:type="character" w:customStyle="1" w:styleId="76">
    <w:name w:val="常用表格样式 Char1"/>
    <w:basedOn w:val="38"/>
    <w:link w:val="77"/>
    <w:qFormat/>
    <w:locked/>
    <w:uiPriority w:val="0"/>
    <w:rPr>
      <w:rFonts w:ascii="宋体" w:hAnsi="宋体" w:eastAsia="仿宋_GB2312" w:cs="宋体"/>
      <w:color w:val="000000"/>
      <w:sz w:val="18"/>
      <w:szCs w:val="18"/>
    </w:rPr>
  </w:style>
  <w:style w:type="paragraph" w:customStyle="1" w:styleId="77">
    <w:name w:val="常用表格样式"/>
    <w:next w:val="1"/>
    <w:link w:val="76"/>
    <w:qFormat/>
    <w:uiPriority w:val="0"/>
    <w:pPr>
      <w:widowControl w:val="0"/>
      <w:adjustRightInd w:val="0"/>
      <w:jc w:val="center"/>
    </w:pPr>
    <w:rPr>
      <w:rFonts w:ascii="宋体" w:hAnsi="宋体" w:eastAsia="仿宋_GB2312" w:cs="宋体"/>
      <w:color w:val="000000"/>
      <w:sz w:val="18"/>
      <w:szCs w:val="18"/>
      <w:lang w:val="en-US" w:eastAsia="zh-CN" w:bidi="ar-SA"/>
    </w:rPr>
  </w:style>
  <w:style w:type="character" w:customStyle="1" w:styleId="78">
    <w:name w:val="正文文本首行缩进 字符"/>
    <w:basedOn w:val="58"/>
    <w:link w:val="34"/>
    <w:qFormat/>
    <w:uiPriority w:val="0"/>
    <w:rPr>
      <w:rFonts w:ascii="宋体" w:hAnsi="宋体"/>
      <w:kern w:val="2"/>
      <w:sz w:val="21"/>
      <w:szCs w:val="32"/>
    </w:rPr>
  </w:style>
  <w:style w:type="character" w:customStyle="1" w:styleId="79">
    <w:name w:val="正文缩进 字符"/>
    <w:link w:val="13"/>
    <w:qFormat/>
    <w:uiPriority w:val="0"/>
    <w:rPr>
      <w:rFonts w:ascii="宋体" w:hAnsi="宋体" w:cs="Courier New"/>
      <w:kern w:val="2"/>
      <w:sz w:val="28"/>
      <w:szCs w:val="24"/>
    </w:rPr>
  </w:style>
  <w:style w:type="character" w:customStyle="1" w:styleId="80">
    <w:name w:val="文档结构图 字符"/>
    <w:basedOn w:val="38"/>
    <w:link w:val="16"/>
    <w:qFormat/>
    <w:uiPriority w:val="0"/>
    <w:rPr>
      <w:kern w:val="2"/>
      <w:sz w:val="21"/>
      <w:shd w:val="clear" w:color="auto" w:fill="000080"/>
    </w:rPr>
  </w:style>
  <w:style w:type="character" w:customStyle="1" w:styleId="81">
    <w:name w:val="正文文本 3 字符"/>
    <w:basedOn w:val="38"/>
    <w:link w:val="19"/>
    <w:qFormat/>
    <w:uiPriority w:val="0"/>
    <w:rPr>
      <w:rFonts w:ascii="宋体"/>
      <w:kern w:val="2"/>
      <w:sz w:val="21"/>
    </w:rPr>
  </w:style>
  <w:style w:type="character" w:customStyle="1" w:styleId="82">
    <w:name w:val="正文文本缩进 2 字符"/>
    <w:basedOn w:val="38"/>
    <w:link w:val="22"/>
    <w:qFormat/>
    <w:uiPriority w:val="0"/>
    <w:rPr>
      <w:color w:val="000000"/>
      <w:kern w:val="2"/>
      <w:sz w:val="24"/>
    </w:rPr>
  </w:style>
  <w:style w:type="character" w:customStyle="1" w:styleId="83">
    <w:name w:val="正文文本缩进 3 字符"/>
    <w:basedOn w:val="38"/>
    <w:link w:val="28"/>
    <w:qFormat/>
    <w:uiPriority w:val="0"/>
    <w:rPr>
      <w:kern w:val="2"/>
      <w:sz w:val="24"/>
      <w:szCs w:val="24"/>
    </w:rPr>
  </w:style>
  <w:style w:type="character" w:customStyle="1" w:styleId="84">
    <w:name w:val="正文文本 2 字符"/>
    <w:basedOn w:val="38"/>
    <w:link w:val="30"/>
    <w:qFormat/>
    <w:uiPriority w:val="0"/>
    <w:rPr>
      <w:b/>
      <w:bCs/>
      <w:kern w:val="2"/>
      <w:sz w:val="24"/>
    </w:rPr>
  </w:style>
  <w:style w:type="character" w:customStyle="1" w:styleId="85">
    <w:name w:val="HTML 预设格式 字符"/>
    <w:basedOn w:val="38"/>
    <w:link w:val="31"/>
    <w:qFormat/>
    <w:uiPriority w:val="0"/>
    <w:rPr>
      <w:rFonts w:ascii="宋体" w:hAnsi="宋体" w:cs="宋体"/>
      <w:sz w:val="24"/>
      <w:szCs w:val="24"/>
    </w:rPr>
  </w:style>
  <w:style w:type="character" w:customStyle="1" w:styleId="86">
    <w:name w:val="Body Text Indent Char"/>
    <w:qFormat/>
    <w:locked/>
    <w:uiPriority w:val="99"/>
    <w:rPr>
      <w:rFonts w:ascii="宋体" w:hAnsi="宋体" w:eastAsia="宋体"/>
      <w:kern w:val="2"/>
      <w:sz w:val="32"/>
      <w:lang w:val="en-US" w:eastAsia="zh-CN"/>
    </w:rPr>
  </w:style>
  <w:style w:type="character" w:customStyle="1" w:styleId="87">
    <w:name w:val="font11"/>
    <w:qFormat/>
    <w:uiPriority w:val="0"/>
    <w:rPr>
      <w:rFonts w:ascii="宋体" w:hAnsi="宋体" w:cs="Courier New"/>
      <w:sz w:val="18"/>
      <w:szCs w:val="18"/>
    </w:rPr>
  </w:style>
  <w:style w:type="character" w:customStyle="1" w:styleId="88">
    <w:name w:val="content"/>
    <w:qFormat/>
    <w:uiPriority w:val="0"/>
    <w:rPr>
      <w:rFonts w:ascii="宋体" w:hAnsi="宋体" w:cs="Courier New"/>
      <w:sz w:val="32"/>
      <w:szCs w:val="32"/>
    </w:rPr>
  </w:style>
  <w:style w:type="character" w:customStyle="1" w:styleId="89">
    <w:name w:val="页码1"/>
    <w:qFormat/>
    <w:uiPriority w:val="0"/>
    <w:rPr>
      <w:rFonts w:ascii="宋体" w:hAnsi="宋体" w:cs="Courier New"/>
      <w:sz w:val="32"/>
      <w:szCs w:val="32"/>
    </w:rPr>
  </w:style>
  <w:style w:type="character" w:customStyle="1" w:styleId="90">
    <w:name w:val="apple-style-span"/>
    <w:qFormat/>
    <w:uiPriority w:val="0"/>
    <w:rPr>
      <w:rFonts w:ascii="宋体" w:hAnsi="宋体" w:cs="Courier New"/>
      <w:sz w:val="32"/>
      <w:szCs w:val="32"/>
    </w:rPr>
  </w:style>
  <w:style w:type="character" w:customStyle="1" w:styleId="91">
    <w:name w:val="apple-converted-space"/>
    <w:qFormat/>
    <w:uiPriority w:val="0"/>
    <w:rPr>
      <w:rFonts w:ascii="宋体" w:hAnsi="宋体" w:cs="Courier New"/>
      <w:sz w:val="32"/>
      <w:szCs w:val="32"/>
    </w:rPr>
  </w:style>
  <w:style w:type="character" w:customStyle="1" w:styleId="92">
    <w:name w:val="表格内容 Char"/>
    <w:link w:val="93"/>
    <w:qFormat/>
    <w:uiPriority w:val="0"/>
    <w:rPr>
      <w:rFonts w:eastAsia="仿宋_GB2312"/>
      <w:sz w:val="21"/>
      <w:szCs w:val="21"/>
    </w:rPr>
  </w:style>
  <w:style w:type="paragraph" w:customStyle="1" w:styleId="93">
    <w:name w:val="表格内容"/>
    <w:basedOn w:val="1"/>
    <w:link w:val="92"/>
    <w:qFormat/>
    <w:uiPriority w:val="0"/>
    <w:pPr>
      <w:adjustRightInd w:val="0"/>
      <w:snapToGrid w:val="0"/>
      <w:jc w:val="center"/>
    </w:pPr>
    <w:rPr>
      <w:rFonts w:eastAsia="仿宋_GB2312"/>
      <w:kern w:val="0"/>
      <w:szCs w:val="21"/>
    </w:rPr>
  </w:style>
  <w:style w:type="paragraph" w:customStyle="1" w:styleId="94">
    <w:name w:val="Char"/>
    <w:basedOn w:val="1"/>
    <w:qFormat/>
    <w:uiPriority w:val="0"/>
    <w:rPr>
      <w:rFonts w:ascii="宋体" w:hAnsi="宋体" w:cs="Courier New"/>
      <w:sz w:val="32"/>
      <w:szCs w:val="32"/>
    </w:rPr>
  </w:style>
  <w:style w:type="paragraph" w:customStyle="1" w:styleId="95">
    <w:name w:val="小四表文左齐"/>
    <w:basedOn w:val="1"/>
    <w:qFormat/>
    <w:uiPriority w:val="0"/>
    <w:pPr>
      <w:snapToGrid w:val="0"/>
      <w:spacing w:line="300" w:lineRule="exact"/>
      <w:jc w:val="center"/>
    </w:pPr>
    <w:rPr>
      <w:kern w:val="0"/>
      <w:szCs w:val="20"/>
    </w:rPr>
  </w:style>
  <w:style w:type="paragraph" w:customStyle="1" w:styleId="96">
    <w:name w:val="表格文字"/>
    <w:basedOn w:val="1"/>
    <w:qFormat/>
    <w:uiPriority w:val="0"/>
    <w:pPr>
      <w:jc w:val="center"/>
    </w:pPr>
    <w:rPr>
      <w:rFonts w:ascii="仿宋_GB2312" w:hAnsi="Arial Black" w:eastAsia="仿宋_GB2312"/>
      <w:kern w:val="44"/>
      <w:sz w:val="24"/>
      <w:szCs w:val="20"/>
    </w:rPr>
  </w:style>
  <w:style w:type="paragraph" w:customStyle="1" w:styleId="97">
    <w:name w:val="默认段落字体 Para Char Char Char Char Char Char Char Char Char Char Char Char Char"/>
    <w:basedOn w:val="1"/>
    <w:qFormat/>
    <w:uiPriority w:val="0"/>
    <w:rPr>
      <w:sz w:val="24"/>
    </w:rPr>
  </w:style>
  <w:style w:type="paragraph" w:customStyle="1" w:styleId="98">
    <w:name w:val="表中字"/>
    <w:basedOn w:val="1"/>
    <w:qFormat/>
    <w:uiPriority w:val="0"/>
    <w:pPr>
      <w:spacing w:line="240" w:lineRule="atLeast"/>
      <w:jc w:val="center"/>
    </w:pPr>
    <w:rPr>
      <w:szCs w:val="22"/>
      <w:lang w:val="zh-CN"/>
    </w:rPr>
  </w:style>
  <w:style w:type="paragraph" w:customStyle="1" w:styleId="99">
    <w:name w:val="表字1"/>
    <w:basedOn w:val="1"/>
    <w:qFormat/>
    <w:uiPriority w:val="99"/>
    <w:pPr>
      <w:adjustRightInd w:val="0"/>
      <w:spacing w:line="360" w:lineRule="auto"/>
      <w:jc w:val="center"/>
      <w:textAlignment w:val="baseline"/>
    </w:pPr>
    <w:rPr>
      <w:rFonts w:ascii="宋体"/>
      <w:kern w:val="0"/>
      <w:szCs w:val="20"/>
    </w:rPr>
  </w:style>
  <w:style w:type="paragraph" w:customStyle="1" w:styleId="100">
    <w:name w:val="表题"/>
    <w:basedOn w:val="27"/>
    <w:qFormat/>
    <w:uiPriority w:val="0"/>
    <w:pPr>
      <w:spacing w:beforeLines="50" w:line="480" w:lineRule="exact"/>
    </w:pPr>
    <w:rPr>
      <w:rFonts w:eastAsia="黑体"/>
      <w:sz w:val="28"/>
      <w:szCs w:val="24"/>
    </w:rPr>
  </w:style>
  <w:style w:type="paragraph" w:customStyle="1" w:styleId="101">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
    <w:name w:val="默认段落字体 Para Char"/>
    <w:basedOn w:val="1"/>
    <w:qFormat/>
    <w:uiPriority w:val="0"/>
    <w:rPr>
      <w:sz w:val="24"/>
      <w:szCs w:val="20"/>
    </w:rPr>
  </w:style>
  <w:style w:type="paragraph" w:customStyle="1" w:styleId="103">
    <w:name w:val="xl28"/>
    <w:basedOn w:val="1"/>
    <w:qFormat/>
    <w:uiPriority w:val="99"/>
    <w:pPr>
      <w:widowControl/>
      <w:pBdr>
        <w:bottom w:val="single" w:color="auto" w:sz="4" w:space="0"/>
        <w:right w:val="single" w:color="auto" w:sz="4" w:space="0"/>
      </w:pBdr>
      <w:spacing w:before="100" w:beforeAutospacing="1" w:after="100" w:afterAutospacing="1"/>
      <w:jc w:val="center"/>
    </w:pPr>
    <w:rPr>
      <w:rFonts w:eastAsia="Arial Unicode MS"/>
      <w:color w:val="000000"/>
      <w:kern w:val="0"/>
      <w:szCs w:val="21"/>
    </w:rPr>
  </w:style>
  <w:style w:type="paragraph" w:customStyle="1" w:styleId="104">
    <w:name w:val="样式1"/>
    <w:basedOn w:val="1"/>
    <w:qFormat/>
    <w:uiPriority w:val="0"/>
    <w:rPr>
      <w:szCs w:val="20"/>
    </w:rPr>
  </w:style>
  <w:style w:type="paragraph" w:customStyle="1" w:styleId="105">
    <w:name w:val="表格第一行"/>
    <w:basedOn w:val="1"/>
    <w:link w:val="106"/>
    <w:qFormat/>
    <w:uiPriority w:val="0"/>
    <w:pPr>
      <w:adjustRightInd w:val="0"/>
      <w:snapToGrid w:val="0"/>
      <w:jc w:val="center"/>
    </w:pPr>
    <w:rPr>
      <w:rFonts w:eastAsia="仿宋_GB2312"/>
      <w:b/>
      <w:szCs w:val="21"/>
    </w:rPr>
  </w:style>
  <w:style w:type="character" w:customStyle="1" w:styleId="106">
    <w:name w:val="表格第一行 Char"/>
    <w:link w:val="105"/>
    <w:qFormat/>
    <w:uiPriority w:val="0"/>
    <w:rPr>
      <w:rFonts w:eastAsia="仿宋_GB2312"/>
      <w:b/>
      <w:kern w:val="2"/>
      <w:sz w:val="21"/>
      <w:szCs w:val="21"/>
    </w:rPr>
  </w:style>
  <w:style w:type="paragraph" w:customStyle="1" w:styleId="107">
    <w:name w:val="Default"/>
    <w:basedOn w:val="108"/>
    <w:qFormat/>
    <w:uiPriority w:val="0"/>
    <w:pPr>
      <w:widowControl w:val="0"/>
      <w:autoSpaceDE w:val="0"/>
      <w:autoSpaceDN w:val="0"/>
      <w:adjustRightInd w:val="0"/>
    </w:pPr>
    <w:rPr>
      <w:rFonts w:ascii="宋体" w:hAnsi="Times New Roman" w:eastAsia="宋体" w:cs="宋体"/>
      <w:color w:val="000000"/>
      <w:sz w:val="24"/>
    </w:rPr>
  </w:style>
  <w:style w:type="paragraph" w:customStyle="1" w:styleId="108">
    <w:name w:val="标题 段落4级"/>
    <w:qFormat/>
    <w:uiPriority w:val="0"/>
    <w:pPr>
      <w:spacing w:line="500" w:lineRule="exact"/>
      <w:outlineLvl w:val="3"/>
    </w:pPr>
    <w:rPr>
      <w:rFonts w:ascii="Calibri" w:hAnsi="Calibri" w:eastAsia="仿宋_GB2312" w:cs="Calibri"/>
      <w:b/>
      <w:kern w:val="2"/>
      <w:sz w:val="28"/>
      <w:szCs w:val="24"/>
      <w:lang w:val="en-US" w:eastAsia="zh-CN" w:bidi="ar-SA"/>
    </w:rPr>
  </w:style>
  <w:style w:type="paragraph" w:customStyle="1" w:styleId="10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1"/>
    </w:rPr>
  </w:style>
  <w:style w:type="paragraph" w:customStyle="1" w:styleId="110">
    <w:name w:val="列出段落1"/>
    <w:basedOn w:val="1"/>
    <w:qFormat/>
    <w:uiPriority w:val="0"/>
    <w:pPr>
      <w:ind w:firstLine="420" w:firstLineChars="200"/>
    </w:pPr>
    <w:rPr>
      <w:szCs w:val="20"/>
    </w:rPr>
  </w:style>
  <w:style w:type="paragraph" w:customStyle="1" w:styleId="111">
    <w:name w:val="Char Char1"/>
    <w:basedOn w:val="1"/>
    <w:qFormat/>
    <w:uiPriority w:val="0"/>
    <w:rPr>
      <w:sz w:val="24"/>
    </w:rPr>
  </w:style>
  <w:style w:type="paragraph" w:customStyle="1" w:styleId="112">
    <w:name w:val="Body Text 21"/>
    <w:basedOn w:val="1"/>
    <w:link w:val="113"/>
    <w:qFormat/>
    <w:uiPriority w:val="0"/>
    <w:pPr>
      <w:adjustRightInd w:val="0"/>
      <w:textAlignment w:val="baseline"/>
    </w:pPr>
    <w:rPr>
      <w:rFonts w:ascii="仿宋_GB2312" w:eastAsia="仿宋体"/>
      <w:sz w:val="24"/>
      <w:szCs w:val="20"/>
    </w:rPr>
  </w:style>
  <w:style w:type="character" w:customStyle="1" w:styleId="113">
    <w:name w:val="Body Text 21 Char"/>
    <w:link w:val="112"/>
    <w:qFormat/>
    <w:uiPriority w:val="0"/>
    <w:rPr>
      <w:rFonts w:ascii="仿宋_GB2312" w:eastAsia="仿宋体"/>
      <w:kern w:val="2"/>
      <w:sz w:val="24"/>
    </w:rPr>
  </w:style>
  <w:style w:type="paragraph" w:customStyle="1" w:styleId="114">
    <w:name w:val="报告表格"/>
    <w:basedOn w:val="1"/>
    <w:qFormat/>
    <w:uiPriority w:val="0"/>
    <w:pPr>
      <w:autoSpaceDE w:val="0"/>
      <w:autoSpaceDN w:val="0"/>
      <w:adjustRightInd w:val="0"/>
      <w:spacing w:before="40" w:after="40"/>
      <w:jc w:val="center"/>
      <w:textAlignment w:val="baseline"/>
    </w:pPr>
    <w:rPr>
      <w:kern w:val="0"/>
      <w:szCs w:val="20"/>
    </w:rPr>
  </w:style>
  <w:style w:type="paragraph" w:customStyle="1" w:styleId="115">
    <w:name w:val="标题2"/>
    <w:basedOn w:val="1"/>
    <w:next w:val="1"/>
    <w:qFormat/>
    <w:uiPriority w:val="0"/>
    <w:pPr>
      <w:autoSpaceDE w:val="0"/>
      <w:autoSpaceDN w:val="0"/>
      <w:snapToGrid w:val="0"/>
      <w:spacing w:line="590" w:lineRule="atLeast"/>
      <w:jc w:val="center"/>
    </w:pPr>
    <w:rPr>
      <w:rFonts w:eastAsia="方正楷体_GBK"/>
      <w:kern w:val="0"/>
      <w:sz w:val="32"/>
      <w:szCs w:val="20"/>
    </w:rPr>
  </w:style>
  <w:style w:type="paragraph" w:customStyle="1" w:styleId="116">
    <w:name w:val="Char Char1 Char Char Char Char Char Char Char Char Char Char Char Char Char Char Char Char Char Char Char Char1 Char"/>
    <w:basedOn w:val="1"/>
    <w:qFormat/>
    <w:uiPriority w:val="0"/>
    <w:pPr>
      <w:spacing w:before="60" w:line="360" w:lineRule="auto"/>
      <w:ind w:firstLine="200" w:firstLineChars="200"/>
    </w:pPr>
    <w:rPr>
      <w:rFonts w:ascii="宋体" w:hAnsi="宋体" w:cs="宋体"/>
      <w:sz w:val="24"/>
    </w:rPr>
  </w:style>
  <w:style w:type="character" w:customStyle="1" w:styleId="117">
    <w:name w:val="正文缩进 字符1"/>
    <w:qFormat/>
    <w:uiPriority w:val="0"/>
    <w:rPr>
      <w:rFonts w:ascii="宋体" w:hAnsi="宋体" w:eastAsia="宋体" w:cs="Courier New"/>
      <w:kern w:val="2"/>
      <w:sz w:val="28"/>
      <w:szCs w:val="24"/>
      <w:lang w:val="en-US" w:eastAsia="zh-CN" w:bidi="ar-SA"/>
    </w:rPr>
  </w:style>
  <w:style w:type="paragraph" w:customStyle="1" w:styleId="118">
    <w:name w:val="无间隔2"/>
    <w:qFormat/>
    <w:uiPriority w:val="0"/>
    <w:pPr>
      <w:widowControl w:val="0"/>
      <w:jc w:val="center"/>
    </w:pPr>
    <w:rPr>
      <w:rFonts w:ascii="宋体" w:hAnsi="Courier New" w:eastAsia="仿宋_GB2312" w:cs="Times New Roman"/>
      <w:kern w:val="2"/>
      <w:sz w:val="24"/>
      <w:lang w:val="en-US" w:eastAsia="zh-CN" w:bidi="ar-SA"/>
    </w:rPr>
  </w:style>
  <w:style w:type="character" w:customStyle="1" w:styleId="119">
    <w:name w:val="样式 自动设置 Char"/>
    <w:link w:val="120"/>
    <w:qFormat/>
    <w:uiPriority w:val="0"/>
    <w:rPr>
      <w:rFonts w:cs="宋体"/>
      <w:kern w:val="2"/>
      <w:sz w:val="24"/>
      <w:szCs w:val="24"/>
    </w:rPr>
  </w:style>
  <w:style w:type="paragraph" w:customStyle="1" w:styleId="120">
    <w:name w:val="样式 自动设置"/>
    <w:basedOn w:val="1"/>
    <w:link w:val="119"/>
    <w:qFormat/>
    <w:uiPriority w:val="0"/>
    <w:pPr>
      <w:autoSpaceDE w:val="0"/>
      <w:autoSpaceDN w:val="0"/>
      <w:adjustRightInd w:val="0"/>
      <w:snapToGrid w:val="0"/>
      <w:spacing w:beforeLines="50" w:line="288" w:lineRule="auto"/>
      <w:ind w:firstLine="200" w:firstLineChars="200"/>
    </w:pPr>
    <w:rPr>
      <w:rFonts w:cs="宋体"/>
      <w:sz w:val="24"/>
    </w:rPr>
  </w:style>
  <w:style w:type="paragraph" w:customStyle="1" w:styleId="121">
    <w:name w:val="样式 宋体 小四 两端对齐 首行缩进:  0.85 厘米 行距: 1.5 倍行距"/>
    <w:basedOn w:val="1"/>
    <w:qFormat/>
    <w:uiPriority w:val="99"/>
    <w:pPr>
      <w:widowControl/>
      <w:spacing w:line="360" w:lineRule="auto"/>
      <w:ind w:firstLine="482"/>
    </w:pPr>
    <w:rPr>
      <w:kern w:val="0"/>
      <w:sz w:val="24"/>
    </w:rPr>
  </w:style>
  <w:style w:type="paragraph" w:customStyle="1" w:styleId="122">
    <w:name w:val="样式 列表 + 左侧:  0 厘米 悬挂缩进: 5.85 字符"/>
    <w:basedOn w:val="27"/>
    <w:qFormat/>
    <w:uiPriority w:val="0"/>
    <w:pPr>
      <w:spacing w:line="240" w:lineRule="auto"/>
    </w:pPr>
    <w:rPr>
      <w:rFonts w:ascii="宋体" w:eastAsia="宋体"/>
      <w:color w:val="FF0000"/>
      <w:szCs w:val="21"/>
      <w:lang w:val="zh-CN"/>
    </w:rPr>
  </w:style>
  <w:style w:type="paragraph" w:customStyle="1" w:styleId="123">
    <w:name w:val="小标题1.0"/>
    <w:qFormat/>
    <w:uiPriority w:val="99"/>
    <w:pPr>
      <w:adjustRightInd w:val="0"/>
      <w:snapToGrid w:val="0"/>
      <w:spacing w:line="360" w:lineRule="auto"/>
      <w:ind w:firstLine="200" w:firstLineChars="200"/>
    </w:pPr>
    <w:rPr>
      <w:rFonts w:ascii="Times New Roman" w:hAnsi="Times New Roman" w:eastAsia="宋体" w:cs="Times New Roman"/>
      <w:b/>
      <w:bCs/>
      <w:color w:val="000000"/>
      <w:kern w:val="2"/>
      <w:sz w:val="24"/>
      <w:szCs w:val="24"/>
      <w:lang w:val="en-US" w:eastAsia="zh-CN" w:bidi="ar-SA"/>
    </w:rPr>
  </w:style>
  <w:style w:type="character" w:customStyle="1" w:styleId="124">
    <w:name w:val="要点1"/>
    <w:qFormat/>
    <w:uiPriority w:val="0"/>
    <w:rPr>
      <w:rFonts w:eastAsia="仿宋_GB2312"/>
      <w:bCs/>
      <w:sz w:val="24"/>
    </w:rPr>
  </w:style>
  <w:style w:type="paragraph" w:customStyle="1" w:styleId="125">
    <w:name w:val="Char Char3"/>
    <w:basedOn w:val="1"/>
    <w:unhideWhenUsed/>
    <w:qFormat/>
    <w:uiPriority w:val="0"/>
    <w:rPr>
      <w:rFonts w:eastAsia="Times New Roman"/>
      <w:kern w:val="0"/>
      <w:sz w:val="24"/>
      <w:szCs w:val="20"/>
    </w:rPr>
  </w:style>
  <w:style w:type="paragraph" w:customStyle="1" w:styleId="126">
    <w:name w:val="Char Char Char Char"/>
    <w:basedOn w:val="1"/>
    <w:qFormat/>
    <w:uiPriority w:val="0"/>
    <w:rPr>
      <w:sz w:val="24"/>
    </w:rPr>
  </w:style>
  <w:style w:type="paragraph" w:customStyle="1" w:styleId="127">
    <w:name w:val="加粗"/>
    <w:basedOn w:val="1"/>
    <w:next w:val="1"/>
    <w:qFormat/>
    <w:uiPriority w:val="0"/>
    <w:pPr>
      <w:autoSpaceDE w:val="0"/>
      <w:autoSpaceDN w:val="0"/>
      <w:adjustRightInd w:val="0"/>
      <w:snapToGrid w:val="0"/>
      <w:spacing w:line="360" w:lineRule="auto"/>
      <w:ind w:firstLine="200" w:firstLineChars="200"/>
    </w:pPr>
    <w:rPr>
      <w:b/>
      <w:spacing w:val="5"/>
      <w:sz w:val="24"/>
    </w:rPr>
  </w:style>
  <w:style w:type="paragraph" w:customStyle="1" w:styleId="128">
    <w:name w:val="正文510"/>
    <w:basedOn w:val="1"/>
    <w:qFormat/>
    <w:uiPriority w:val="0"/>
    <w:pPr>
      <w:adjustRightInd w:val="0"/>
      <w:snapToGrid w:val="0"/>
      <w:spacing w:line="360" w:lineRule="auto"/>
      <w:ind w:firstLine="200" w:firstLineChars="200"/>
    </w:pPr>
    <w:rPr>
      <w:sz w:val="24"/>
    </w:rPr>
  </w:style>
  <w:style w:type="paragraph" w:customStyle="1" w:styleId="129">
    <w:name w:val="CM15"/>
    <w:basedOn w:val="107"/>
    <w:next w:val="107"/>
    <w:qFormat/>
    <w:uiPriority w:val="0"/>
    <w:pPr>
      <w:spacing w:line="468" w:lineRule="atLeast"/>
    </w:pPr>
    <w:rPr>
      <w:rFonts w:cs="Times New Roman"/>
      <w:color w:val="auto"/>
    </w:rPr>
  </w:style>
  <w:style w:type="paragraph" w:customStyle="1" w:styleId="130">
    <w:name w:val="Char Char Char Char Char Char1 Char Char Char Char Char Char Char Char Char Char Char Char Char Char Char Char Char Char1 Char Char Char Char Char Char Char Char Char Char Char Char Char"/>
    <w:basedOn w:val="1"/>
    <w:qFormat/>
    <w:uiPriority w:val="0"/>
    <w:rPr>
      <w:kern w:val="0"/>
      <w:szCs w:val="21"/>
    </w:rPr>
  </w:style>
  <w:style w:type="character" w:customStyle="1" w:styleId="131">
    <w:name w:val="Body Text 21 Char Char"/>
    <w:qFormat/>
    <w:uiPriority w:val="0"/>
    <w:rPr>
      <w:rFonts w:ascii="仿宋_GB2312" w:eastAsia="仿宋体"/>
      <w:kern w:val="2"/>
      <w:sz w:val="24"/>
    </w:rPr>
  </w:style>
  <w:style w:type="character" w:customStyle="1" w:styleId="132">
    <w:name w:val="样式 表格 + 黑色 Char Char"/>
    <w:link w:val="133"/>
    <w:qFormat/>
    <w:uiPriority w:val="0"/>
    <w:rPr>
      <w:color w:val="000000"/>
      <w:spacing w:val="-4"/>
      <w:szCs w:val="21"/>
    </w:rPr>
  </w:style>
  <w:style w:type="paragraph" w:customStyle="1" w:styleId="133">
    <w:name w:val="样式 表格 + 黑色"/>
    <w:basedOn w:val="1"/>
    <w:link w:val="132"/>
    <w:qFormat/>
    <w:uiPriority w:val="0"/>
    <w:pPr>
      <w:adjustRightInd w:val="0"/>
      <w:snapToGrid w:val="0"/>
      <w:jc w:val="center"/>
    </w:pPr>
    <w:rPr>
      <w:color w:val="000000"/>
      <w:spacing w:val="-4"/>
      <w:kern w:val="0"/>
      <w:sz w:val="20"/>
      <w:szCs w:val="21"/>
    </w:rPr>
  </w:style>
  <w:style w:type="paragraph" w:customStyle="1" w:styleId="134">
    <w:name w:val="Table Paragraph"/>
    <w:basedOn w:val="1"/>
    <w:qFormat/>
    <w:uiPriority w:val="1"/>
    <w:rPr>
      <w:sz w:val="24"/>
    </w:rPr>
  </w:style>
  <w:style w:type="character" w:customStyle="1" w:styleId="135">
    <w:name w:val="font71"/>
    <w:qFormat/>
    <w:uiPriority w:val="0"/>
    <w:rPr>
      <w:rFonts w:hint="default" w:ascii="Times New Roman" w:hAnsi="Times New Roman" w:cs="Times New Roman"/>
      <w:color w:val="FF0000"/>
      <w:sz w:val="21"/>
      <w:szCs w:val="21"/>
      <w:u w:val="none"/>
      <w:vertAlign w:val="subscript"/>
    </w:rPr>
  </w:style>
  <w:style w:type="paragraph" w:customStyle="1" w:styleId="136">
    <w:name w:val="Char Char31"/>
    <w:basedOn w:val="1"/>
    <w:unhideWhenUsed/>
    <w:qFormat/>
    <w:uiPriority w:val="0"/>
    <w:rPr>
      <w:rFonts w:eastAsia="Times New Roman"/>
      <w:kern w:val="0"/>
      <w:sz w:val="24"/>
      <w:szCs w:val="20"/>
    </w:rPr>
  </w:style>
  <w:style w:type="character" w:customStyle="1" w:styleId="137">
    <w:name w:val="表格 Char Char"/>
    <w:qFormat/>
    <w:uiPriority w:val="0"/>
    <w:rPr>
      <w:kern w:val="2"/>
      <w:sz w:val="21"/>
    </w:rPr>
  </w:style>
  <w:style w:type="paragraph" w:customStyle="1" w:styleId="138">
    <w:name w:val="默认段落字体 Para Char Char Char Char"/>
    <w:basedOn w:val="1"/>
    <w:qFormat/>
    <w:uiPriority w:val="0"/>
    <w:pPr>
      <w:spacing w:beforeLines="100" w:afterLines="50" w:line="600" w:lineRule="exact"/>
      <w:ind w:firstLine="200" w:firstLineChars="200"/>
    </w:pPr>
    <w:rPr>
      <w:rFonts w:eastAsia="黑体"/>
      <w:sz w:val="28"/>
    </w:rPr>
  </w:style>
  <w:style w:type="paragraph" w:customStyle="1" w:styleId="139">
    <w:name w:val="表格内文字"/>
    <w:next w:val="1"/>
    <w:qFormat/>
    <w:uiPriority w:val="0"/>
    <w:rPr>
      <w:rFonts w:ascii="Calibri" w:hAnsi="Calibri" w:eastAsia="宋体" w:cs="Times New Roman"/>
      <w:kern w:val="2"/>
      <w:sz w:val="21"/>
      <w:szCs w:val="22"/>
      <w:lang w:val="zh-CN" w:eastAsia="zh-CN" w:bidi="ar-SA"/>
    </w:rPr>
  </w:style>
  <w:style w:type="paragraph" w:customStyle="1" w:styleId="140">
    <w:name w:val="表内1号"/>
    <w:qFormat/>
    <w:uiPriority w:val="0"/>
    <w:pPr>
      <w:snapToGrid w:val="0"/>
      <w:jc w:val="center"/>
    </w:pPr>
    <w:rPr>
      <w:rFonts w:ascii="Times New Roman" w:hAnsi="Times New Roman" w:eastAsia="仿宋_GB2312" w:cs="Times New Roman"/>
      <w:sz w:val="21"/>
      <w:szCs w:val="21"/>
      <w:lang w:val="en-US" w:eastAsia="zh-CN" w:bidi="ar-SA"/>
    </w:rPr>
  </w:style>
  <w:style w:type="paragraph" w:customStyle="1" w:styleId="141">
    <w:name w:val="报告正文"/>
    <w:link w:val="142"/>
    <w:qFormat/>
    <w:uiPriority w:val="0"/>
    <w:pPr>
      <w:spacing w:line="360" w:lineRule="auto"/>
      <w:ind w:firstLine="200" w:firstLineChars="200"/>
    </w:pPr>
    <w:rPr>
      <w:rFonts w:ascii="Times New Roman" w:hAnsi="Times New Roman" w:eastAsia="宋体" w:cs="Times New Roman"/>
      <w:bCs/>
      <w:kern w:val="44"/>
      <w:sz w:val="24"/>
      <w:szCs w:val="44"/>
      <w:lang w:val="en-US" w:eastAsia="zh-CN" w:bidi="ar-SA"/>
    </w:rPr>
  </w:style>
  <w:style w:type="character" w:customStyle="1" w:styleId="142">
    <w:name w:val="报告正文 Char"/>
    <w:link w:val="141"/>
    <w:qFormat/>
    <w:uiPriority w:val="0"/>
    <w:rPr>
      <w:bCs/>
      <w:kern w:val="44"/>
      <w:sz w:val="24"/>
      <w:szCs w:val="44"/>
    </w:rPr>
  </w:style>
  <w:style w:type="paragraph" w:customStyle="1" w:styleId="143">
    <w:name w:val="表格内文字 小5"/>
    <w:basedOn w:val="1"/>
    <w:next w:val="1"/>
    <w:semiHidden/>
    <w:qFormat/>
    <w:locked/>
    <w:uiPriority w:val="0"/>
    <w:pPr>
      <w:widowControl/>
      <w:tabs>
        <w:tab w:val="left" w:pos="3345"/>
      </w:tabs>
      <w:adjustRightInd w:val="0"/>
      <w:spacing w:before="60" w:after="60"/>
      <w:jc w:val="center"/>
    </w:pPr>
    <w:rPr>
      <w:rFonts w:ascii="Calibri" w:hAnsi="Calibri" w:eastAsia="等线"/>
      <w:snapToGrid w:val="0"/>
      <w:kern w:val="0"/>
      <w:szCs w:val="21"/>
    </w:rPr>
  </w:style>
  <w:style w:type="paragraph" w:customStyle="1" w:styleId="144">
    <w:name w:val="D图表"/>
    <w:basedOn w:val="1"/>
    <w:qFormat/>
    <w:uiPriority w:val="0"/>
    <w:pPr>
      <w:spacing w:before="120" w:after="120"/>
      <w:jc w:val="center"/>
    </w:pPr>
    <w:rPr>
      <w:rFonts w:hAnsi="Calibri" w:eastAsia="等线"/>
      <w:b/>
      <w:szCs w:val="21"/>
    </w:rPr>
  </w:style>
  <w:style w:type="paragraph" w:customStyle="1" w:styleId="145">
    <w:name w:val="Char4 Char Char Char Char Char1 Char Char Char Char Char Char Char Char Char Char Char Char Char"/>
    <w:basedOn w:val="1"/>
    <w:qFormat/>
    <w:uiPriority w:val="0"/>
    <w:pPr>
      <w:spacing w:line="240" w:lineRule="exact"/>
      <w:ind w:firstLine="200" w:firstLineChars="200"/>
    </w:pPr>
    <w:rPr>
      <w:rFonts w:ascii="Calibri" w:hAnsi="Calibri"/>
    </w:rPr>
  </w:style>
  <w:style w:type="paragraph" w:customStyle="1" w:styleId="146">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147">
    <w:name w:val="样式 样式 样式 自动设置 + 五号 段前: 0.5 行 行距: 单倍行距 + 段前: 0.5 行"/>
    <w:basedOn w:val="1"/>
    <w:qFormat/>
    <w:uiPriority w:val="0"/>
    <w:pPr>
      <w:autoSpaceDE w:val="0"/>
      <w:autoSpaceDN w:val="0"/>
      <w:adjustRightInd w:val="0"/>
      <w:snapToGrid w:val="0"/>
    </w:pPr>
    <w:rPr>
      <w:rFonts w:cs="宋体"/>
      <w:szCs w:val="20"/>
    </w:rPr>
  </w:style>
  <w:style w:type="paragraph" w:customStyle="1" w:styleId="148">
    <w:name w:val="新正文"/>
    <w:basedOn w:val="1"/>
    <w:qFormat/>
    <w:uiPriority w:val="0"/>
    <w:pPr>
      <w:spacing w:line="480" w:lineRule="exact"/>
      <w:ind w:firstLine="567"/>
    </w:pPr>
    <w:rPr>
      <w:rFonts w:ascii="仿宋_GB2312" w:eastAsia="仿宋_GB2312" w:hAnsiTheme="minorHAnsi" w:cstheme="minorBidi"/>
      <w:bCs/>
      <w:kern w:val="0"/>
      <w:sz w:val="28"/>
      <w:szCs w:val="22"/>
    </w:rPr>
  </w:style>
  <w:style w:type="paragraph" w:customStyle="1" w:styleId="149">
    <w:name w:val="xl24"/>
    <w:basedOn w:val="1"/>
    <w:qFormat/>
    <w:uiPriority w:val="0"/>
    <w:pPr>
      <w:widowControl/>
      <w:pBdr>
        <w:bottom w:val="single" w:color="auto" w:sz="4" w:space="0"/>
        <w:right w:val="single" w:color="auto" w:sz="4" w:space="0"/>
      </w:pBdr>
      <w:spacing w:beforeAutospacing="1" w:afterAutospacing="1"/>
      <w:jc w:val="center"/>
    </w:pPr>
    <w:rPr>
      <w:rFonts w:eastAsia="Arial Unicode MS"/>
      <w:kern w:val="0"/>
      <w:sz w:val="24"/>
      <w:szCs w:val="20"/>
    </w:rPr>
  </w:style>
  <w:style w:type="paragraph" w:customStyle="1" w:styleId="150">
    <w:name w:val="CM1"/>
    <w:basedOn w:val="107"/>
    <w:next w:val="107"/>
    <w:qFormat/>
    <w:uiPriority w:val="99"/>
    <w:pPr>
      <w:spacing w:line="468" w:lineRule="atLeast"/>
    </w:pPr>
    <w:rPr>
      <w:rFonts w:ascii="Times New Roman" w:cs="Times New Roman" w:eastAsiaTheme="minorEastAsia"/>
      <w:color w:val="auto"/>
    </w:rPr>
  </w:style>
  <w:style w:type="paragraph" w:customStyle="1" w:styleId="151">
    <w:name w:val="CM2"/>
    <w:basedOn w:val="107"/>
    <w:next w:val="107"/>
    <w:qFormat/>
    <w:uiPriority w:val="99"/>
    <w:pPr>
      <w:spacing w:line="468" w:lineRule="atLeast"/>
    </w:pPr>
    <w:rPr>
      <w:rFonts w:hAnsiTheme="minorHAnsi" w:cstheme="minorBidi"/>
      <w:color w:val="auto"/>
    </w:rPr>
  </w:style>
  <w:style w:type="paragraph" w:customStyle="1" w:styleId="152">
    <w:name w:val="Date1"/>
    <w:basedOn w:val="1"/>
    <w:next w:val="1"/>
    <w:qFormat/>
    <w:uiPriority w:val="0"/>
    <w:pPr>
      <w:adjustRightInd w:val="0"/>
      <w:textAlignment w:val="baseline"/>
    </w:pPr>
    <w:rPr>
      <w:sz w:val="24"/>
      <w:szCs w:val="20"/>
    </w:rPr>
  </w:style>
  <w:style w:type="character" w:customStyle="1" w:styleId="153">
    <w:name w:val="表格中文字 Char Char"/>
    <w:link w:val="154"/>
    <w:qFormat/>
    <w:locked/>
    <w:uiPriority w:val="0"/>
    <w:rPr>
      <w:rFonts w:ascii="Calibri" w:hAnsi="Calibri" w:cs="黑体"/>
      <w:kern w:val="18"/>
      <w:szCs w:val="21"/>
    </w:rPr>
  </w:style>
  <w:style w:type="paragraph" w:customStyle="1" w:styleId="154">
    <w:name w:val="表格中文字"/>
    <w:basedOn w:val="1"/>
    <w:link w:val="153"/>
    <w:qFormat/>
    <w:uiPriority w:val="0"/>
    <w:pPr>
      <w:widowControl/>
      <w:adjustRightInd w:val="0"/>
      <w:snapToGrid w:val="0"/>
      <w:jc w:val="center"/>
    </w:pPr>
    <w:rPr>
      <w:rFonts w:ascii="Calibri" w:hAnsi="Calibri" w:cs="黑体"/>
      <w:kern w:val="18"/>
      <w:sz w:val="20"/>
      <w:szCs w:val="21"/>
    </w:rPr>
  </w:style>
  <w:style w:type="paragraph" w:customStyle="1" w:styleId="155">
    <w:name w:val="0正文"/>
    <w:basedOn w:val="1"/>
    <w:qFormat/>
    <w:uiPriority w:val="0"/>
    <w:pPr>
      <w:adjustRightInd w:val="0"/>
      <w:snapToGrid w:val="0"/>
      <w:spacing w:line="360" w:lineRule="auto"/>
      <w:ind w:firstLine="480" w:firstLineChars="200"/>
    </w:pPr>
    <w:rPr>
      <w:rFonts w:hint="eastAsia" w:cs="宋体"/>
      <w:kern w:val="0"/>
      <w:sz w:val="24"/>
      <w:szCs w:val="22"/>
    </w:rPr>
  </w:style>
  <w:style w:type="character" w:styleId="156">
    <w:name w:val="Placeholder Text"/>
    <w:basedOn w:val="38"/>
    <w:unhideWhenUsed/>
    <w:qFormat/>
    <w:uiPriority w:val="99"/>
    <w:rPr>
      <w:color w:val="808080"/>
    </w:rPr>
  </w:style>
  <w:style w:type="paragraph" w:styleId="157">
    <w:name w:val="No Spacing"/>
    <w:link w:val="158"/>
    <w:qFormat/>
    <w:uiPriority w:val="1"/>
    <w:rPr>
      <w:rFonts w:asciiTheme="minorHAnsi" w:hAnsiTheme="minorHAnsi" w:eastAsiaTheme="minorEastAsia" w:cstheme="minorBidi"/>
      <w:sz w:val="22"/>
      <w:szCs w:val="22"/>
      <w:lang w:val="en-US" w:eastAsia="zh-CN" w:bidi="ar-SA"/>
    </w:rPr>
  </w:style>
  <w:style w:type="character" w:customStyle="1" w:styleId="158">
    <w:name w:val="无间隔 字符"/>
    <w:basedOn w:val="38"/>
    <w:link w:val="157"/>
    <w:qFormat/>
    <w:uiPriority w:val="1"/>
    <w:rPr>
      <w:rFonts w:asciiTheme="minorHAnsi" w:hAnsiTheme="minorHAnsi" w:eastAsiaTheme="minorEastAsia" w:cstheme="minorBidi"/>
      <w:sz w:val="22"/>
      <w:szCs w:val="22"/>
    </w:rPr>
  </w:style>
  <w:style w:type="paragraph" w:customStyle="1" w:styleId="159">
    <w:name w:val="xl23"/>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60">
    <w:name w:val="p0"/>
    <w:basedOn w:val="1"/>
    <w:qFormat/>
    <w:uiPriority w:val="0"/>
    <w:pPr>
      <w:widowControl/>
    </w:pPr>
    <w:rPr>
      <w:kern w:val="0"/>
      <w:szCs w:val="21"/>
    </w:rPr>
  </w:style>
  <w:style w:type="paragraph" w:customStyle="1" w:styleId="161">
    <w:name w:val="Char Char18"/>
    <w:basedOn w:val="1"/>
    <w:qFormat/>
    <w:uiPriority w:val="0"/>
    <w:pPr>
      <w:spacing w:line="360" w:lineRule="auto"/>
      <w:ind w:firstLine="200" w:firstLineChars="200"/>
    </w:pPr>
    <w:rPr>
      <w:rFonts w:ascii="宋体" w:hAnsi="宋体"/>
      <w:sz w:val="24"/>
    </w:rPr>
  </w:style>
  <w:style w:type="paragraph" w:customStyle="1" w:styleId="162">
    <w:name w:val="首行缩进"/>
    <w:basedOn w:val="1"/>
    <w:qFormat/>
    <w:uiPriority w:val="0"/>
    <w:pPr>
      <w:spacing w:line="360" w:lineRule="auto"/>
      <w:ind w:firstLine="480" w:firstLineChars="200"/>
    </w:pPr>
  </w:style>
  <w:style w:type="character" w:customStyle="1" w:styleId="163">
    <w:name w:val="正文文本 (2) Exact"/>
    <w:qFormat/>
    <w:uiPriority w:val="0"/>
    <w:rPr>
      <w:rFonts w:ascii="宋体" w:hAnsi="宋体" w:eastAsia="宋体" w:cs="宋体"/>
      <w:sz w:val="22"/>
      <w:szCs w:val="22"/>
      <w:u w:val="none"/>
    </w:rPr>
  </w:style>
  <w:style w:type="paragraph" w:customStyle="1" w:styleId="164">
    <w:name w:val="1正文"/>
    <w:basedOn w:val="1"/>
    <w:qFormat/>
    <w:uiPriority w:val="0"/>
    <w:pPr>
      <w:adjustRightInd w:val="0"/>
      <w:snapToGrid w:val="0"/>
      <w:spacing w:line="360" w:lineRule="auto"/>
      <w:ind w:firstLine="480" w:firstLineChars="200"/>
    </w:pPr>
    <w:rPr>
      <w:color w:val="FF0000"/>
    </w:rPr>
  </w:style>
  <w:style w:type="paragraph" w:customStyle="1" w:styleId="165">
    <w:name w:val="常用正文样式"/>
    <w:basedOn w:val="1"/>
    <w:qFormat/>
    <w:uiPriority w:val="0"/>
    <w:pPr>
      <w:spacing w:line="360" w:lineRule="auto"/>
      <w:ind w:firstLine="480" w:firstLineChars="200"/>
    </w:pPr>
    <w:rPr>
      <w:rFonts w:eastAsia="仿宋"/>
      <w:bCs/>
      <w:kern w:val="28"/>
      <w:sz w:val="28"/>
    </w:rPr>
  </w:style>
  <w:style w:type="paragraph" w:customStyle="1" w:styleId="166">
    <w:name w:val="表头2018"/>
    <w:qFormat/>
    <w:uiPriority w:val="0"/>
    <w:pPr>
      <w:spacing w:line="440" w:lineRule="exact"/>
      <w:jc w:val="center"/>
    </w:pPr>
    <w:rPr>
      <w:rFonts w:ascii="Times New Roman" w:hAnsi="Times New Roman" w:eastAsia="黑体" w:cs="Times New Roman"/>
      <w:b/>
      <w:kern w:val="2"/>
      <w:sz w:val="21"/>
      <w:szCs w:val="21"/>
      <w:lang w:val="en-US" w:eastAsia="zh-CN" w:bidi="ar-SA"/>
    </w:rPr>
  </w:style>
  <w:style w:type="paragraph" w:customStyle="1" w:styleId="167">
    <w:name w:val="_Style 41"/>
    <w:basedOn w:val="2"/>
    <w:next w:val="168"/>
    <w:qFormat/>
    <w:uiPriority w:val="0"/>
    <w:pPr>
      <w:widowControl w:val="0"/>
      <w:snapToGrid/>
      <w:spacing w:before="0" w:after="120" w:line="500" w:lineRule="atLeast"/>
      <w:ind w:right="0" w:firstLine="420" w:firstLineChars="100"/>
    </w:pPr>
    <w:rPr>
      <w:kern w:val="2"/>
      <w:sz w:val="28"/>
    </w:rPr>
  </w:style>
  <w:style w:type="paragraph" w:customStyle="1" w:styleId="168">
    <w:name w:val="正文文本首行缩进"/>
    <w:basedOn w:val="2"/>
    <w:qFormat/>
    <w:locked/>
    <w:uiPriority w:val="0"/>
    <w:pPr>
      <w:widowControl w:val="0"/>
      <w:snapToGrid/>
      <w:spacing w:before="0" w:after="120" w:line="500" w:lineRule="atLeast"/>
      <w:ind w:right="0" w:firstLine="420" w:firstLineChars="100"/>
    </w:pPr>
    <w:rPr>
      <w:kern w:val="2"/>
      <w:sz w:val="28"/>
    </w:rPr>
  </w:style>
  <w:style w:type="paragraph" w:customStyle="1" w:styleId="169">
    <w:name w:val="嘉环正文"/>
    <w:qFormat/>
    <w:uiPriority w:val="0"/>
    <w:pPr>
      <w:spacing w:line="440" w:lineRule="exact"/>
      <w:ind w:firstLine="200" w:firstLineChars="200"/>
    </w:pPr>
    <w:rPr>
      <w:rFonts w:ascii="Times New Roman" w:hAnsi="Times New Roman" w:eastAsia="仿宋_GB2312" w:cs="Times New Roman"/>
      <w:kern w:val="2"/>
      <w:sz w:val="24"/>
      <w:szCs w:val="21"/>
      <w:lang w:val="en-US" w:eastAsia="zh-CN" w:bidi="ar-SA"/>
    </w:rPr>
  </w:style>
  <w:style w:type="paragraph" w:customStyle="1" w:styleId="170">
    <w:name w:val="表格文字2018"/>
    <w:qFormat/>
    <w:uiPriority w:val="0"/>
    <w:pPr>
      <w:spacing w:line="320" w:lineRule="exact"/>
      <w:jc w:val="center"/>
    </w:pPr>
    <w:rPr>
      <w:rFonts w:ascii="Times New Roman" w:hAnsi="Times New Roman" w:eastAsia="仿宋_GB2312" w:cs="Times New Roman"/>
      <w:kern w:val="2"/>
      <w:sz w:val="21"/>
      <w:szCs w:val="21"/>
      <w:lang w:val="en-US" w:eastAsia="zh-CN" w:bidi="ar-SA"/>
    </w:rPr>
  </w:style>
  <w:style w:type="paragraph" w:customStyle="1" w:styleId="171">
    <w:name w:val="表格正文"/>
    <w:basedOn w:val="1"/>
    <w:qFormat/>
    <w:uiPriority w:val="0"/>
    <w:pPr>
      <w:spacing w:line="360" w:lineRule="exact"/>
      <w:jc w:val="center"/>
    </w:pPr>
    <w:rPr>
      <w:kern w:val="0"/>
      <w:sz w:val="20"/>
      <w:szCs w:val="20"/>
    </w:rPr>
  </w:style>
  <w:style w:type="paragraph" w:customStyle="1" w:styleId="172">
    <w:name w:val="样式4"/>
    <w:basedOn w:val="1"/>
    <w:next w:val="13"/>
    <w:qFormat/>
    <w:uiPriority w:val="0"/>
    <w:pPr>
      <w:widowControl/>
      <w:spacing w:line="440" w:lineRule="exact"/>
      <w:ind w:firstLine="200" w:firstLineChars="200"/>
    </w:pPr>
    <w:rPr>
      <w:rFonts w:eastAsia="仿宋_GB2312"/>
      <w:sz w:val="24"/>
    </w:rPr>
  </w:style>
  <w:style w:type="paragraph" w:customStyle="1" w:styleId="173">
    <w:name w:val="表内文本"/>
    <w:basedOn w:val="1"/>
    <w:qFormat/>
    <w:uiPriority w:val="0"/>
    <w:pPr>
      <w:spacing w:line="320" w:lineRule="exact"/>
      <w:jc w:val="center"/>
    </w:pPr>
    <w:rPr>
      <w:rFonts w:eastAsia="仿宋_GB231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E5164B-DC54-434F-AB60-1378B84C6A90}">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60</Pages>
  <Words>30637</Words>
  <Characters>34841</Characters>
  <Lines>283</Lines>
  <Paragraphs>79</Paragraphs>
  <TotalTime>28</TotalTime>
  <ScaleCrop>false</ScaleCrop>
  <LinksUpToDate>false</LinksUpToDate>
  <CharactersWithSpaces>35262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2021-04-07T09:10:00Z</dcterms:created>
  <dc:creator>lhj</dc:creator>
  <cp:lastModifiedBy>venture小妖姬</cp:lastModifiedBy>
  <cp:lastPrinted>2021-07-30T02:17:00Z</cp:lastPrinted>
  <dcterms:modified xsi:type="dcterms:W3CDTF">2022-02-10T00:36:38Z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5AA9385C27F44C6E87EE8528677FC2EC</vt:lpwstr>
  </property>
</Properties>
</file>